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wrist circumference measurements come from a random sample of newborn infants. Any such anthropometric measurement on a relatively homogeneous population (here, newborn females) can be expected to follow an approximately normal distribution: unimodal, roughly symmetric about its mean, and bell-shaped, with no extreme outliers or gaps.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Histogram I is the only option that matches this description (single central peak, frequencies rising smoothly to the peak and then falling smoothly).</w:t>
      </w:r>
    </w:p>
    <w:p>
      <w:pPr>
        <w:pStyle w:val="Normal"/>
      </w:pPr>
      <w:r>
        <w:t xml:space="preserve">- Histogram II is strongly left-skewed with an isolated outlier far to the right.</w:t>
      </w:r>
    </w:p>
    <w:p>
      <w:pPr>
        <w:pStyle w:val="Normal"/>
      </w:pPr>
      <w:r>
        <w:t xml:space="preserve">- Histogram III is strongly right-skewed (a shape more typical of survival times or income data).</w:t>
      </w:r>
    </w:p>
    <w:p>
      <w:pPr>
        <w:pStyle w:val="Normal"/>
      </w:pPr>
      <w:r>
        <w:t xml:space="preserve">- Histogram IV is essentially uniform with irregular noise and no clear central tendency.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correct choice is (A).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(A) Histogram I.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2026-05-18T09:33:34Z</dcterms:modified>
  <cp:category/>
</cp:coreProperties>
</file>