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boxplot displays key indicators of spread for each section, including the interquartile range (IQR, shown by the length of the box) as well as the overall range (shown by the full whisker-to-whisker length).  </w:t>
      </w:r>
    </w:p>
    <w:p>
      <w:pPr>
        <w:pStyle w:val="Normal"/>
      </w:pPr>
      <w:r>
        <w:t xml:space="preserve"/>
      </w:r>
    </w:p>
    <w:p>
      <w:pPr>
        <w:pStyle w:val="Normal"/>
      </w:pPr>
      <w:r>
        <w:t xml:space="preserve">Standard deviation is a measure of average deviation from the mean and is therefore larger when scores are more dispersed overall. The IQR captures the spread of the central 50% of observations, which contributes heavily to the value of the standard deviation; the full range captures the effect of the most extreme observations.  </w:t>
      </w:r>
    </w:p>
    <w:p>
      <w:pPr>
        <w:pStyle w:val="Normal"/>
      </w:pPr>
      <w:r>
        <w:t xml:space="preserve"/>
      </w:r>
    </w:p>
    <w:p>
      <w:pPr>
        <w:pStyle w:val="Normal"/>
      </w:pPr>
      <w:r>
        <w:t xml:space="preserve">- Section A exhibits a visibly longer box (IQR approximately 70 points) together with an overall range of roughly 100–110 points.  </w:t>
      </w:r>
    </w:p>
    <w:p>
      <w:pPr>
        <w:pStyle w:val="Normal"/>
      </w:pPr>
      <w:r>
        <w:t xml:space="preserve">- Section B exhibits a shorter box (IQR approximately 40–45 points) and a comparable or only marginally larger overall range (approximately 120 points).  </w:t>
      </w:r>
    </w:p>
    <w:p>
      <w:pPr>
        <w:pStyle w:val="Normal"/>
      </w:pPr>
      <w:r>
        <w:t xml:space="preserve"/>
      </w:r>
    </w:p>
    <w:p>
      <w:pPr>
        <w:pStyle w:val="Normal"/>
      </w:pPr>
      <w:r>
        <w:t xml:space="preserve">Because the central half of the data is substantially more dispersed in Section A, and because the extremes are not dramatically farther apart than those of Section B, the data values in Section A are expected to deviate more, on average, from their mean. Consequently, Section A has the greater standard deviation.  </w:t>
      </w:r>
    </w:p>
    <w:p>
      <w:pPr>
        <w:pStyle w:val="Normal"/>
      </w:pPr>
      <w:r>
        <w:t xml:space="preserve"/>
      </w:r>
    </w:p>
    <w:p>
      <w:pPr>
        <w:pStyle w:val="Normal"/>
      </w:pPr>
      <w:r>
        <w:t xml:space="preserve">Final answer: (A) Section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2026-05-18T09:44:21Z</dcterms:modified>
  <cp:category/>
</cp:coreProperties>
</file>