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given figure consists of side-by-side boxplots (with the five-number summary visible for each section).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Section A's left whisker begins at approximately 40. Thus every observation in Section A exceeds 30, so the percentage of scores \(\leq 30\) is exactly 0.  </w:t>
      </w:r>
    </w:p>
    <w:p>
      <w:pPr>
        <w:pStyle w:val="Normal"/>
      </w:pPr>
      <w:r>
        <w:t xml:space="preserve">- Section B's left whisker begins near 0 and its first quartile lies at approximately 60. Consequently some positive fraction of the observations (necessarily between 0 % and 25 %) must lie at or below 30.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Section B therefore contains the larger percentage of scores \(\leq 30\).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(B) Section B.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2026-05-18T09:48:21Z</dcterms:modified>
  <cp:category/>
</cp:coreProperties>
</file>