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(D)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choice is (D), which directly matches the formal definition of a Type I error: rejecting a true null hypothesis (i.e., declaring a population effect or difference that does not exist).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(A) is the definition of a Type II error (failing to reject a false null).  </w:t>
      </w:r>
    </w:p>
    <w:p>
      <w:pPr>
        <w:pStyle w:val="Normal"/>
      </w:pPr>
      <w:r>
        <w:t xml:space="preserve">Option (B) uses imprecise language (“the test statistic is significant”) and does not cleanly distinguish sampling error from the actual decision rule; it is therefore not the standard definition.  </w:t>
      </w:r>
    </w:p>
    <w:p>
      <w:pPr>
        <w:pStyle w:val="Normal"/>
      </w:pPr>
      <w:r>
        <w:t xml:space="preserve">Option (C) describes a data-management mistake, not a hypothesis-testing error.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only (D) is both conceptually accurate and terminologically precise for a graduate-level statistics exam.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2026-05-18T10:08:06Z</dcterms:modified>
  <cp:category/>
</cp:coreProperties>
</file>