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modern consensus among statisticians (e.g., the ASA’s 2016 statement and subsequent elaborations by Greenland, Amrhein, McShane, and others) is that a confidence interval should be read as a compatibility interval: the set of parameter values that are most consistent with the observed data under the assumed model and its assumptions.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Values near the center of the interval are the most compatible; values near the ends are less compatible but still not ruled out by the data.  </w:t>
      </w:r>
    </w:p>
    <w:p>
      <w:pPr>
        <w:pStyle w:val="Normal"/>
      </w:pPr>
      <w:r>
        <w:t xml:space="preserve">- Values lying outside the interval are relatively incompatible with the data (given the model), but the interval does not “prove” they are impossible, nor does it assign a probability to any specific value.  </w:t>
      </w:r>
    </w:p>
    <w:p>
      <w:pPr>
        <w:pStyle w:val="Normal"/>
      </w:pPr>
      <w:r>
        <w:t xml:space="preserve">- This reading directly supplies information about effect size and precision without inviting the dichotomous accept/reject logic that plagues p-value interpretation.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(A) treats the interval merely as another measure of “uncertainty,” which understates its concrete information about effect sizes.  </w:t>
      </w:r>
    </w:p>
    <w:p>
      <w:pPr>
        <w:pStyle w:val="Normal"/>
      </w:pPr>
      <w:r>
        <w:t xml:space="preserve">Option (C) reduces the interval to a surrogate hypothesis test, reproducing the very problems the literature seeks to avoid.  </w:t>
      </w:r>
    </w:p>
    <w:p>
      <w:pPr>
        <w:pStyle w:val="Normal"/>
      </w:pPr>
      <w:r>
        <w:t xml:space="preserve">Option (D) discards a useful descriptive tool rather than correcting its interpretation.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appropriate answer is (B).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(B)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2026-05-18T10:17:05Z</dcterms:modified>
  <cp:category/>
</cp:coreProperties>
</file>