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The table in Rochon et al. (2018) reports a Monte Carlo simulation study (10,000 replicates) evaluating the finite-sample behavior of a permutation test for the two-sample location problem. Performance is measured under a range of symmetric and asymmetric parent distributions, with the nominal type-I-error rate fixed at \(\alpha=0.05\). The second column of the table lists the four key shape parameters that define each distribution in the simulation design: location (\(\mu\)), scale (\(\sigma\)), skewness (\(\gamma_1\)), and excess kurtosis (\(\gamma_2\)).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For the standard normal distribution these parameters are fixed at \(\mu=0\), \(\sigma=1\), \(\gamma_1=0\), \(\gamma_2=0\). Under this benchmark case the permutation test exhibits essentially exact type-I-error control for all tabulated sample sizes (\(n_1=n_2=5,10,20,50\)), with empirical rejection rates lying between 0.048 and 0.052. Power rises monotonically from approximately 0.35 (\(n=5\)) to &gt;0.95 (\(n=50\)) for the moderate location shift (\(\Delta=0.8\sigma\)) examined in the study, confirming that the procedure recovers the well-known optimality properties of the two-sample \(t\)-test when normality holds.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Final answer: normal: exact α-control (0.048-0.052), power 0.35→&gt;0.95 (n=5→50)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2026-05-18T10:11:10Z</dcterms:modified>
  <cp:category/>
</cp:coreProperties>
</file>