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study is a randomized experiment, so causal conclusions are licensed in principle (ruling out purely associational language). The two-sided test of \(H_0: \mu_1 = \mu_2\) produced \(p = 0.21\). At conventional significance levels this result is not small enough to reject \(H_0\), so the data do not furnish statistically significant evidence against the hypothesis that the two assortment sizes produce the same mean variety of choices. 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Consequently any statement that asserts “there is no effect,” “the means are equal,” or “the assortment size does not cause a change” goes beyond what the test can establish; failure to reject \(H_0\) is not proof that \(H_0\) is true. The only logically warranted claim is therefore the weaker, non-rejection statement: the experiment supplies insufficient evidence that assortment size altered variety-seeking behavior. That is precisely option (C). 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Options (A) and (B) affirm the null, which a non-significant test does not justify. Option (D) claims the existence of evidence for an effect, which contradicts \(p = 0.21\).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Final answer: C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2026-05-18T10:13:12Z</dcterms:modified>
  <cp:category/>
</cp:coreProperties>
</file>