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40"/>
        <w:contextualSpacing/>
        <w:rPr/>
      </w:pPr>
      <w:r>
        <w:rPr>
          <w:rFonts w:eastAsia="Arial" w:ascii="Arial" w:hAnsi="Arial"/>
          <w:b/>
          <w:color w:val="000000"/>
          <w:sz w:val="50"/>
        </w:rPr>
        <w:t>Plan de validation SoC Tracking</w:t>
      </w:r>
    </w:p>
    <w:p>
      <w:pPr>
        <w:pStyle w:val="Normal"/>
        <w:spacing w:before="0" w:after="200"/>
        <w:rPr/>
      </w:pPr>
      <w:r>
        <w:rPr>
          <w:rFonts w:eastAsia="Arial"/>
          <w:b w:val="false"/>
          <w:color w:val="000000"/>
          <w:sz w:val="22"/>
        </w:rPr>
        <w:t>DMA MM2S, TPG, affichage PMOD VGA et sélection de source</w:t>
      </w:r>
    </w:p>
    <w:tbl>
      <w:tblPr>
        <w:tblW w:w="9720" w:type="dxa"/>
        <w:jc w:val="center"/>
        <w:tblInd w:w="0" w:type="dxa"/>
        <w:tblLayout w:type="fixed"/>
        <w:tblCellMar>
          <w:top w:w="95" w:type="dxa"/>
          <w:start w:w="105" w:type="dxa"/>
          <w:bottom w:w="95" w:type="dxa"/>
          <w:end w:w="105" w:type="dxa"/>
        </w:tblCellMar>
        <w:tblLook w:firstRow="1" w:noVBand="1" w:lastRow="0" w:firstColumn="1" w:lastColumn="0" w:noHBand="0" w:val="04a0"/>
      </w:tblPr>
      <w:tblGrid>
        <w:gridCol w:w="2128"/>
        <w:gridCol w:w="7592"/>
      </w:tblGrid>
      <w:tr>
        <w:trPr>
          <w:cantSplit w:val="true"/>
        </w:trPr>
        <w:tc>
          <w:tcPr>
            <w:tcW w:w="2128"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Version</w:t>
            </w:r>
          </w:p>
        </w:tc>
        <w:tc>
          <w:tcPr>
            <w:tcW w:w="7592" w:type="dxa"/>
            <w:tcBorders>
              <w:top w:val="single" w:sz="6" w:space="0" w:color="D9D9D9"/>
              <w:start w:val="single" w:sz="6" w:space="0" w:color="D9D9D9"/>
              <w:bottom w:val="single" w:sz="6" w:space="0" w:color="D9D9D9"/>
              <w:end w:val="single" w:sz="6" w:space="0" w:color="D9D9D9"/>
            </w:tcBorders>
            <w:vAlign w:val="center"/>
          </w:tcPr>
          <w:p>
            <w:pPr>
              <w:pStyle w:val="Normal"/>
              <w:widowControl/>
              <w:suppressAutoHyphens w:val="true"/>
              <w:bidi w:val="0"/>
              <w:spacing w:lineRule="auto" w:line="259" w:before="0" w:after="100"/>
              <w:jc w:val="start"/>
              <w:rPr/>
            </w:pPr>
            <w:r>
              <w:rPr/>
              <w:t>3.0</w:t>
            </w:r>
          </w:p>
        </w:tc>
      </w:tr>
      <w:tr>
        <w:trPr>
          <w:cantSplit w:val="true"/>
        </w:trPr>
        <w:tc>
          <w:tcPr>
            <w:tcW w:w="2128"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Date</w:t>
            </w:r>
          </w:p>
        </w:tc>
        <w:tc>
          <w:tcPr>
            <w:tcW w:w="7592" w:type="dxa"/>
            <w:tcBorders>
              <w:top w:val="single" w:sz="6" w:space="0" w:color="D9D9D9"/>
              <w:start w:val="single" w:sz="6" w:space="0" w:color="D9D9D9"/>
              <w:bottom w:val="single" w:sz="6" w:space="0" w:color="D9D9D9"/>
              <w:end w:val="single" w:sz="6" w:space="0" w:color="D9D9D9"/>
            </w:tcBorders>
            <w:vAlign w:val="center"/>
          </w:tcPr>
          <w:p>
            <w:pPr>
              <w:pStyle w:val="Normal"/>
              <w:widowControl/>
              <w:suppressAutoHyphens w:val="true"/>
              <w:bidi w:val="0"/>
              <w:spacing w:lineRule="auto" w:line="259" w:before="0" w:after="100"/>
              <w:jc w:val="start"/>
              <w:rPr/>
            </w:pPr>
            <w:r>
              <w:rPr/>
              <w:t>2 octobre 2026</w:t>
            </w:r>
          </w:p>
        </w:tc>
      </w:tr>
      <w:tr>
        <w:trPr>
          <w:cantSplit w:val="true"/>
        </w:trPr>
        <w:tc>
          <w:tcPr>
            <w:tcW w:w="2128"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Référence principale</w:t>
            </w:r>
          </w:p>
        </w:tc>
        <w:tc>
          <w:tcPr>
            <w:tcW w:w="7592"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20260709-SRS-SoC-Tracking__720__0, révision AB du 31 août 2026</w:t>
            </w:r>
          </w:p>
        </w:tc>
      </w:tr>
    </w:tbl>
    <w:p>
      <w:pPr>
        <w:pStyle w:val="Normal"/>
        <w:spacing w:before="0" w:after="0"/>
        <w:rPr/>
      </w:pPr>
      <w:r>
        <w:rPr/>
      </w:r>
    </w:p>
    <w:p>
      <w:pPr>
        <w:pStyle w:val="Normal"/>
        <w:spacing w:before="0" w:after="140"/>
        <w:rPr/>
      </w:pPr>
      <w:r>
        <w:rPr>
          <w:rFonts w:eastAsia="Arial"/>
          <w:b w:val="false"/>
          <w:color w:val="000000"/>
          <w:sz w:val="20"/>
        </w:rPr>
        <w:t>Ce plan définit les contrôles nécessaires pour établir la conformité des quatre fonctions retenues. La mise à jour du 2 octobre 2026 consigne l’avancement de conception et d’implémentation constaté dans les artefacts du projet; les essais sur carte et sur écran restent distincts et doivent être appuyés par des mesures reproductibles.</w:t>
      </w:r>
    </w:p>
    <w:p>
      <w:pPr>
        <w:pStyle w:val="Heading1"/>
        <w:rPr/>
      </w:pPr>
      <w:r>
        <w:rPr/>
        <w:t>1. Objet et périmètre</w:t>
      </w:r>
    </w:p>
    <w:p>
      <w:pPr>
        <w:pStyle w:val="Normal"/>
        <w:spacing w:before="0" w:after="100"/>
        <w:rPr/>
      </w:pPr>
      <w:r>
        <w:rPr>
          <w:rFonts w:eastAsia="Arial"/>
          <w:b w:val="false"/>
          <w:color w:val="000000"/>
          <w:sz w:val="20"/>
        </w:rPr>
        <w:t>La validation couvre le DMA MM2S, le générateur de mire (TPG), l’affichage au moyen du PMOD VGA et la sélection entre les sources DMA et TPG. Les exigences sont reprises du SRS, révision AB.</w:t>
      </w:r>
    </w:p>
    <w:tbl>
      <w:tblPr>
        <w:tblStyle w:val="TableGrid"/>
        <w:tblW w:w="9720"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1800"/>
        <w:gridCol w:w="2088"/>
        <w:gridCol w:w="5832"/>
      </w:tblGrid>
      <w:tr>
        <w:trPr>
          <w:tblHeader w:val="true"/>
          <w:cantSplit w:val="true"/>
        </w:trPr>
        <w:tc>
          <w:tcPr>
            <w:tcW w:w="1800"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60" w:after="60"/>
              <w:rPr/>
            </w:pPr>
            <w:r>
              <w:rPr>
                <w:rFonts w:eastAsia="Arial"/>
                <w:b/>
                <w:color w:val="FFFFFF"/>
                <w:sz w:val="18"/>
              </w:rPr>
              <w:t>Fonction</w:t>
            </w:r>
          </w:p>
        </w:tc>
        <w:tc>
          <w:tcPr>
            <w:tcW w:w="2088"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60" w:after="60"/>
              <w:rPr/>
            </w:pPr>
            <w:r>
              <w:rPr>
                <w:rFonts w:eastAsia="Arial"/>
                <w:b/>
                <w:color w:val="FFFFFF"/>
                <w:sz w:val="18"/>
              </w:rPr>
              <w:t>Exigence SRS</w:t>
            </w:r>
          </w:p>
        </w:tc>
        <w:tc>
          <w:tcPr>
            <w:tcW w:w="5832"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40" w:before="60" w:after="60"/>
              <w:rPr/>
            </w:pPr>
            <w:r>
              <w:rPr>
                <w:rFonts w:eastAsia="Arial"/>
                <w:b/>
                <w:color w:val="FFFFFF"/>
                <w:sz w:val="18"/>
              </w:rPr>
              <w:t>Critère de couverture</w:t>
            </w:r>
          </w:p>
        </w:tc>
      </w:tr>
      <w:tr>
        <w:trPr>
          <w:cantSplit w:val="true"/>
        </w:trPr>
        <w:tc>
          <w:tcPr>
            <w:tcW w:w="180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60" w:after="60"/>
              <w:rPr/>
            </w:pPr>
            <w:r>
              <w:rPr>
                <w:rFonts w:eastAsia="Arial"/>
                <w:b w:val="false"/>
                <w:color w:val="000000"/>
                <w:sz w:val="18"/>
              </w:rPr>
              <w:t>DMA MM2S</w:t>
            </w:r>
          </w:p>
        </w:tc>
        <w:tc>
          <w:tcPr>
            <w:tcW w:w="2088"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60" w:after="60"/>
              <w:rPr/>
            </w:pPr>
            <w:r>
              <w:rPr>
                <w:rFonts w:eastAsia="Arial"/>
                <w:b w:val="false"/>
                <w:color w:val="000000"/>
                <w:sz w:val="18"/>
              </w:rPr>
              <w:t>PL-IP-000 (P1)</w:t>
            </w:r>
          </w:p>
        </w:tc>
        <w:tc>
          <w:tcPr>
            <w:tcW w:w="5832"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60" w:after="60"/>
              <w:rPr/>
            </w:pPr>
            <w:r>
              <w:rPr>
                <w:rFonts w:eastAsia="Arial"/>
                <w:b w:val="false"/>
                <w:color w:val="000000"/>
                <w:sz w:val="18"/>
              </w:rPr>
              <w:t>Relire une image 640 × 480 RGB888 depuis la DDR et produire le flux vidéo attendu, avec une cadence cible de 60 images/s.</w:t>
            </w:r>
          </w:p>
        </w:tc>
      </w:tr>
      <w:tr>
        <w:trPr>
          <w:cantSplit w:val="true"/>
        </w:trPr>
        <w:tc>
          <w:tcPr>
            <w:tcW w:w="1800" w:type="dxa"/>
            <w:tcBorders>
              <w:top w:val="single" w:sz="6" w:space="0" w:color="D9D9D9"/>
              <w:start w:val="single" w:sz="6" w:space="0" w:color="D9D9D9"/>
              <w:bottom w:val="single" w:sz="6" w:space="0" w:color="D9D9D9"/>
              <w:end w:val="single" w:sz="6" w:space="0" w:color="D9D9D9"/>
            </w:tcBorders>
            <w:shd w:fill="F2F6FA" w:val="clear"/>
            <w:tcMar>
              <w:top w:w="95" w:type="dxa"/>
              <w:bottom w:w="95" w:type="dxa"/>
            </w:tcMar>
            <w:vAlign w:val="center"/>
          </w:tcPr>
          <w:p>
            <w:pPr>
              <w:pStyle w:val="Normal"/>
              <w:spacing w:lineRule="auto" w:line="240" w:before="60" w:after="60"/>
              <w:rPr/>
            </w:pPr>
            <w:r>
              <w:rPr>
                <w:rFonts w:eastAsia="Arial"/>
                <w:b w:val="false"/>
                <w:color w:val="000000"/>
                <w:sz w:val="18"/>
              </w:rPr>
              <w:t>TPG</w:t>
            </w:r>
          </w:p>
        </w:tc>
        <w:tc>
          <w:tcPr>
            <w:tcW w:w="2088" w:type="dxa"/>
            <w:tcBorders>
              <w:top w:val="single" w:sz="6" w:space="0" w:color="D9D9D9"/>
              <w:start w:val="single" w:sz="6" w:space="0" w:color="D9D9D9"/>
              <w:bottom w:val="single" w:sz="6" w:space="0" w:color="D9D9D9"/>
              <w:end w:val="single" w:sz="6" w:space="0" w:color="D9D9D9"/>
            </w:tcBorders>
            <w:shd w:fill="F2F6FA" w:val="clear"/>
            <w:tcMar>
              <w:top w:w="95" w:type="dxa"/>
              <w:bottom w:w="95" w:type="dxa"/>
            </w:tcMar>
            <w:vAlign w:val="center"/>
          </w:tcPr>
          <w:p>
            <w:pPr>
              <w:pStyle w:val="Normal"/>
              <w:spacing w:lineRule="auto" w:line="240" w:before="60" w:after="60"/>
              <w:rPr/>
            </w:pPr>
            <w:r>
              <w:rPr>
                <w:rFonts w:eastAsia="Arial"/>
                <w:b w:val="false"/>
                <w:color w:val="000000"/>
                <w:sz w:val="18"/>
              </w:rPr>
              <w:t>PL-IP-001 (P1)</w:t>
            </w:r>
          </w:p>
        </w:tc>
        <w:tc>
          <w:tcPr>
            <w:tcW w:w="5832" w:type="dxa"/>
            <w:tcBorders>
              <w:top w:val="single" w:sz="6" w:space="0" w:color="D9D9D9"/>
              <w:start w:val="single" w:sz="6" w:space="0" w:color="D9D9D9"/>
              <w:bottom w:val="single" w:sz="6" w:space="0" w:color="D9D9D9"/>
              <w:end w:val="single" w:sz="6" w:space="0" w:color="D9D9D9"/>
            </w:tcBorders>
            <w:shd w:fill="F2F6FA" w:val="clear"/>
            <w:tcMar>
              <w:top w:w="95" w:type="dxa"/>
              <w:bottom w:w="95" w:type="dxa"/>
            </w:tcMar>
            <w:vAlign w:val="center"/>
          </w:tcPr>
          <w:p>
            <w:pPr>
              <w:pStyle w:val="Normal"/>
              <w:spacing w:lineRule="auto" w:line="240" w:before="60" w:after="60"/>
              <w:rPr/>
            </w:pPr>
            <w:r>
              <w:rPr>
                <w:rFonts w:eastAsia="Arial"/>
                <w:b w:val="false"/>
                <w:color w:val="000000"/>
                <w:sz w:val="18"/>
              </w:rPr>
              <w:t>Émettre un flux vidéo comportant au moins un élément dynamique.</w:t>
            </w:r>
          </w:p>
        </w:tc>
      </w:tr>
      <w:tr>
        <w:trPr>
          <w:cantSplit w:val="true"/>
        </w:trPr>
        <w:tc>
          <w:tcPr>
            <w:tcW w:w="180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60" w:after="60"/>
              <w:rPr/>
            </w:pPr>
            <w:r>
              <w:rPr>
                <w:rFonts w:eastAsia="Arial"/>
                <w:b w:val="false"/>
                <w:color w:val="000000"/>
                <w:sz w:val="18"/>
              </w:rPr>
              <w:t>Sélection de source</w:t>
            </w:r>
          </w:p>
        </w:tc>
        <w:tc>
          <w:tcPr>
            <w:tcW w:w="2088"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60" w:after="60"/>
              <w:rPr/>
            </w:pPr>
            <w:r>
              <w:rPr>
                <w:rFonts w:eastAsia="Arial"/>
                <w:b w:val="false"/>
                <w:color w:val="000000"/>
                <w:sz w:val="18"/>
              </w:rPr>
              <w:t>PL-IP-002 (P1)</w:t>
            </w:r>
          </w:p>
        </w:tc>
        <w:tc>
          <w:tcPr>
            <w:tcW w:w="5832"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60" w:after="60"/>
              <w:rPr/>
            </w:pPr>
            <w:r>
              <w:rPr>
                <w:rFonts w:eastAsia="Arial"/>
                <w:b w:val="false"/>
                <w:color w:val="000000"/>
                <w:sz w:val="18"/>
              </w:rPr>
              <w:t>Sélection DMA ou TPG à l’initialisation.</w:t>
            </w:r>
          </w:p>
        </w:tc>
      </w:tr>
      <w:tr>
        <w:trPr>
          <w:cantSplit w:val="true"/>
        </w:trPr>
        <w:tc>
          <w:tcPr>
            <w:tcW w:w="1800" w:type="dxa"/>
            <w:tcBorders>
              <w:top w:val="single" w:sz="6" w:space="0" w:color="D9D9D9"/>
              <w:start w:val="single" w:sz="6" w:space="0" w:color="D9D9D9"/>
              <w:bottom w:val="single" w:sz="6" w:space="0" w:color="D9D9D9"/>
              <w:end w:val="single" w:sz="6" w:space="0" w:color="D9D9D9"/>
            </w:tcBorders>
            <w:shd w:fill="F2F6FA" w:val="clear"/>
            <w:tcMar>
              <w:top w:w="95" w:type="dxa"/>
              <w:bottom w:w="95" w:type="dxa"/>
            </w:tcMar>
            <w:vAlign w:val="center"/>
          </w:tcPr>
          <w:p>
            <w:pPr>
              <w:pStyle w:val="Normal"/>
              <w:spacing w:lineRule="auto" w:line="240" w:before="60" w:after="60"/>
              <w:rPr/>
            </w:pPr>
            <w:r>
              <w:rPr>
                <w:rFonts w:eastAsia="Arial"/>
                <w:b w:val="false"/>
                <w:color w:val="000000"/>
                <w:sz w:val="18"/>
              </w:rPr>
              <w:t>Affichage PMOD VGA</w:t>
            </w:r>
          </w:p>
        </w:tc>
        <w:tc>
          <w:tcPr>
            <w:tcW w:w="2088" w:type="dxa"/>
            <w:tcBorders>
              <w:top w:val="single" w:sz="6" w:space="0" w:color="D9D9D9"/>
              <w:start w:val="single" w:sz="6" w:space="0" w:color="D9D9D9"/>
              <w:bottom w:val="single" w:sz="6" w:space="0" w:color="D9D9D9"/>
              <w:end w:val="single" w:sz="6" w:space="0" w:color="D9D9D9"/>
            </w:tcBorders>
            <w:shd w:fill="F2F6FA" w:val="clear"/>
            <w:tcMar>
              <w:top w:w="95" w:type="dxa"/>
              <w:bottom w:w="95" w:type="dxa"/>
            </w:tcMar>
            <w:vAlign w:val="center"/>
          </w:tcPr>
          <w:p>
            <w:pPr>
              <w:pStyle w:val="Normal"/>
              <w:spacing w:lineRule="auto" w:line="240" w:before="60" w:after="60"/>
              <w:rPr/>
            </w:pPr>
            <w:r>
              <w:rPr>
                <w:rFonts w:eastAsia="Arial"/>
                <w:b w:val="false"/>
                <w:color w:val="000000"/>
                <w:sz w:val="18"/>
              </w:rPr>
              <w:t>PL-DISP-002 (P1)</w:t>
            </w:r>
          </w:p>
        </w:tc>
        <w:tc>
          <w:tcPr>
            <w:tcW w:w="5832" w:type="dxa"/>
            <w:tcBorders>
              <w:top w:val="single" w:sz="6" w:space="0" w:color="D9D9D9"/>
              <w:start w:val="single" w:sz="6" w:space="0" w:color="D9D9D9"/>
              <w:bottom w:val="single" w:sz="6" w:space="0" w:color="D9D9D9"/>
              <w:end w:val="single" w:sz="6" w:space="0" w:color="D9D9D9"/>
            </w:tcBorders>
            <w:shd w:fill="F2F6FA" w:val="clear"/>
            <w:tcMar>
              <w:top w:w="95" w:type="dxa"/>
              <w:bottom w:w="95" w:type="dxa"/>
            </w:tcMar>
            <w:vAlign w:val="center"/>
          </w:tcPr>
          <w:p>
            <w:pPr>
              <w:pStyle w:val="Normal"/>
              <w:spacing w:lineRule="auto" w:line="240" w:before="60" w:after="60"/>
              <w:rPr/>
            </w:pPr>
            <w:r>
              <w:rPr>
                <w:rFonts w:eastAsia="Arial"/>
                <w:b w:val="false"/>
                <w:color w:val="000000"/>
                <w:sz w:val="18"/>
              </w:rPr>
              <w:t>Afficher le flux sur un écran compatible VGA en 640 × 480 à 60 Hz, avec synchronisations et composantes couleur valides.</w:t>
            </w:r>
          </w:p>
        </w:tc>
      </w:tr>
    </w:tbl>
    <w:p>
      <w:pPr>
        <w:pStyle w:val="Normal"/>
        <w:spacing w:before="20" w:after="20"/>
        <w:rPr/>
      </w:pPr>
      <w:r>
        <w:rPr/>
      </w:r>
    </w:p>
    <w:p>
      <w:pPr>
        <w:pStyle w:val="Normal"/>
        <w:spacing w:before="0" w:after="100"/>
        <w:rPr>
          <w:rFonts w:eastAsia="Arial"/>
          <w:b w:val="false"/>
          <w:color w:val="000000"/>
          <w:sz w:val="20"/>
        </w:rPr>
      </w:pPr>
      <w:r>
        <w:rPr>
          <w:rFonts w:eastAsia="Arial"/>
          <w:b w:val="false"/>
          <w:color w:val="000000"/>
          <w:sz w:val="20"/>
        </w:rPr>
        <w:t>Hors périmètre : filtres luminance, gaussien et Harris, seuillage, overlay, retour UART, alimentation de la DDR et chargement automatique depuis carte SD. La chaîne intégrée n’est observée que pour confirmer le chemin DMA ou TPG vers la sélection de source puis le PMOD VGA.</w:t>
      </w:r>
    </w:p>
    <w:p>
      <w:pPr>
        <w:pStyle w:val="Normal"/>
        <w:spacing w:before="0" w:after="100"/>
        <w:rPr>
          <w:rFonts w:eastAsia="Arial"/>
          <w:b w:val="false"/>
          <w:color w:val="000000"/>
          <w:sz w:val="20"/>
        </w:rPr>
      </w:pPr>
      <w:r>
        <w:rPr>
          <w:rFonts w:eastAsia="Arial"/>
          <w:b w:val="false"/>
          <w:color w:val="000000"/>
          <w:sz w:val="2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70930" cy="32753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70930" cy="3275330"/>
                    </a:xfrm>
                    <a:prstGeom prst="rect">
                      <a:avLst/>
                    </a:prstGeom>
                    <a:noFill/>
                  </pic:spPr>
                </pic:pic>
              </a:graphicData>
            </a:graphic>
          </wp:anchor>
        </w:drawing>
      </w:r>
    </w:p>
    <w:p>
      <w:pPr>
        <w:pStyle w:val="Heading1"/>
        <w:rPr/>
      </w:pPr>
      <w:r>
        <w:rPr/>
        <w:t>2. Conditions et stratégie de validation</w:t>
      </w:r>
    </w:p>
    <w:p>
      <w:pPr>
        <w:pStyle w:val="Heading2"/>
        <w:rPr/>
      </w:pPr>
      <w:r>
        <w:rPr/>
        <w:t>2.1 Conditions d’entrée</w:t>
      </w:r>
    </w:p>
    <w:p>
      <w:pPr>
        <w:pStyle w:val="ListBullet"/>
        <w:numPr>
          <w:ilvl w:val="0"/>
          <w:numId w:val="1"/>
        </w:numPr>
        <w:spacing w:before="0" w:after="40"/>
        <w:ind w:hanging="173" w:start="360"/>
        <w:contextualSpacing/>
        <w:rPr/>
      </w:pPr>
      <w:r>
        <w:rPr>
          <w:rFonts w:eastAsia="Arial"/>
          <w:b w:val="false"/>
          <w:color w:val="000000"/>
          <w:sz w:val="19"/>
        </w:rPr>
        <w:t>Disposer du bitstream et des sources correspondant à une révision identifiée; consigner la version de Vivado et de Vitis HLS utilisée pour produire les résultats.</w:t>
      </w:r>
    </w:p>
    <w:p>
      <w:pPr>
        <w:pStyle w:val="ListBullet"/>
        <w:numPr>
          <w:ilvl w:val="0"/>
          <w:numId w:val="1"/>
        </w:numPr>
        <w:spacing w:before="0" w:after="40"/>
        <w:ind w:hanging="173" w:start="360"/>
        <w:contextualSpacing/>
        <w:rPr/>
      </w:pPr>
      <w:r>
        <w:rPr>
          <w:rFonts w:eastAsia="Arial"/>
          <w:b w:val="false"/>
          <w:color w:val="000000"/>
          <w:sz w:val="19"/>
        </w:rPr>
        <w:t>Pour les essais matériels, utiliser la carte Cora-Z7-10, un PMOD VGA correctement raccordé et un écran acceptant le mode 640 × 480 à 60 Hz.</w:t>
      </w:r>
    </w:p>
    <w:p>
      <w:pPr>
        <w:pStyle w:val="ListBullet"/>
        <w:numPr>
          <w:ilvl w:val="0"/>
          <w:numId w:val="1"/>
        </w:numPr>
        <w:spacing w:before="0" w:after="40"/>
        <w:ind w:hanging="173" w:start="360"/>
        <w:contextualSpacing/>
        <w:rPr/>
      </w:pPr>
      <w:r>
        <w:rPr>
          <w:rFonts w:eastAsia="Arial"/>
          <w:b w:val="false"/>
          <w:color w:val="000000"/>
          <w:sz w:val="19"/>
        </w:rPr>
        <w:t>Préparer une image de référence 640 × 480 au format RGB888 pour le DMA et deux contenus visuellement distincts pour identifier sans ambiguïté les sorties DMA et TPG.</w:t>
      </w:r>
    </w:p>
    <w:p>
      <w:pPr>
        <w:pStyle w:val="ListBullet"/>
        <w:numPr>
          <w:ilvl w:val="0"/>
          <w:numId w:val="1"/>
        </w:numPr>
        <w:spacing w:before="0" w:after="40"/>
        <w:ind w:hanging="173" w:start="360"/>
        <w:contextualSpacing/>
        <w:rPr/>
      </w:pPr>
      <w:r>
        <w:rPr>
          <w:rFonts w:eastAsia="Arial"/>
          <w:b w:val="false"/>
          <w:color w:val="000000"/>
          <w:sz w:val="19"/>
        </w:rPr>
        <w:t>Rendre accessibles les moyens de capture du flux AXI4-Stream et de mesure du rafraîchissement; conserver les réglages de source et les adresses ou registres employés.</w:t>
      </w:r>
    </w:p>
    <w:p>
      <w:pPr>
        <w:pStyle w:val="Heading2"/>
        <w:rPr/>
      </w:pPr>
      <w:r>
        <w:rPr/>
        <w:t>2.2 Niveaux de contrôle</w:t>
      </w:r>
    </w:p>
    <w:p>
      <w:pPr>
        <w:pStyle w:val="Normal"/>
        <w:spacing w:before="0" w:after="100"/>
        <w:rPr/>
      </w:pPr>
      <w:r>
        <w:rPr>
          <w:rFonts w:eastAsia="Arial"/>
          <w:b w:val="false"/>
          <w:color w:val="000000"/>
          <w:sz w:val="20"/>
        </w:rPr>
        <w:t>La simulation vérifie l’exactitude des données et des marqueurs de trame. L’essai sur FPGA vérifie la lecture depuis la DDR, la cadence et la sélection de la source. L’essai sur écran vérifie le mode vidéo et le routage physique du PMOD VGA. Une réussite en simulation ou en implémentation ne vaut pas preuve d’affichage matériel.</w:t>
      </w:r>
    </w:p>
    <w:p>
      <w:pPr>
        <w:pStyle w:val="Heading2"/>
        <w:rPr/>
      </w:pPr>
      <w:r>
        <w:rPr/>
        <w:t>2.3 Règles de décision</w:t>
      </w:r>
    </w:p>
    <w:tbl>
      <w:tblPr>
        <w:tblW w:w="9720"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1944"/>
        <w:gridCol w:w="7776"/>
      </w:tblGrid>
      <w:tr>
        <w:trPr>
          <w:tblHeader w:val="true"/>
          <w:cantSplit w:val="true"/>
        </w:trPr>
        <w:tc>
          <w:tcPr>
            <w:tcW w:w="1944"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7"/>
              </w:rPr>
              <w:t>Verdict</w:t>
            </w:r>
          </w:p>
        </w:tc>
        <w:tc>
          <w:tcPr>
            <w:tcW w:w="7776"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7"/>
              </w:rPr>
              <w:t>Règle d’attribution</w:t>
            </w:r>
          </w:p>
        </w:tc>
      </w:tr>
      <w:tr>
        <w:trPr>
          <w:cantSplit w:val="true"/>
        </w:trPr>
        <w:tc>
          <w:tcPr>
            <w:tcW w:w="1944"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Réussi</w:t>
            </w:r>
          </w:p>
        </w:tc>
        <w:tc>
          <w:tcPr>
            <w:tcW w:w="7776"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Tous les critères du test sont satisfaits et les traces ou mesures sont conservées.</w:t>
            </w:r>
          </w:p>
        </w:tc>
      </w:tr>
      <w:tr>
        <w:trPr>
          <w:cantSplit w:val="true"/>
        </w:trPr>
        <w:tc>
          <w:tcPr>
            <w:tcW w:w="1944"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Échoué</w:t>
            </w:r>
          </w:p>
        </w:tc>
        <w:tc>
          <w:tcPr>
            <w:tcW w:w="7776"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Le test a été exécuté et au moins un critère n’est pas satisfait; joindre la trace et décrire l’écart.</w:t>
            </w:r>
          </w:p>
        </w:tc>
      </w:tr>
      <w:tr>
        <w:trPr>
          <w:cantSplit w:val="true"/>
        </w:trPr>
        <w:tc>
          <w:tcPr>
            <w:tcW w:w="1944"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Non exécuté</w:t>
            </w:r>
          </w:p>
        </w:tc>
        <w:tc>
          <w:tcPr>
            <w:tcW w:w="7776"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Aucune exécution concluante n’est disponible; ne pas conclure à la conformité.</w:t>
            </w:r>
          </w:p>
        </w:tc>
      </w:tr>
      <w:tr>
        <w:trPr>
          <w:cantSplit w:val="true"/>
        </w:trPr>
        <w:tc>
          <w:tcPr>
            <w:tcW w:w="1944"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Bloqué</w:t>
            </w:r>
          </w:p>
        </w:tc>
        <w:tc>
          <w:tcPr>
            <w:tcW w:w="7776"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Une précondition empêche l’exécution; préciser l’élément manquant.</w:t>
            </w:r>
          </w:p>
        </w:tc>
      </w:tr>
    </w:tbl>
    <w:p>
      <w:pPr>
        <w:pStyle w:val="Normal"/>
        <w:spacing w:before="20" w:after="20"/>
        <w:rPr/>
      </w:pPr>
      <w:r>
        <w:rPr/>
      </w:r>
    </w:p>
    <w:p>
      <w:pPr>
        <w:pStyle w:val="Heading1"/>
        <w:rPr/>
      </w:pPr>
      <w:r>
        <w:rPr/>
      </w:r>
      <w:r>
        <w:br w:type="page"/>
      </w:r>
    </w:p>
    <w:p>
      <w:pPr>
        <w:pStyle w:val="Heading1"/>
        <w:rPr/>
      </w:pPr>
      <w:r>
        <w:rPr/>
        <w:t>3. Procédures de test</w:t>
      </w:r>
    </w:p>
    <w:p>
      <w:pPr>
        <w:pStyle w:val="Heading2"/>
        <w:rPr/>
      </w:pPr>
      <w:r>
        <w:rPr/>
        <w:t>3.1 DMA MM2S</w:t>
      </w:r>
    </w:p>
    <w:p>
      <w:pPr>
        <w:pStyle w:val="Heading3"/>
        <w:rPr/>
      </w:pPr>
      <w:r>
        <w:rPr/>
        <w:t>VP-DMA-01 - Simulation fonctionnelle  |  Priorité P1</w:t>
      </w:r>
    </w:p>
    <w:p>
      <w:pPr>
        <w:pStyle w:val="Normal"/>
        <w:spacing w:before="0" w:after="80"/>
        <w:ind w:hanging="173" w:start="173"/>
        <w:rPr/>
      </w:pPr>
      <w:r>
        <w:rPr>
          <w:rFonts w:eastAsia="Arial"/>
          <w:b/>
          <w:color w:val="000000"/>
          <w:sz w:val="19"/>
        </w:rPr>
        <w:t xml:space="preserve">Objectif : </w:t>
      </w:r>
      <w:r>
        <w:rPr>
          <w:rFonts w:eastAsia="Arial"/>
          <w:b w:val="false"/>
          <w:color w:val="000000"/>
          <w:sz w:val="19"/>
        </w:rPr>
        <w:t>Vérifier le décodage mémoire, l’ordre RGB, le nombre de pixels et les marqueurs vidéo.</w:t>
      </w:r>
    </w:p>
    <w:p>
      <w:pPr>
        <w:pStyle w:val="Normal"/>
        <w:spacing w:before="0" w:after="80"/>
        <w:ind w:hanging="173" w:start="173"/>
        <w:rPr/>
      </w:pPr>
      <w:r>
        <w:rPr>
          <w:rFonts w:eastAsia="Arial"/>
          <w:b/>
          <w:color w:val="000000"/>
          <w:sz w:val="19"/>
        </w:rPr>
        <w:t xml:space="preserve">Exécution : </w:t>
      </w:r>
      <w:r>
        <w:rPr>
          <w:rFonts w:eastAsia="Arial"/>
          <w:b w:val="false"/>
          <w:color w:val="000000"/>
          <w:sz w:val="19"/>
        </w:rPr>
        <w:t>Charger les plans R, G et B de l’image de référence dans le modèle mémoire; exécuter la simulation C du DMA en 640 × 480; comparer chaque pixel en sortie et contrôler TLAST et TUSER.</w:t>
      </w:r>
    </w:p>
    <w:p>
      <w:pPr>
        <w:pStyle w:val="Normal"/>
        <w:spacing w:before="0" w:after="80"/>
        <w:ind w:hanging="173" w:start="173"/>
        <w:rPr/>
      </w:pPr>
      <w:r>
        <w:rPr>
          <w:rFonts w:eastAsia="Arial"/>
          <w:b/>
          <w:color w:val="000000"/>
          <w:sz w:val="19"/>
        </w:rPr>
        <w:t xml:space="preserve">Acceptation : </w:t>
      </w:r>
      <w:r>
        <w:rPr>
          <w:rFonts w:eastAsia="Arial"/>
          <w:b w:val="false"/>
          <w:color w:val="000000"/>
          <w:sz w:val="19"/>
        </w:rPr>
        <w:t>Les 307 200 pixels correspondent à l’image attendue; TLAST est actif au dernier pixel de chaque ligne, TUSER uniquement au premier pixel de la trame; aucun élément ne manque ou ne s’ajoute.</w:t>
      </w:r>
    </w:p>
    <w:p>
      <w:pPr>
        <w:pStyle w:val="Normal"/>
        <w:spacing w:before="0" w:after="80"/>
        <w:ind w:hanging="173" w:start="173"/>
        <w:rPr/>
      </w:pPr>
      <w:r>
        <w:rPr>
          <w:rFonts w:eastAsia="Arial"/>
          <w:b/>
          <w:color w:val="000000"/>
          <w:sz w:val="19"/>
        </w:rPr>
        <w:t xml:space="preserve">Preuve à conserver : </w:t>
      </w:r>
      <w:r>
        <w:rPr>
          <w:rFonts w:eastAsia="Arial"/>
          <w:b w:val="false"/>
          <w:color w:val="000000"/>
          <w:sz w:val="19"/>
        </w:rPr>
        <w:t>Journal C-simulation, fichiers d’entrée et de sortie, version des sources et configuration RGB888.</w:t>
      </w:r>
    </w:p>
    <w:p>
      <w:pPr>
        <w:pStyle w:val="Heading3"/>
        <w:rPr/>
      </w:pPr>
      <w:r>
        <w:rPr/>
        <w:t>VP-DMA-02 - Lecture DDR et cadence  |  Priorité P1</w:t>
      </w:r>
    </w:p>
    <w:p>
      <w:pPr>
        <w:pStyle w:val="Normal"/>
        <w:spacing w:before="0" w:after="80"/>
        <w:ind w:hanging="173" w:start="173"/>
        <w:rPr/>
      </w:pPr>
      <w:r>
        <w:rPr>
          <w:rFonts w:eastAsia="Arial"/>
          <w:b/>
          <w:color w:val="000000"/>
          <w:sz w:val="19"/>
        </w:rPr>
        <w:t xml:space="preserve">Objectif : </w:t>
      </w:r>
      <w:r>
        <w:rPr>
          <w:rFonts w:eastAsia="Arial"/>
          <w:b w:val="false"/>
          <w:color w:val="000000"/>
          <w:sz w:val="19"/>
        </w:rPr>
        <w:t>Vérifier le chemin physique DDR-vers-flux et la cadence vidéo demandée.</w:t>
      </w:r>
    </w:p>
    <w:p>
      <w:pPr>
        <w:pStyle w:val="Normal"/>
        <w:spacing w:before="0" w:after="80"/>
        <w:ind w:hanging="173" w:start="173"/>
        <w:rPr/>
      </w:pPr>
      <w:r>
        <w:rPr>
          <w:rFonts w:eastAsia="Arial"/>
          <w:b/>
          <w:color w:val="000000"/>
          <w:sz w:val="19"/>
        </w:rPr>
        <w:t xml:space="preserve">Exécution : </w:t>
      </w:r>
      <w:r>
        <w:rPr>
          <w:rFonts w:eastAsia="Arial"/>
          <w:b w:val="false"/>
          <w:color w:val="000000"/>
          <w:sz w:val="19"/>
        </w:rPr>
        <w:t>Charger l’image de référence en DDR depuis le PS; démarrer le DMA sur FPGA; capturer le flux AXI4-Stream et mesurer la cadence de trame sur une durée représentative.</w:t>
      </w:r>
    </w:p>
    <w:p>
      <w:pPr>
        <w:pStyle w:val="Normal"/>
        <w:spacing w:before="0" w:after="80"/>
        <w:ind w:hanging="173" w:start="173"/>
        <w:rPr/>
      </w:pPr>
      <w:r>
        <w:rPr>
          <w:rFonts w:eastAsia="Arial"/>
          <w:b/>
          <w:color w:val="000000"/>
          <w:sz w:val="19"/>
        </w:rPr>
        <w:t xml:space="preserve">Acceptation : </w:t>
      </w:r>
      <w:r>
        <w:rPr>
          <w:rFonts w:eastAsia="Arial"/>
          <w:b w:val="false"/>
          <w:color w:val="000000"/>
          <w:sz w:val="19"/>
        </w:rPr>
        <w:t>Le flux reproduit l’image de référence sans perte ni duplication; la cadence mesurée est de 60 images/s. Consigner les valeurs mesurées et les conditions de capture.</w:t>
      </w:r>
    </w:p>
    <w:p>
      <w:pPr>
        <w:pStyle w:val="Normal"/>
        <w:spacing w:before="0" w:after="80"/>
        <w:ind w:hanging="173" w:start="173"/>
        <w:rPr/>
      </w:pPr>
      <w:r>
        <w:rPr>
          <w:rFonts w:eastAsia="Arial"/>
          <w:b/>
          <w:color w:val="000000"/>
          <w:sz w:val="19"/>
        </w:rPr>
        <w:t xml:space="preserve">Preuve à conserver : </w:t>
      </w:r>
      <w:r>
        <w:rPr>
          <w:rFonts w:eastAsia="Arial"/>
          <w:b w:val="false"/>
          <w:color w:val="000000"/>
          <w:sz w:val="19"/>
        </w:rPr>
        <w:t>Trace AXI4-Stream, mesure de cadence, adresse et taille mémoire, bitstream et journal de démarrage.</w:t>
      </w:r>
    </w:p>
    <w:p>
      <w:pPr>
        <w:pStyle w:val="Heading2"/>
        <w:rPr/>
      </w:pPr>
      <w:r>
        <w:rPr/>
        <w:t>3.2 Générateur d’image TPG</w:t>
      </w:r>
    </w:p>
    <w:p>
      <w:pPr>
        <w:pStyle w:val="Heading3"/>
        <w:rPr/>
      </w:pPr>
      <w:r>
        <w:rPr/>
        <w:t>VP-TPG-01 - Image et mouvement  |  Priorité P1</w:t>
      </w:r>
    </w:p>
    <w:p>
      <w:pPr>
        <w:pStyle w:val="Normal"/>
        <w:spacing w:before="0" w:after="80"/>
        <w:ind w:hanging="173" w:start="173"/>
        <w:rPr/>
      </w:pPr>
      <w:r>
        <w:rPr>
          <w:rFonts w:eastAsia="Arial"/>
          <w:b/>
          <w:color w:val="000000"/>
          <w:sz w:val="19"/>
        </w:rPr>
        <w:t xml:space="preserve">Objectif : </w:t>
      </w:r>
      <w:r>
        <w:rPr>
          <w:rFonts w:eastAsia="Arial"/>
          <w:b w:val="false"/>
          <w:color w:val="000000"/>
          <w:sz w:val="19"/>
        </w:rPr>
        <w:t>Vérifier la présence d’un flux et le déplacement d’au moins un élément dans le temps.</w:t>
      </w:r>
    </w:p>
    <w:p>
      <w:pPr>
        <w:pStyle w:val="Normal"/>
        <w:spacing w:before="0" w:after="80"/>
        <w:ind w:hanging="173" w:start="173"/>
        <w:rPr/>
      </w:pPr>
      <w:r>
        <w:rPr>
          <w:rFonts w:eastAsia="Arial"/>
          <w:b/>
          <w:color w:val="000000"/>
          <w:sz w:val="19"/>
        </w:rPr>
        <w:t xml:space="preserve">Exécution : </w:t>
      </w:r>
      <w:r>
        <w:rPr>
          <w:rFonts w:eastAsia="Arial"/>
          <w:b w:val="false"/>
          <w:color w:val="000000"/>
          <w:sz w:val="19"/>
        </w:rPr>
        <w:t>Démarrer le TPG; capturer au moins deux instants distincts ou deux trames; observer le flux et l’image affichée; vérifier les frontières de ligne et de trame utilisées par l’interface.</w:t>
      </w:r>
    </w:p>
    <w:p>
      <w:pPr>
        <w:pStyle w:val="Normal"/>
        <w:spacing w:before="0" w:after="80"/>
        <w:ind w:hanging="173" w:start="173"/>
        <w:rPr/>
      </w:pPr>
      <w:r>
        <w:rPr>
          <w:rFonts w:eastAsia="Arial"/>
          <w:b/>
          <w:color w:val="000000"/>
          <w:sz w:val="19"/>
        </w:rPr>
        <w:t xml:space="preserve">Acceptation : </w:t>
      </w:r>
      <w:r>
        <w:rPr>
          <w:rFonts w:eastAsia="Arial"/>
          <w:b w:val="false"/>
          <w:color w:val="000000"/>
          <w:sz w:val="19"/>
        </w:rPr>
        <w:t>L’image est visible et un élément change de position au cours du temps; la sortie conserve des trames complètes et se raccorde au chemin vidéo prévu.</w:t>
      </w:r>
    </w:p>
    <w:p>
      <w:pPr>
        <w:pStyle w:val="Normal"/>
        <w:spacing w:before="0" w:after="80"/>
        <w:ind w:hanging="173" w:start="173"/>
        <w:rPr/>
      </w:pPr>
      <w:r>
        <w:rPr>
          <w:rFonts w:eastAsia="Arial"/>
          <w:b/>
          <w:color w:val="000000"/>
          <w:sz w:val="19"/>
        </w:rPr>
        <w:t xml:space="preserve">Preuve à conserver : </w:t>
      </w:r>
      <w:r>
        <w:rPr>
          <w:rFonts w:eastAsia="Arial"/>
          <w:b w:val="false"/>
          <w:color w:val="000000"/>
          <w:sz w:val="19"/>
        </w:rPr>
        <w:t>Captures datées ou trames de référence, configuration du TPG et traces du flux.</w:t>
      </w:r>
    </w:p>
    <w:p>
      <w:pPr>
        <w:pStyle w:val="Heading2"/>
        <w:rPr/>
      </w:pPr>
      <w:r>
        <w:rPr/>
        <w:t>3.3 Affichage PMOD VGA</w:t>
      </w:r>
    </w:p>
    <w:p>
      <w:pPr>
        <w:pStyle w:val="Heading3"/>
        <w:rPr/>
      </w:pPr>
      <w:r>
        <w:rPr/>
        <w:t>VP-VGA-01 - Mode vidéo et sortie physique  |  Priorité P1</w:t>
      </w:r>
    </w:p>
    <w:p>
      <w:pPr>
        <w:pStyle w:val="Normal"/>
        <w:spacing w:before="0" w:after="80"/>
        <w:ind w:hanging="173" w:start="173"/>
        <w:rPr/>
      </w:pPr>
      <w:r>
        <w:rPr>
          <w:rFonts w:eastAsia="Arial"/>
          <w:b/>
          <w:color w:val="000000"/>
          <w:sz w:val="19"/>
        </w:rPr>
        <w:t xml:space="preserve">Objectif : </w:t>
      </w:r>
      <w:r>
        <w:rPr>
          <w:rFonts w:eastAsia="Arial"/>
          <w:b w:val="false"/>
          <w:color w:val="000000"/>
          <w:sz w:val="19"/>
        </w:rPr>
        <w:t>Vérifier la synchronisation et l’affichage sur un écran compatible via le PMOD VGA.</w:t>
      </w:r>
    </w:p>
    <w:p>
      <w:pPr>
        <w:pStyle w:val="Normal"/>
        <w:spacing w:before="0" w:after="80"/>
        <w:ind w:hanging="173" w:start="173"/>
        <w:rPr/>
      </w:pPr>
      <w:r>
        <w:rPr>
          <w:rFonts w:eastAsia="Arial"/>
          <w:b/>
          <w:color w:val="000000"/>
          <w:sz w:val="19"/>
        </w:rPr>
        <w:t xml:space="preserve">Exécution : </w:t>
      </w:r>
      <w:r>
        <w:rPr>
          <w:rFonts w:eastAsia="Arial"/>
          <w:b w:val="false"/>
          <w:color w:val="000000"/>
          <w:sz w:val="19"/>
        </w:rPr>
        <w:t>Programmer le bitstream; raccorder le PMOD VGA et l’écran; afficher le flux de référence ou le flux TPG; mesurer les synchronisations horizontale et verticale ainsi que la cadence, puis vérifier la zone active et les couleurs.</w:t>
      </w:r>
    </w:p>
    <w:p>
      <w:pPr>
        <w:pStyle w:val="Normal"/>
        <w:spacing w:before="0" w:after="80"/>
        <w:ind w:hanging="173" w:start="173"/>
        <w:rPr/>
      </w:pPr>
      <w:r>
        <w:rPr>
          <w:rFonts w:eastAsia="Arial"/>
          <w:b/>
          <w:color w:val="000000"/>
          <w:sz w:val="19"/>
        </w:rPr>
        <w:t xml:space="preserve">Acceptation : </w:t>
      </w:r>
      <w:r>
        <w:rPr>
          <w:rFonts w:eastAsia="Arial"/>
          <w:b w:val="false"/>
          <w:color w:val="000000"/>
          <w:sz w:val="19"/>
        </w:rPr>
        <w:t>L’écran se verrouille sur 640 × 480 à 60 Hz; l’image attendue est visible dans la zone active, avec des couleurs cohérentes et sans perte persistante de synchronisation.</w:t>
      </w:r>
    </w:p>
    <w:p>
      <w:pPr>
        <w:pStyle w:val="Heading2"/>
        <w:rPr/>
      </w:pPr>
      <w:r>
        <w:rPr>
          <w:rFonts w:eastAsia="Arial"/>
          <w:b/>
          <w:color w:val="000000"/>
          <w:sz w:val="19"/>
        </w:rPr>
        <w:t xml:space="preserve">Preuve à conserver : </w:t>
      </w:r>
      <w:r>
        <w:rPr>
          <w:rFonts w:eastAsia="Arial"/>
          <w:b w:val="false"/>
          <w:color w:val="000000"/>
          <w:sz w:val="19"/>
        </w:rPr>
        <w:t>Photo ou capture de l’écran, mesures de synchronisation/cadence, référence de l’écran, brochage utilisé et bitstream.</w:t>
      </w:r>
    </w:p>
    <w:p>
      <w:pPr>
        <w:pStyle w:val="Heading2"/>
        <w:rPr/>
      </w:pPr>
      <w:r>
        <w:rPr/>
      </w:r>
      <w:r>
        <w:br w:type="page"/>
      </w:r>
    </w:p>
    <w:p>
      <w:pPr>
        <w:pStyle w:val="Heading2"/>
        <w:rPr/>
      </w:pPr>
      <w:r>
        <w:rPr/>
        <w:t>3.4 Sélection de source</w:t>
      </w:r>
    </w:p>
    <w:p>
      <w:pPr>
        <w:pStyle w:val="Heading3"/>
        <w:rPr/>
      </w:pPr>
      <w:r>
        <w:rPr/>
        <w:t>VP-SRC-01 - Sélection à l’initialisation  |  Priorité P1</w:t>
      </w:r>
    </w:p>
    <w:p>
      <w:pPr>
        <w:pStyle w:val="Normal"/>
        <w:spacing w:before="0" w:after="80"/>
        <w:ind w:hanging="173" w:start="173"/>
        <w:rPr/>
      </w:pPr>
      <w:r>
        <w:rPr>
          <w:rFonts w:eastAsia="Arial"/>
          <w:b/>
          <w:color w:val="000000"/>
          <w:sz w:val="19"/>
        </w:rPr>
        <w:t xml:space="preserve">Objectif : </w:t>
      </w:r>
      <w:r>
        <w:rPr>
          <w:rFonts w:eastAsia="Arial"/>
          <w:b w:val="false"/>
          <w:color w:val="000000"/>
          <w:sz w:val="19"/>
        </w:rPr>
        <w:t>Vérifier que la source choisie au démarrage est celle transmise vers l’affichage.</w:t>
      </w:r>
    </w:p>
    <w:p>
      <w:pPr>
        <w:pStyle w:val="Normal"/>
        <w:spacing w:before="0" w:after="80"/>
        <w:ind w:hanging="173" w:start="173"/>
        <w:rPr/>
      </w:pPr>
      <w:r>
        <w:rPr>
          <w:rFonts w:eastAsia="Arial"/>
          <w:b/>
          <w:color w:val="000000"/>
          <w:sz w:val="19"/>
        </w:rPr>
        <w:t xml:space="preserve">Exécution : </w:t>
      </w:r>
      <w:r>
        <w:rPr>
          <w:rFonts w:eastAsia="Arial"/>
          <w:b w:val="false"/>
          <w:color w:val="000000"/>
          <w:sz w:val="19"/>
        </w:rPr>
        <w:t>Pour chaque valeur de sélection prise en charge, initialiser le système, choisir DMA ou TPG, puis comparer le flux sélectionné à sa source de référence et observer le PMOD VGA.</w:t>
      </w:r>
    </w:p>
    <w:p>
      <w:pPr>
        <w:pStyle w:val="Normal"/>
        <w:spacing w:before="0" w:after="80"/>
        <w:ind w:hanging="173" w:start="173"/>
        <w:rPr/>
      </w:pPr>
      <w:r>
        <w:rPr>
          <w:rFonts w:eastAsia="Arial"/>
          <w:b/>
          <w:color w:val="000000"/>
          <w:sz w:val="19"/>
        </w:rPr>
        <w:t xml:space="preserve">Acceptation : </w:t>
      </w:r>
      <w:r>
        <w:rPr>
          <w:rFonts w:eastAsia="Arial"/>
          <w:b w:val="false"/>
          <w:color w:val="000000"/>
          <w:sz w:val="19"/>
        </w:rPr>
        <w:t>Après initialisation, le flux sélectionné correspond à la source demandée; la source non sélectionnée n’apparaît pas à la sortie.</w:t>
      </w:r>
    </w:p>
    <w:p>
      <w:pPr>
        <w:pStyle w:val="Normal"/>
        <w:spacing w:before="0" w:after="80"/>
        <w:ind w:hanging="173" w:start="173"/>
        <w:rPr/>
      </w:pPr>
      <w:r>
        <w:rPr>
          <w:rFonts w:eastAsia="Arial"/>
          <w:b/>
          <w:color w:val="000000"/>
          <w:sz w:val="19"/>
        </w:rPr>
        <w:t xml:space="preserve">Preuve à conserver : </w:t>
      </w:r>
      <w:r>
        <w:rPr>
          <w:rFonts w:eastAsia="Arial"/>
          <w:b w:val="false"/>
          <w:color w:val="000000"/>
          <w:sz w:val="19"/>
        </w:rPr>
        <w:t>Valeur du registre ou configuration de démarrage, capture du flux et image correspondante sur l’écran.</w:t>
      </w:r>
    </w:p>
    <w:p>
      <w:pPr>
        <w:pStyle w:val="Heading3"/>
        <w:rPr/>
      </w:pPr>
      <w:r>
        <w:rPr>
          <w:b/>
        </w:rPr>
        <w:t>VP-SRC-02 — Commutation à chaud  |  Priorité P2</w:t>
      </w:r>
    </w:p>
    <w:p>
      <w:pPr>
        <w:pStyle w:val="Normal"/>
        <w:rPr/>
      </w:pPr>
      <w:r>
        <w:rPr>
          <w:b w:val="false"/>
        </w:rPr>
        <w:t>Objectif : Vérifier la commutation entre DMA et TPG à l’exécution, conformément à PL-IP-003.</w:t>
      </w:r>
    </w:p>
    <w:p>
      <w:pPr>
        <w:pStyle w:val="Normal"/>
        <w:rPr/>
      </w:pPr>
      <w:r>
        <w:rPr>
          <w:b w:val="false"/>
        </w:rPr>
        <w:t>Exécution : Après construction et programmation de l’intégration complète, relever le registre et les valeurs de commande effectivement documentés; sélectionner DMA, puis TPG, puis DMA sans redémarrage. Capturer le flux ou l’affichage avant et après chaque commande et relever l’instant de commutation.</w:t>
      </w:r>
    </w:p>
    <w:p>
      <w:pPr>
        <w:pStyle w:val="Normal"/>
        <w:rPr/>
      </w:pPr>
      <w:r>
        <w:rPr>
          <w:b w:val="false"/>
        </w:rPr>
        <w:t>Acceptation : La sortie suit la source demandée sans redémarrage; chaque état est identifiable et aucun mélange ou corruption persistante n’est observé. Consigner la latence observée sans imposer de seuil absent du SRS.</w:t>
      </w:r>
    </w:p>
    <w:p>
      <w:pPr>
        <w:pStyle w:val="Normal"/>
        <w:rPr/>
      </w:pPr>
      <w:r>
        <w:rPr>
          <w:b w:val="false"/>
        </w:rPr>
        <w:t>Preuve à conserver : Carte et bitstream identifiés, adresse et valeurs du registre confirmées, journal des commandes PS, captures du flux ou de l’écran et résultats horodatés.</w:t>
      </w:r>
    </w:p>
    <w:p>
      <w:pPr>
        <w:pStyle w:val="Heading1"/>
        <w:rPr/>
      </w:pPr>
      <w:r>
        <w:rPr/>
        <w:t>4. Rapport d’exécution et clôture</w:t>
      </w:r>
    </w:p>
    <w:p>
      <w:pPr>
        <w:pStyle w:val="Normal"/>
        <w:spacing w:before="0" w:after="100"/>
        <w:rPr/>
      </w:pPr>
      <w:r>
        <w:rPr>
          <w:rFonts w:eastAsia="Arial"/>
          <w:b w:val="false"/>
          <w:color w:val="000000"/>
          <w:sz w:val="20"/>
        </w:rPr>
        <w:t>Chaque exécution est reportée dans Rapport_de_validation.docx avec l’identifiant du test, la date, la révision matérielle et logicielle, l’image de référence, les mesures, le verdict, les références des preuves et les écarts observés.</w:t>
      </w:r>
    </w:p>
    <w:p>
      <w:pPr>
        <w:pStyle w:val="Normal"/>
        <w:spacing w:before="0" w:after="100"/>
        <w:rPr/>
      </w:pPr>
      <w:r>
        <w:rPr>
          <w:rFonts w:eastAsia="Arial"/>
          <w:b w:val="false"/>
          <w:color w:val="000000"/>
          <w:sz w:val="20"/>
        </w:rPr>
        <w:t>La validation P1 est acquise lorsque VP-DMA-01, VP-DMA-02, VP-TPG-01, VP-VGA-01 et VP-SRC-01 sont réussis et que les preuves sont archivées, sans écart bloquant. VP-SRC-02 couvre séparément l’exigence P2 de commutation à chaud.</w:t>
      </w:r>
    </w:p>
    <w:p>
      <w:pPr>
        <w:pStyle w:val="Normal"/>
        <w:spacing w:before="0" w:after="100"/>
        <w:rPr/>
      </w:pPr>
      <w:r>
        <w:rPr>
          <w:rFonts w:eastAsia="Arial"/>
          <w:b w:val="false"/>
          <w:color w:val="000000"/>
          <w:sz w:val="20"/>
        </w:rPr>
        <w:t>En cas d’échec ou de blocage, conserver la configuration exacte, les journaux bruts et les captures; associer chaque écart à l’exigence concernée et reprendre le test après correction.</w:t>
      </w:r>
    </w:p>
    <w:p>
      <w:pPr>
        <w:pStyle w:val="Heading1"/>
        <w:rPr/>
      </w:pPr>
      <w:r>
        <w:rPr/>
      </w:r>
      <w:r>
        <w:br w:type="page"/>
      </w:r>
    </w:p>
    <w:p>
      <w:pPr>
        <w:pStyle w:val="Heading1"/>
        <w:rPr/>
      </w:pPr>
      <w:r>
        <w:rPr/>
        <w:t>5. Avancement constaté au 2 octobre 2026</w:t>
      </w:r>
    </w:p>
    <w:p>
      <w:pPr>
        <w:pStyle w:val="Normal"/>
        <w:rPr/>
      </w:pPr>
      <w:r>
        <w:rPr/>
        <w:t>Le suivi ci-dessous s’appuie sur les block designs, journaux Vivado, rapports de timing et fichiers de projet présents dans le dépôt. Une génération de bitstream établit l’implémentabilité du design correspondant; elle ne prouve pas son chargement sur carte ni le fonctionnement sur écran.</w:t>
      </w:r>
    </w:p>
    <w:p>
      <w:pPr>
        <w:pStyle w:val="Normal"/>
        <w:rPr/>
      </w:pPr>
      <w:r>
        <w:rPr/>
        <w:t>Aujourd’hui, le projet autonome test_DMA a été synthétisé sans erreur ni avertissement de synthèse, implémenté, routé et converti en bitstream. Le design cible une image 640 × 480, un PMOD VGA à horloge pixel de 25 MHz et un DMA lisant la DDR via HP0. Le rapport de timing routé indique WNS = 31,334 ns, TNS = 0 et le respect des contraintes utilisateur. Les rapports DRC signalent toutefois 20 violations de règle REQP-1839 concernant les contrôles asynchrones de RAMB36 et une violation RTSTAT-10; ces avertissements doivent être examinés avant clôture.</w:t>
      </w:r>
    </w:p>
    <w:p>
      <w:pPr>
        <w:pStyle w:val="Normal"/>
        <w:rPr/>
      </w:pPr>
      <w:r>
        <w:rPr/>
        <w:t>Le block design principal modifié aujourd’hui relie le TPG à S00_AXIS et le DMA à S01_AXIS d’un interconnect AXI-Stream, dont M00_AXIS alimente le PMOD VGA; le PS est raccordé à l’interface de contrôle de l’interconnect. Ce constat confirme le câblage architectural seulement. Aucun build complet ni résultat de commutation fonctionnelle n’est disponible dans le dossier à cette date. La procédure XSCT documentée pour test_DMA décrit comment charger l’image en DDR puis programmer le FPGA, mais ne constitue pas une trace d’exécution.</w:t>
      </w:r>
    </w:p>
    <w:tbl>
      <w:tblPr>
        <w:tblStyle w:val="TableGrid"/>
        <w:tblW w:w="9717"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3239"/>
        <w:gridCol w:w="3239"/>
        <w:gridCol w:w="3239"/>
      </w:tblGrid>
      <w:tr>
        <w:trPr>
          <w:tblHeader w:val="true"/>
        </w:trPr>
        <w:tc>
          <w:tcPr>
            <w:tcW w:w="3239" w:type="dxa"/>
            <w:tcBorders/>
            <w:shd w:fill="1F4E78" w:val="clear"/>
            <w:vAlign w:val="center"/>
          </w:tcPr>
          <w:p>
            <w:pPr>
              <w:pStyle w:val="Normal"/>
              <w:spacing w:before="60" w:after="60"/>
              <w:rPr/>
            </w:pPr>
            <w:r>
              <w:rPr>
                <w:b/>
                <w:color w:val="FFFFFF"/>
                <w:sz w:val="18"/>
              </w:rPr>
              <w:t>Essai</w:t>
            </w:r>
          </w:p>
        </w:tc>
        <w:tc>
          <w:tcPr>
            <w:tcW w:w="3239" w:type="dxa"/>
            <w:tcBorders/>
            <w:shd w:fill="1F4E78" w:val="clear"/>
            <w:vAlign w:val="center"/>
          </w:tcPr>
          <w:p>
            <w:pPr>
              <w:pStyle w:val="Normal"/>
              <w:spacing w:before="60" w:after="60"/>
              <w:rPr/>
            </w:pPr>
            <w:r>
              <w:rPr>
                <w:b/>
                <w:color w:val="FFFFFF"/>
                <w:sz w:val="18"/>
              </w:rPr>
              <w:t>État au 2 octobre</w:t>
            </w:r>
          </w:p>
        </w:tc>
        <w:tc>
          <w:tcPr>
            <w:tcW w:w="3239" w:type="dxa"/>
            <w:tcBorders/>
            <w:shd w:fill="1F4E78" w:val="clear"/>
            <w:vAlign w:val="center"/>
          </w:tcPr>
          <w:p>
            <w:pPr>
              <w:pStyle w:val="Normal"/>
              <w:spacing w:before="60" w:after="60"/>
              <w:rPr/>
            </w:pPr>
            <w:r>
              <w:rPr>
                <w:b/>
                <w:color w:val="FFFFFF"/>
                <w:sz w:val="18"/>
              </w:rPr>
              <w:t>Preuve disponible et suite</w:t>
            </w:r>
          </w:p>
        </w:tc>
      </w:tr>
      <w:tr>
        <w:trPr/>
        <w:tc>
          <w:tcPr>
            <w:tcW w:w="3239" w:type="dxa"/>
            <w:tcBorders/>
            <w:vAlign w:val="center"/>
          </w:tcPr>
          <w:p>
            <w:pPr>
              <w:pStyle w:val="Normal"/>
              <w:spacing w:before="60" w:after="60"/>
              <w:rPr/>
            </w:pPr>
            <w:r>
              <w:rPr>
                <w:sz w:val="18"/>
              </w:rPr>
              <w:t>VP-DMA-01</w:t>
            </w:r>
          </w:p>
        </w:tc>
        <w:tc>
          <w:tcPr>
            <w:tcW w:w="3239" w:type="dxa"/>
            <w:tcBorders/>
            <w:vAlign w:val="center"/>
          </w:tcPr>
          <w:p>
            <w:pPr>
              <w:pStyle w:val="Normal"/>
              <w:spacing w:before="60" w:after="60"/>
              <w:rPr/>
            </w:pPr>
            <w:r>
              <w:rPr>
                <w:sz w:val="18"/>
              </w:rPr>
              <w:t>Réussi en C-simulation (résultat antérieur)</w:t>
            </w:r>
          </w:p>
        </w:tc>
        <w:tc>
          <w:tcPr>
            <w:tcW w:w="3239" w:type="dxa"/>
            <w:tcBorders/>
            <w:vAlign w:val="center"/>
          </w:tcPr>
          <w:p>
            <w:pPr>
              <w:pStyle w:val="Normal"/>
              <w:spacing w:before="60" w:after="60"/>
              <w:rPr/>
            </w:pPr>
            <w:r>
              <w:rPr>
                <w:sz w:val="18"/>
              </w:rPr>
              <w:t>Journal C-simulation conservé; ce résultat ne couvre pas la DDR physique.</w:t>
            </w:r>
          </w:p>
        </w:tc>
      </w:tr>
      <w:tr>
        <w:trPr/>
        <w:tc>
          <w:tcPr>
            <w:tcW w:w="3239" w:type="dxa"/>
            <w:tcBorders/>
            <w:shd w:fill="F2F6FA" w:val="clear"/>
            <w:vAlign w:val="center"/>
          </w:tcPr>
          <w:p>
            <w:pPr>
              <w:pStyle w:val="Normal"/>
              <w:spacing w:before="60" w:after="60"/>
              <w:rPr/>
            </w:pPr>
            <w:r>
              <w:rPr>
                <w:sz w:val="18"/>
              </w:rPr>
              <w:t>VP-DMA-02</w:t>
            </w:r>
          </w:p>
        </w:tc>
        <w:tc>
          <w:tcPr>
            <w:tcW w:w="3239" w:type="dxa"/>
            <w:tcBorders/>
            <w:shd w:fill="F2F6FA" w:val="clear"/>
            <w:vAlign w:val="center"/>
          </w:tcPr>
          <w:p>
            <w:pPr>
              <w:pStyle w:val="Normal"/>
              <w:spacing w:before="60" w:after="60"/>
              <w:rPr/>
            </w:pPr>
            <w:r>
              <w:rPr>
                <w:sz w:val="18"/>
              </w:rPr>
              <w:t>Partiel — implémentation réussie</w:t>
            </w:r>
          </w:p>
        </w:tc>
        <w:tc>
          <w:tcPr>
            <w:tcW w:w="3239" w:type="dxa"/>
            <w:tcBorders/>
            <w:shd w:fill="F2F6FA" w:val="clear"/>
            <w:vAlign w:val="center"/>
          </w:tcPr>
          <w:p>
            <w:pPr>
              <w:pStyle w:val="Normal"/>
              <w:spacing w:before="60" w:after="60"/>
              <w:rPr/>
            </w:pPr>
            <w:r>
              <w:rPr>
                <w:sz w:val="18"/>
              </w:rPr>
              <w:t>Bitstream test_DMA et timing routé disponibles; charger l’image sur carte, capturer le flux DDR et mesurer 60 images/s.</w:t>
            </w:r>
          </w:p>
        </w:tc>
      </w:tr>
      <w:tr>
        <w:trPr/>
        <w:tc>
          <w:tcPr>
            <w:tcW w:w="3239" w:type="dxa"/>
            <w:tcBorders/>
            <w:vAlign w:val="center"/>
          </w:tcPr>
          <w:p>
            <w:pPr>
              <w:pStyle w:val="Normal"/>
              <w:spacing w:before="60" w:after="60"/>
              <w:rPr/>
            </w:pPr>
            <w:r>
              <w:rPr>
                <w:sz w:val="18"/>
              </w:rPr>
              <w:t>VP-TPG-01</w:t>
            </w:r>
          </w:p>
        </w:tc>
        <w:tc>
          <w:tcPr>
            <w:tcW w:w="3239" w:type="dxa"/>
            <w:tcBorders/>
            <w:vAlign w:val="center"/>
          </w:tcPr>
          <w:p>
            <w:pPr>
              <w:pStyle w:val="Normal"/>
              <w:spacing w:before="60" w:after="60"/>
              <w:rPr/>
            </w:pPr>
            <w:r>
              <w:rPr>
                <w:sz w:val="18"/>
              </w:rPr>
              <w:t>Non exécuté</w:t>
            </w:r>
          </w:p>
        </w:tc>
        <w:tc>
          <w:tcPr>
            <w:tcW w:w="3239" w:type="dxa"/>
            <w:tcBorders/>
            <w:vAlign w:val="center"/>
          </w:tcPr>
          <w:p>
            <w:pPr>
              <w:pStyle w:val="Normal"/>
              <w:spacing w:before="60" w:after="60"/>
              <w:rPr/>
            </w:pPr>
            <w:r>
              <w:rPr>
                <w:sz w:val="18"/>
              </w:rPr>
              <w:t>TPG présent dans le block design principal; capturer plusieurs trames et démontrer l’élément dynamique.</w:t>
            </w:r>
          </w:p>
        </w:tc>
      </w:tr>
      <w:tr>
        <w:trPr/>
        <w:tc>
          <w:tcPr>
            <w:tcW w:w="3239" w:type="dxa"/>
            <w:tcBorders/>
            <w:shd w:fill="F2F6FA" w:val="clear"/>
            <w:vAlign w:val="center"/>
          </w:tcPr>
          <w:p>
            <w:pPr>
              <w:pStyle w:val="Normal"/>
              <w:spacing w:before="60" w:after="60"/>
              <w:rPr/>
            </w:pPr>
            <w:r>
              <w:rPr>
                <w:sz w:val="18"/>
              </w:rPr>
              <w:t>VP-VGA-01</w:t>
            </w:r>
          </w:p>
        </w:tc>
        <w:tc>
          <w:tcPr>
            <w:tcW w:w="3239" w:type="dxa"/>
            <w:tcBorders/>
            <w:shd w:fill="F2F6FA" w:val="clear"/>
            <w:vAlign w:val="center"/>
          </w:tcPr>
          <w:p>
            <w:pPr>
              <w:pStyle w:val="Normal"/>
              <w:spacing w:before="60" w:after="60"/>
              <w:rPr/>
            </w:pPr>
            <w:r>
              <w:rPr>
                <w:sz w:val="18"/>
              </w:rPr>
              <w:t>Partiel — design implémenté</w:t>
            </w:r>
          </w:p>
        </w:tc>
        <w:tc>
          <w:tcPr>
            <w:tcW w:w="3239" w:type="dxa"/>
            <w:tcBorders/>
            <w:shd w:fill="F2F6FA" w:val="clear"/>
            <w:vAlign w:val="center"/>
          </w:tcPr>
          <w:p>
            <w:pPr>
              <w:pStyle w:val="Normal"/>
              <w:spacing w:before="60" w:after="60"/>
              <w:rPr/>
            </w:pPr>
            <w:r>
              <w:rPr>
                <w:sz w:val="18"/>
              </w:rPr>
              <w:t>Configuration 640 × 480 et PMOD VGA dans test_DMA; confirmer sur écran les synchronisations, les couleurs et 60 Hz.</w:t>
            </w:r>
          </w:p>
        </w:tc>
      </w:tr>
      <w:tr>
        <w:trPr/>
        <w:tc>
          <w:tcPr>
            <w:tcW w:w="3239" w:type="dxa"/>
            <w:tcBorders/>
            <w:vAlign w:val="center"/>
          </w:tcPr>
          <w:p>
            <w:pPr>
              <w:pStyle w:val="Normal"/>
              <w:spacing w:before="60" w:after="60"/>
              <w:rPr/>
            </w:pPr>
            <w:r>
              <w:rPr>
                <w:sz w:val="18"/>
              </w:rPr>
              <w:t>VP-SRC-01</w:t>
            </w:r>
          </w:p>
        </w:tc>
        <w:tc>
          <w:tcPr>
            <w:tcW w:w="3239" w:type="dxa"/>
            <w:tcBorders/>
            <w:vAlign w:val="center"/>
          </w:tcPr>
          <w:p>
            <w:pPr>
              <w:pStyle w:val="Normal"/>
              <w:spacing w:before="60" w:after="60"/>
              <w:rPr/>
            </w:pPr>
            <w:r>
              <w:rPr>
                <w:sz w:val="18"/>
              </w:rPr>
              <w:t>Non exécuté fonctionnellement</w:t>
            </w:r>
          </w:p>
        </w:tc>
        <w:tc>
          <w:tcPr>
            <w:tcW w:w="3239" w:type="dxa"/>
            <w:tcBorders/>
            <w:vAlign w:val="center"/>
          </w:tcPr>
          <w:p>
            <w:pPr>
              <w:pStyle w:val="Normal"/>
              <w:spacing w:before="60" w:after="60"/>
              <w:rPr/>
            </w:pPr>
            <w:r>
              <w:rPr>
                <w:sz w:val="18"/>
              </w:rPr>
              <w:t>Topologie TPG/DMA et contrôle PS assemblés dans le block design principal; construire, programmer et vérifier chaque sélection initiale.</w:t>
            </w:r>
          </w:p>
        </w:tc>
      </w:tr>
      <w:tr>
        <w:trPr/>
        <w:tc>
          <w:tcPr>
            <w:tcW w:w="3239" w:type="dxa"/>
            <w:tcBorders/>
            <w:shd w:fill="F2F6FA" w:val="clear"/>
            <w:vAlign w:val="center"/>
          </w:tcPr>
          <w:p>
            <w:pPr>
              <w:pStyle w:val="Normal"/>
              <w:spacing w:before="60" w:after="60"/>
              <w:rPr/>
            </w:pPr>
            <w:r>
              <w:rPr>
                <w:sz w:val="18"/>
              </w:rPr>
              <w:t>VP-SRC-02</w:t>
            </w:r>
          </w:p>
        </w:tc>
        <w:tc>
          <w:tcPr>
            <w:tcW w:w="3239" w:type="dxa"/>
            <w:tcBorders/>
            <w:shd w:fill="F2F6FA" w:val="clear"/>
            <w:vAlign w:val="center"/>
          </w:tcPr>
          <w:p>
            <w:pPr>
              <w:pStyle w:val="Normal"/>
              <w:spacing w:before="60" w:after="60"/>
              <w:rPr/>
            </w:pPr>
            <w:r>
              <w:rPr>
                <w:sz w:val="18"/>
              </w:rPr>
              <w:t>Non exécuté</w:t>
            </w:r>
          </w:p>
        </w:tc>
        <w:tc>
          <w:tcPr>
            <w:tcW w:w="3239" w:type="dxa"/>
            <w:tcBorders/>
            <w:shd w:fill="F2F6FA" w:val="clear"/>
            <w:vAlign w:val="center"/>
          </w:tcPr>
          <w:p>
            <w:pPr>
              <w:pStyle w:val="Normal"/>
              <w:spacing w:before="60" w:after="60"/>
              <w:rPr/>
            </w:pPr>
            <w:r>
              <w:rPr>
                <w:sz w:val="18"/>
              </w:rPr>
              <w:t>Confirmer d’abord la carte des registres; démontrer ensuite la commutation à chaud sans redémarrage.</w:t>
            </w:r>
          </w:p>
        </w:tc>
      </w:tr>
    </w:tbl>
    <w:p>
      <w:pPr>
        <w:pStyle w:val="Heading1"/>
        <w:rPr/>
      </w:pPr>
      <w:r>
        <w:rPr/>
      </w:r>
      <w:r>
        <w:br w:type="page"/>
      </w:r>
    </w:p>
    <w:p>
      <w:pPr>
        <w:pStyle w:val="Heading1"/>
        <w:rPr/>
      </w:pPr>
      <w:r>
        <w:rPr/>
        <w:t>6. Consolidation des versions</w:t>
      </w:r>
    </w:p>
    <w:p>
      <w:pPr>
        <w:pStyle w:val="Normal"/>
        <w:rPr/>
      </w:pPr>
      <w:r>
        <w:rPr/>
        <w:t>Cette édition rassemble les exigences, critères et procédures de Plan_de_Validation_V1 (version 2.0, 1er octobre 2026) et le suivi ajouté dans Plan_de_Validation_V2 (version 2.1, 2 octobre 2026). Les contrôles P1 communs sont conservés; le test VP-SRC-02 couvre en plus PL-IP-003, priorité P2. Les constats d’implémentation et les essais restant à faire figurent dans la section 5 et ne changent pas les critères d’acceptation.</w:t>
      </w:r>
    </w:p>
    <w:tbl>
      <w:tblPr>
        <w:tblStyle w:val="TableGrid"/>
        <w:tblW w:w="9717"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3239"/>
        <w:gridCol w:w="3239"/>
        <w:gridCol w:w="3239"/>
      </w:tblGrid>
      <w:tr>
        <w:trPr>
          <w:tblHeader w:val="true"/>
        </w:trPr>
        <w:tc>
          <w:tcPr>
            <w:tcW w:w="3239" w:type="dxa"/>
            <w:tcBorders/>
            <w:shd w:fill="1F4E78" w:val="clear"/>
            <w:vAlign w:val="center"/>
          </w:tcPr>
          <w:p>
            <w:pPr>
              <w:pStyle w:val="Normal"/>
              <w:spacing w:before="60" w:after="60"/>
              <w:rPr/>
            </w:pPr>
            <w:r>
              <w:rPr>
                <w:b/>
                <w:color w:val="FFFFFF"/>
                <w:sz w:val="18"/>
              </w:rPr>
              <w:t>Source</w:t>
            </w:r>
          </w:p>
        </w:tc>
        <w:tc>
          <w:tcPr>
            <w:tcW w:w="3239" w:type="dxa"/>
            <w:tcBorders/>
            <w:shd w:fill="1F4E78" w:val="clear"/>
            <w:vAlign w:val="center"/>
          </w:tcPr>
          <w:p>
            <w:pPr>
              <w:pStyle w:val="Normal"/>
              <w:spacing w:before="60" w:after="60"/>
              <w:rPr/>
            </w:pPr>
            <w:r>
              <w:rPr>
                <w:b/>
                <w:color w:val="FFFFFF"/>
                <w:sz w:val="18"/>
              </w:rPr>
              <w:t>Contenu repris</w:t>
            </w:r>
          </w:p>
        </w:tc>
        <w:tc>
          <w:tcPr>
            <w:tcW w:w="3239" w:type="dxa"/>
            <w:tcBorders/>
            <w:shd w:fill="1F4E78" w:val="clear"/>
            <w:vAlign w:val="center"/>
          </w:tcPr>
          <w:p>
            <w:pPr>
              <w:pStyle w:val="Normal"/>
              <w:spacing w:before="60" w:after="60"/>
              <w:rPr/>
            </w:pPr>
            <w:r>
              <w:rPr>
                <w:b/>
                <w:color w:val="FFFFFF"/>
                <w:sz w:val="18"/>
              </w:rPr>
              <w:t>Traitement dans cette édition</w:t>
            </w:r>
          </w:p>
        </w:tc>
      </w:tr>
      <w:tr>
        <w:trPr/>
        <w:tc>
          <w:tcPr>
            <w:tcW w:w="3239" w:type="dxa"/>
            <w:tcBorders/>
            <w:vAlign w:val="center"/>
          </w:tcPr>
          <w:p>
            <w:pPr>
              <w:pStyle w:val="Normal"/>
              <w:spacing w:before="60" w:after="60"/>
              <w:rPr/>
            </w:pPr>
            <w:r>
              <w:rPr>
                <w:sz w:val="18"/>
              </w:rPr>
              <w:t>Plan V1 — version 2.0, 1er octobre 2026</w:t>
            </w:r>
          </w:p>
        </w:tc>
        <w:tc>
          <w:tcPr>
            <w:tcW w:w="3239" w:type="dxa"/>
            <w:tcBorders/>
            <w:vAlign w:val="center"/>
          </w:tcPr>
          <w:p>
            <w:pPr>
              <w:pStyle w:val="Normal"/>
              <w:spacing w:before="60" w:after="60"/>
              <w:rPr/>
            </w:pPr>
            <w:r>
              <w:rPr>
                <w:sz w:val="18"/>
              </w:rPr>
              <w:t>Périmètre DMA, TPG, PMOD VGA et sélection; exigences P1; conditions d’entrée; règles de verdict; cinq essais P1.</w:t>
            </w:r>
          </w:p>
        </w:tc>
        <w:tc>
          <w:tcPr>
            <w:tcW w:w="3239" w:type="dxa"/>
            <w:tcBorders/>
            <w:vAlign w:val="center"/>
          </w:tcPr>
          <w:p>
            <w:pPr>
              <w:pStyle w:val="Normal"/>
              <w:spacing w:before="60" w:after="60"/>
              <w:rPr/>
            </w:pPr>
            <w:r>
              <w:rPr>
                <w:sz w:val="18"/>
              </w:rPr>
              <w:t>Critères et procédures repris dans les sections 1 à 4.</w:t>
            </w:r>
          </w:p>
        </w:tc>
      </w:tr>
      <w:tr>
        <w:trPr/>
        <w:tc>
          <w:tcPr>
            <w:tcW w:w="3239" w:type="dxa"/>
            <w:tcBorders/>
            <w:shd w:fill="F2F6FA" w:val="clear"/>
            <w:vAlign w:val="center"/>
          </w:tcPr>
          <w:p>
            <w:pPr>
              <w:pStyle w:val="Normal"/>
              <w:spacing w:before="60" w:after="60"/>
              <w:rPr/>
            </w:pPr>
            <w:r>
              <w:rPr>
                <w:sz w:val="18"/>
              </w:rPr>
              <w:t>Plan V2 — version 2.1, 2 octobre 2026</w:t>
            </w:r>
          </w:p>
        </w:tc>
        <w:tc>
          <w:tcPr>
            <w:tcW w:w="3239" w:type="dxa"/>
            <w:tcBorders/>
            <w:shd w:fill="F2F6FA" w:val="clear"/>
            <w:vAlign w:val="center"/>
          </w:tcPr>
          <w:p>
            <w:pPr>
              <w:pStyle w:val="Normal"/>
              <w:spacing w:before="60" w:after="60"/>
              <w:rPr/>
            </w:pPr>
            <w:r>
              <w:rPr>
                <w:sz w:val="18"/>
              </w:rPr>
              <w:t>État d’avancement test_DMA et block design principal; matrice d’état; procédure VP-SRC-02 pour PL-IP-003.</w:t>
            </w:r>
          </w:p>
        </w:tc>
        <w:tc>
          <w:tcPr>
            <w:tcW w:w="3239" w:type="dxa"/>
            <w:tcBorders/>
            <w:shd w:fill="F2F6FA" w:val="clear"/>
            <w:vAlign w:val="center"/>
          </w:tcPr>
          <w:p>
            <w:pPr>
              <w:pStyle w:val="Normal"/>
              <w:spacing w:before="60" w:after="60"/>
              <w:rPr/>
            </w:pPr>
            <w:r>
              <w:rPr>
                <w:sz w:val="18"/>
              </w:rPr>
              <w:t>Avancement conservé en section 5; commutation à chaud maintenue en priorité P2.</w:t>
            </w:r>
          </w:p>
        </w:tc>
      </w:tr>
      <w:tr>
        <w:trPr/>
        <w:tc>
          <w:tcPr>
            <w:tcW w:w="3239" w:type="dxa"/>
            <w:tcBorders/>
            <w:vAlign w:val="center"/>
          </w:tcPr>
          <w:p>
            <w:pPr>
              <w:pStyle w:val="Normal"/>
              <w:spacing w:before="60" w:after="60"/>
              <w:rPr/>
            </w:pPr>
            <w:r>
              <w:rPr>
                <w:sz w:val="18"/>
              </w:rPr>
              <w:t>Plan consolidé — version 3.0</w:t>
            </w:r>
          </w:p>
        </w:tc>
        <w:tc>
          <w:tcPr>
            <w:tcW w:w="3239" w:type="dxa"/>
            <w:tcBorders/>
            <w:vAlign w:val="center"/>
          </w:tcPr>
          <w:p>
            <w:pPr>
              <w:pStyle w:val="Normal"/>
              <w:spacing w:before="60" w:after="60"/>
              <w:rPr/>
            </w:pPr>
            <w:r>
              <w:rPr>
                <w:sz w:val="18"/>
              </w:rPr>
              <w:t>Ensemble des éléments V1 et V2 dans un document unique.</w:t>
            </w:r>
          </w:p>
        </w:tc>
        <w:tc>
          <w:tcPr>
            <w:tcW w:w="3239" w:type="dxa"/>
            <w:tcBorders/>
            <w:vAlign w:val="center"/>
          </w:tcPr>
          <w:p>
            <w:pPr>
              <w:pStyle w:val="Normal"/>
              <w:spacing w:before="60" w:after="60"/>
              <w:rPr/>
            </w:pPr>
            <w:r>
              <w:rPr>
                <w:sz w:val="18"/>
              </w:rPr>
              <w:t>Référence de travail pour les exécutions futures.</w:t>
            </w:r>
          </w:p>
        </w:tc>
      </w:tr>
    </w:tbl>
    <w:sectPr>
      <w:footerReference w:type="even" r:id="rId3"/>
      <w:footerReference w:type="default" r:id="rId4"/>
      <w:footerReference w:type="first" r:id="rId5"/>
      <w:type w:val="nextPage"/>
      <w:pgSz w:w="11906" w:h="16838"/>
      <w:pgMar w:left="1094" w:right="1094" w:gutter="0" w:header="0" w:top="1037" w:footer="49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677" w:leader="none"/>
      </w:tabs>
      <w:spacing w:before="0" w:after="0"/>
      <w:jc w:val="start"/>
      <w:rPr/>
    </w:pPr>
    <w:r>
      <w:rPr>
        <w:rFonts w:eastAsia="Arial"/>
        <w:b w:val="false"/>
        <w:color w:val="666666"/>
        <w:sz w:val="16"/>
      </w:rPr>
      <w:t>SoC Tracking  |  Plan de validation</w:t>
      <w:tab/>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677" w:leader="none"/>
      </w:tabs>
      <w:spacing w:before="0" w:after="0"/>
      <w:jc w:val="start"/>
      <w:rPr/>
    </w:pPr>
    <w:r>
      <w:rPr>
        <w:rFonts w:eastAsia="Arial"/>
        <w:b w:val="false"/>
        <w:color w:val="666666"/>
        <w:sz w:val="16"/>
      </w:rPr>
      <w:t>SoC Tracking  |  Plan de validation</w:t>
      <w:tab/>
      <w:t xml:space="preserve">Page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start"/>
    </w:pPr>
    <w:rPr>
      <w:rFonts w:ascii="Arial" w:hAnsi="Arial" w:eastAsia="ＭＳ 明朝" w:cs=""/>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180" w:after="6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120" w:after="40"/>
      <w:outlineLvl w:val="2"/>
    </w:pPr>
    <w:rPr>
      <w:rFonts w:ascii="Calibri" w:hAnsi="Calibri" w:eastAsia="" w:cs="" w:asciiTheme="majorHAnsi" w:cstheme="majorBidi" w:eastAsiaTheme="majorEastAsia" w:hAnsiTheme="majorHAnsi"/>
      <w:b/>
      <w:bCs/>
      <w:color w:val="000000"/>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80"/>
      <w:contextualSpacing/>
    </w:pPr>
    <w:rPr>
      <w:rFonts w:ascii="Calibri" w:hAnsi="Calibri" w:eastAsia="" w:cs="" w:asciiTheme="majorHAnsi" w:cstheme="majorBidi" w:eastAsiaTheme="majorEastAsia" w:hAnsiTheme="majorHAnsi"/>
      <w:b/>
      <w:color w:val="000000"/>
      <w:spacing w:val="5"/>
      <w:kern w:val="2"/>
      <w:sz w:val="50"/>
      <w:szCs w:val="52"/>
      <w:u w:val="none"/>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LibreOffice/26.2.1.2$Windows_X86_64 LibreOffice_project/620$Build-2</Application>
  <AppVersion>15.0000</AppVersion>
  <Pages>6</Pages>
  <Words>1763</Words>
  <Characters>9581</Characters>
  <CharactersWithSpaces>11236</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SoC Tracking validation FPGA vidéo</cp:keywords>
  <dc:language>fr-FR</dc:language>
  <cp:lastModifiedBy/>
  <dcterms:modified xsi:type="dcterms:W3CDTF">2026-10-02T16:40:50Z</dcterms:modified>
  <cp:revision>4</cp:revision>
  <dc:subject>Plan de validation limité aux quatre fonctions vidéo demandées, avec critères, procédures et preuves.</dc:subject>
  <dc:title>Plan de validation SoC Tracking</dc:title>
</cp:coreProperties>
</file>

<file path=docProps/custom.xml><?xml version="1.0" encoding="utf-8"?>
<Properties xmlns="http://schemas.openxmlformats.org/officeDocument/2006/custom-properties" xmlns:vt="http://schemas.openxmlformats.org/officeDocument/2006/docPropsVTypes"/>
</file>