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40"/>
        <w:contextualSpacing/>
        <w:rPr/>
      </w:pPr>
      <w:r>
        <w:rPr>
          <w:rFonts w:eastAsia="Arial" w:ascii="Arial" w:hAnsi="Arial"/>
          <w:b/>
          <w:color w:val="000000"/>
          <w:sz w:val="50"/>
        </w:rPr>
        <w:t>Rapport de validation SoC Tracking</w:t>
      </w:r>
    </w:p>
    <w:p>
      <w:pPr>
        <w:pStyle w:val="Normal"/>
        <w:spacing w:before="0" w:after="200"/>
        <w:rPr/>
      </w:pPr>
      <w:r>
        <w:rPr>
          <w:rFonts w:eastAsia="Arial"/>
          <w:b w:val="false"/>
          <w:color w:val="000000"/>
          <w:sz w:val="22"/>
        </w:rPr>
        <w:t>DMA MM2S, TPG, affichage PMOD VGA et sélection de source</w:t>
      </w:r>
    </w:p>
    <w:tbl>
      <w:tblPr>
        <w:tblW w:w="9720" w:type="dxa"/>
        <w:jc w:val="center"/>
        <w:tblInd w:w="0" w:type="dxa"/>
        <w:tblLayout w:type="fixed"/>
        <w:tblCellMar>
          <w:top w:w="95" w:type="dxa"/>
          <w:start w:w="105" w:type="dxa"/>
          <w:bottom w:w="95" w:type="dxa"/>
          <w:end w:w="105" w:type="dxa"/>
        </w:tblCellMar>
        <w:tblLook w:firstRow="1" w:noVBand="1" w:lastRow="0" w:firstColumn="1" w:lastColumn="0" w:noHBand="0" w:val="04a0"/>
      </w:tblPr>
      <w:tblGrid>
        <w:gridCol w:w="2127"/>
        <w:gridCol w:w="7593"/>
      </w:tblGrid>
      <w:tr>
        <w:trPr>
          <w:cantSplit w:val="true"/>
        </w:trPr>
        <w:tc>
          <w:tcPr>
            <w:tcW w:w="2127"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Version du rapport</w:t>
            </w:r>
          </w:p>
        </w:tc>
        <w:tc>
          <w:tcPr>
            <w:tcW w:w="7593"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2.0</w:t>
            </w:r>
          </w:p>
        </w:tc>
      </w:tr>
      <w:tr>
        <w:trPr>
          <w:cantSplit w:val="true"/>
        </w:trPr>
        <w:tc>
          <w:tcPr>
            <w:tcW w:w="2127"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Date</w:t>
            </w:r>
          </w:p>
        </w:tc>
        <w:tc>
          <w:tcPr>
            <w:tcW w:w="7593"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2 octobre 2026</w:t>
            </w:r>
          </w:p>
        </w:tc>
      </w:tr>
      <w:tr>
        <w:trPr>
          <w:cantSplit w:val="true"/>
        </w:trPr>
        <w:tc>
          <w:tcPr>
            <w:tcW w:w="2127"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Référence principale</w:t>
            </w:r>
          </w:p>
        </w:tc>
        <w:tc>
          <w:tcPr>
            <w:tcW w:w="7593"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20260709-SRS-SoC-Tracking__720__0, révision AB du 31 août 2026</w:t>
            </w:r>
          </w:p>
        </w:tc>
      </w:tr>
    </w:tbl>
    <w:p>
      <w:pPr>
        <w:pStyle w:val="Normal"/>
        <w:spacing w:before="0" w:after="0"/>
        <w:rPr/>
      </w:pPr>
      <w:r>
        <w:rPr/>
      </w:r>
    </w:p>
    <w:p>
      <w:pPr>
        <w:pStyle w:val="Normal"/>
        <w:spacing w:before="0" w:after="140"/>
        <w:rPr/>
      </w:pPr>
      <w:r>
        <w:rPr>
          <w:rFonts w:eastAsia="Arial"/>
          <w:b w:val="false"/>
          <w:color w:val="000000"/>
          <w:sz w:val="20"/>
        </w:rPr>
        <w:t>Au 2 octobre 2026, le DMA dispose d’une C-simulation réussie antérieure et d’un projet matériel autonome test_DMA synthétisé, implémenté et généré en bitstream aujourd’hui. Le block design principal relie désormais le TPG et le DMA à un interconnect de sélection piloté par le PS. Ces preuves établissent un avancement de conception; elles ne démontrent pas encore la lecture DDR en fonctionnement, la commutation de source ni l’affichage sur écran.</w:t>
      </w:r>
    </w:p>
    <w:p>
      <w:pPr>
        <w:pStyle w:val="Heading1"/>
        <w:rPr/>
      </w:pPr>
      <w:r>
        <w:rPr/>
        <w:t>1. Synthèse des résultats</w:t>
      </w:r>
    </w:p>
    <w:tbl>
      <w:tblPr>
        <w:tblStyle w:val="TableGrid"/>
        <w:tblW w:w="9720" w:type="dxa"/>
        <w:jc w:val="center"/>
        <w:tblInd w:w="0" w:type="dxa"/>
        <w:tblLayout w:type="fixed"/>
        <w:tblCellMar>
          <w:top w:w="105" w:type="dxa"/>
          <w:start w:w="105" w:type="dxa"/>
          <w:bottom w:w="105" w:type="dxa"/>
          <w:end w:w="105" w:type="dxa"/>
        </w:tblCellMar>
        <w:tblLook w:firstRow="1" w:noVBand="1" w:lastRow="0" w:firstColumn="1" w:lastColumn="0" w:noHBand="0" w:val="04a0"/>
      </w:tblPr>
      <w:tblGrid>
        <w:gridCol w:w="2228"/>
        <w:gridCol w:w="1800"/>
        <w:gridCol w:w="5692"/>
      </w:tblGrid>
      <w:tr>
        <w:trPr>
          <w:tblHeader w:val="true"/>
          <w:cantSplit w:val="true"/>
        </w:trPr>
        <w:tc>
          <w:tcPr>
            <w:tcW w:w="2228"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60" w:after="60"/>
              <w:rPr/>
            </w:pPr>
            <w:r>
              <w:rPr>
                <w:rFonts w:eastAsia="Arial"/>
                <w:b/>
                <w:color w:val="FFFFFF"/>
                <w:sz w:val="18"/>
              </w:rPr>
              <w:t>Périmètre</w:t>
            </w:r>
          </w:p>
        </w:tc>
        <w:tc>
          <w:tcPr>
            <w:tcW w:w="1800"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60" w:after="60"/>
              <w:rPr/>
            </w:pPr>
            <w:r>
              <w:rPr>
                <w:rFonts w:eastAsia="Arial"/>
                <w:b/>
                <w:color w:val="FFFFFF"/>
                <w:sz w:val="18"/>
              </w:rPr>
              <w:t>Verdict</w:t>
            </w:r>
          </w:p>
        </w:tc>
        <w:tc>
          <w:tcPr>
            <w:tcW w:w="56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60" w:after="60"/>
              <w:rPr/>
            </w:pPr>
            <w:r>
              <w:rPr>
                <w:rFonts w:eastAsia="Arial"/>
                <w:b/>
                <w:color w:val="FFFFFF"/>
                <w:sz w:val="18"/>
              </w:rPr>
              <w:t>Résultat établi</w:t>
            </w:r>
          </w:p>
        </w:tc>
      </w:tr>
      <w:tr>
        <w:trPr>
          <w:cantSplit w:val="true"/>
        </w:trPr>
        <w:tc>
          <w:tcPr>
            <w:tcW w:w="2228"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60" w:after="60"/>
              <w:rPr/>
            </w:pPr>
            <w:r>
              <w:rPr>
                <w:rFonts w:eastAsia="Arial"/>
                <w:b w:val="false"/>
                <w:color w:val="000000"/>
                <w:sz w:val="18"/>
              </w:rPr>
              <w:t>DMA MM2S / PL-IP-000</w:t>
            </w:r>
          </w:p>
        </w:tc>
        <w:tc>
          <w:tcPr>
            <w:tcW w:w="180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60" w:after="60"/>
              <w:rPr/>
            </w:pPr>
            <w:r>
              <w:rPr>
                <w:rFonts w:eastAsia="Arial"/>
                <w:b w:val="false"/>
                <w:color w:val="000000"/>
                <w:sz w:val="18"/>
              </w:rPr>
              <w:t>Partiel</w:t>
            </w:r>
          </w:p>
        </w:tc>
        <w:tc>
          <w:tcPr>
            <w:tcW w:w="5692"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60" w:after="60"/>
              <w:rPr/>
            </w:pPr>
            <w:r>
              <w:rPr>
                <w:rFonts w:eastAsia="Arial"/>
                <w:b w:val="false"/>
                <w:color w:val="000000"/>
                <w:sz w:val="18"/>
              </w:rPr>
              <w:t>V1: C-simulation 640 × 480 RGB888 réussie sur 307 200 pixels avec contrôle RGB, TLAST et TUSER. V2: synthèse, implémentation et bitstream test_DMA générés; WNS 31,334 ns, TNS 0. DDR physique et cadence 60 images/s non vérifiées.</w:t>
            </w:r>
          </w:p>
        </w:tc>
      </w:tr>
      <w:tr>
        <w:trPr>
          <w:cantSplit w:val="true"/>
        </w:trPr>
        <w:tc>
          <w:tcPr>
            <w:tcW w:w="2228" w:type="dxa"/>
            <w:tcBorders>
              <w:top w:val="single" w:sz="6" w:space="0" w:color="D9D9D9"/>
              <w:start w:val="single" w:sz="6" w:space="0" w:color="D9D9D9"/>
              <w:bottom w:val="single" w:sz="6" w:space="0" w:color="D9D9D9"/>
              <w:end w:val="single" w:sz="6" w:space="0" w:color="D9D9D9"/>
            </w:tcBorders>
            <w:shd w:fill="F2F6FA" w:val="clear"/>
            <w:tcMar>
              <w:top w:w="95" w:type="dxa"/>
              <w:bottom w:w="95" w:type="dxa"/>
            </w:tcMar>
            <w:vAlign w:val="center"/>
          </w:tcPr>
          <w:p>
            <w:pPr>
              <w:pStyle w:val="Normal"/>
              <w:spacing w:lineRule="auto" w:line="240" w:before="60" w:after="60"/>
              <w:rPr/>
            </w:pPr>
            <w:r>
              <w:rPr>
                <w:rFonts w:eastAsia="Arial"/>
                <w:b w:val="false"/>
                <w:color w:val="000000"/>
                <w:sz w:val="18"/>
              </w:rPr>
              <w:t>TPG / PL-IP-001</w:t>
            </w:r>
          </w:p>
        </w:tc>
        <w:tc>
          <w:tcPr>
            <w:tcW w:w="1800" w:type="dxa"/>
            <w:tcBorders>
              <w:top w:val="single" w:sz="6" w:space="0" w:color="D9D9D9"/>
              <w:start w:val="single" w:sz="6" w:space="0" w:color="D9D9D9"/>
              <w:bottom w:val="single" w:sz="6" w:space="0" w:color="D9D9D9"/>
              <w:end w:val="single" w:sz="6" w:space="0" w:color="D9D9D9"/>
            </w:tcBorders>
            <w:shd w:fill="F2F6FA" w:val="clear"/>
            <w:tcMar>
              <w:top w:w="95" w:type="dxa"/>
              <w:bottom w:w="95" w:type="dxa"/>
            </w:tcMar>
            <w:vAlign w:val="center"/>
          </w:tcPr>
          <w:p>
            <w:pPr>
              <w:pStyle w:val="Normal"/>
              <w:spacing w:lineRule="auto" w:line="240" w:before="60" w:after="60"/>
              <w:rPr/>
            </w:pPr>
            <w:r>
              <w:rPr>
                <w:rFonts w:eastAsia="Arial"/>
                <w:b w:val="false"/>
                <w:color w:val="000000"/>
                <w:sz w:val="18"/>
              </w:rPr>
              <w:t>Non vérifié</w:t>
            </w:r>
          </w:p>
        </w:tc>
        <w:tc>
          <w:tcPr>
            <w:tcW w:w="5692" w:type="dxa"/>
            <w:tcBorders>
              <w:top w:val="single" w:sz="6" w:space="0" w:color="D9D9D9"/>
              <w:start w:val="single" w:sz="6" w:space="0" w:color="D9D9D9"/>
              <w:bottom w:val="single" w:sz="6" w:space="0" w:color="D9D9D9"/>
              <w:end w:val="single" w:sz="6" w:space="0" w:color="D9D9D9"/>
            </w:tcBorders>
            <w:shd w:fill="F2F6FA" w:val="clear"/>
            <w:tcMar>
              <w:top w:w="95" w:type="dxa"/>
              <w:bottom w:w="95" w:type="dxa"/>
            </w:tcMar>
            <w:vAlign w:val="center"/>
          </w:tcPr>
          <w:p>
            <w:pPr>
              <w:pStyle w:val="Normal"/>
              <w:spacing w:lineRule="auto" w:line="240" w:before="60" w:after="60"/>
              <w:rPr/>
            </w:pPr>
            <w:r>
              <w:rPr>
                <w:rFonts w:eastAsia="Arial"/>
                <w:b w:val="false"/>
                <w:color w:val="000000"/>
                <w:sz w:val="18"/>
              </w:rPr>
              <w:t>V1 décrit dans TGP_v1_0.vhd une mire à rectangle mobile et rapporte une vidéo d’essai. V2 confirme le raccordement TPG à l’interconnect; aucun fichier vidéo/capture exécutable n’est joint pour démontrer le comportement.</w:t>
            </w:r>
          </w:p>
        </w:tc>
      </w:tr>
      <w:tr>
        <w:trPr>
          <w:cantSplit w:val="true"/>
        </w:trPr>
        <w:tc>
          <w:tcPr>
            <w:tcW w:w="2228"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60" w:after="60"/>
              <w:rPr/>
            </w:pPr>
            <w:r>
              <w:rPr>
                <w:rFonts w:eastAsia="Arial"/>
                <w:b w:val="false"/>
                <w:color w:val="000000"/>
                <w:sz w:val="18"/>
              </w:rPr>
              <w:t>PMOD VGA / PL-DISP-002</w:t>
            </w:r>
          </w:p>
        </w:tc>
        <w:tc>
          <w:tcPr>
            <w:tcW w:w="180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60" w:after="60"/>
              <w:rPr/>
            </w:pPr>
            <w:r>
              <w:rPr>
                <w:rFonts w:eastAsia="Arial"/>
                <w:b w:val="false"/>
                <w:color w:val="000000"/>
                <w:sz w:val="18"/>
              </w:rPr>
              <w:t>Partiel</w:t>
            </w:r>
          </w:p>
        </w:tc>
        <w:tc>
          <w:tcPr>
            <w:tcW w:w="5692"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60" w:after="60"/>
              <w:rPr/>
            </w:pPr>
            <w:r>
              <w:rPr>
                <w:rFonts w:eastAsia="Arial"/>
                <w:b w:val="false"/>
                <w:color w:val="000000"/>
                <w:sz w:val="18"/>
              </w:rPr>
              <w:t>V1 décrit un ancien projet VGA 640 × 480 et rapporte une preuve vidéo sur carte. V2 établit le bitstream test_DMA, configuré 640 × 480/25 MHz. La vidéo citée en V1 n’est pas présente dans le dossier consulté; affichage physique et 60 Hz restent non vérifiés.</w:t>
            </w:r>
          </w:p>
        </w:tc>
      </w:tr>
      <w:tr>
        <w:trPr>
          <w:cantSplit w:val="true"/>
        </w:trPr>
        <w:tc>
          <w:tcPr>
            <w:tcW w:w="2228" w:type="dxa"/>
            <w:tcBorders>
              <w:top w:val="single" w:sz="6" w:space="0" w:color="D9D9D9"/>
              <w:start w:val="single" w:sz="6" w:space="0" w:color="D9D9D9"/>
              <w:bottom w:val="single" w:sz="6" w:space="0" w:color="D9D9D9"/>
              <w:end w:val="single" w:sz="6" w:space="0" w:color="D9D9D9"/>
            </w:tcBorders>
            <w:shd w:fill="F2F6FA" w:val="clear"/>
            <w:tcMar>
              <w:top w:w="95" w:type="dxa"/>
              <w:bottom w:w="95" w:type="dxa"/>
            </w:tcMar>
            <w:vAlign w:val="center"/>
          </w:tcPr>
          <w:p>
            <w:pPr>
              <w:pStyle w:val="Normal"/>
              <w:spacing w:lineRule="auto" w:line="240" w:before="60" w:after="60"/>
              <w:rPr/>
            </w:pPr>
            <w:r>
              <w:rPr>
                <w:rFonts w:eastAsia="Arial"/>
                <w:b w:val="false"/>
                <w:color w:val="000000"/>
                <w:sz w:val="18"/>
              </w:rPr>
              <w:t>Sélection initiale / PL-IP-002</w:t>
            </w:r>
          </w:p>
        </w:tc>
        <w:tc>
          <w:tcPr>
            <w:tcW w:w="1800" w:type="dxa"/>
            <w:tcBorders>
              <w:top w:val="single" w:sz="6" w:space="0" w:color="D9D9D9"/>
              <w:start w:val="single" w:sz="6" w:space="0" w:color="D9D9D9"/>
              <w:bottom w:val="single" w:sz="6" w:space="0" w:color="D9D9D9"/>
              <w:end w:val="single" w:sz="6" w:space="0" w:color="D9D9D9"/>
            </w:tcBorders>
            <w:shd w:fill="F2F6FA" w:val="clear"/>
            <w:tcMar>
              <w:top w:w="95" w:type="dxa"/>
              <w:bottom w:w="95" w:type="dxa"/>
            </w:tcMar>
            <w:vAlign w:val="center"/>
          </w:tcPr>
          <w:p>
            <w:pPr>
              <w:pStyle w:val="Normal"/>
              <w:spacing w:lineRule="auto" w:line="240" w:before="60" w:after="60"/>
              <w:rPr/>
            </w:pPr>
            <w:r>
              <w:rPr>
                <w:rFonts w:eastAsia="Arial"/>
                <w:b w:val="false"/>
                <w:color w:val="000000"/>
                <w:sz w:val="18"/>
              </w:rPr>
              <w:t>Non vérifiée</w:t>
            </w:r>
          </w:p>
        </w:tc>
        <w:tc>
          <w:tcPr>
            <w:tcW w:w="5692" w:type="dxa"/>
            <w:tcBorders>
              <w:top w:val="single" w:sz="6" w:space="0" w:color="D9D9D9"/>
              <w:start w:val="single" w:sz="6" w:space="0" w:color="D9D9D9"/>
              <w:bottom w:val="single" w:sz="6" w:space="0" w:color="D9D9D9"/>
              <w:end w:val="single" w:sz="6" w:space="0" w:color="D9D9D9"/>
            </w:tcBorders>
            <w:shd w:fill="F2F6FA" w:val="clear"/>
            <w:tcMar>
              <w:top w:w="95" w:type="dxa"/>
              <w:bottom w:w="95" w:type="dxa"/>
            </w:tcMar>
            <w:vAlign w:val="center"/>
          </w:tcPr>
          <w:p>
            <w:pPr>
              <w:pStyle w:val="Normal"/>
              <w:spacing w:lineRule="auto" w:line="240" w:before="60" w:after="60"/>
              <w:rPr/>
            </w:pPr>
            <w:r>
              <w:rPr>
                <w:rFonts w:eastAsia="Arial"/>
                <w:b w:val="false"/>
                <w:color w:val="000000"/>
                <w:sz w:val="18"/>
              </w:rPr>
              <w:t>V1 ne relevait pas de sélecteur. V2 identifie les entrées DMA/TPG, la sortie PMOD VGA et la liaison de contrôle PS dans le block design principal; aucun build complet, mappage confirmé ou essai fonctionnel.</w:t>
            </w:r>
          </w:p>
        </w:tc>
      </w:tr>
    </w:tbl>
    <w:p>
      <w:pPr>
        <w:pStyle w:val="Normal"/>
        <w:spacing w:before="20" w:after="20"/>
        <w:rPr/>
      </w:pPr>
      <w:r>
        <w:rPr/>
      </w:r>
    </w:p>
    <w:p>
      <w:pPr>
        <w:pStyle w:val="Normal"/>
        <w:spacing w:before="0" w:after="120"/>
        <w:rPr/>
      </w:pPr>
      <w:r>
        <w:rPr>
          <w:rFonts w:eastAsia="Arial"/>
          <w:b w:val="false"/>
          <w:color w:val="000000"/>
          <w:sz w:val="20"/>
        </w:rPr>
        <w:t>Décision globale : la conformité aux exigences P1 ne peut pas être prononcée. La C-simulation DMA est réussie et le projet matériel autonome a passé synthèse, implémentation, routage et génération du bitstream. Les essais sur carte, la cadence de 60 images/s, l’animation TPG, la sélection effective et l’affichage physique restent à documenter.</w:t>
      </w:r>
    </w:p>
    <w:p>
      <w:pPr>
        <w:pStyle w:val="Heading1"/>
        <w:rPr/>
      </w:pPr>
      <w:r>
        <w:rPr/>
        <w:t>2. Environnement et base de validation</w:t>
      </w:r>
    </w:p>
    <w:p>
      <w:pPr>
        <w:pStyle w:val="Normal"/>
        <w:spacing w:before="0" w:after="100"/>
        <w:rPr/>
      </w:pPr>
      <w:r>
        <w:rPr>
          <w:rFonts w:eastAsia="Arial"/>
          <w:b w:val="false"/>
          <w:color w:val="000000"/>
          <w:sz w:val="20"/>
        </w:rPr>
        <w:t>Référence fonctionnelle : SRS SoC Tracking, révision AB du 31 août 2026. Périmètre : PL-IP-000 (DMA), PL-IP-001 (TPG), PL-IP-002 (sélection initiale) et PL-DISP-002 (affichage VGA).</w:t>
      </w:r>
    </w:p>
    <w:p>
      <w:pPr>
        <w:pStyle w:val="Normal"/>
        <w:spacing w:before="0" w:after="100"/>
        <w:rPr/>
      </w:pPr>
      <w:r>
        <w:rPr>
          <w:rFonts w:eastAsia="Arial"/>
          <w:b w:val="false"/>
          <w:color w:val="000000"/>
          <w:sz w:val="20"/>
        </w:rPr>
        <w:t>Les artefacts examinés aujourd’hui comprennent le projet autonome Projet/src/test_DMA sous Vivado 2020.2, avec DMA MM2S, PS7/DDR sur HP0, adaptateur RGB888 vers 32 bits et IP PMOD VGA. Le README fixe les dimensions à 640 × 480 et l’image RGB888 à 921 600 octets, base DDR 0x10000000. L’IP PMOD VGA est configurée pour une horloge pixel de 25 MHz; le fichier XDC associe les signaux VGA aux broches PMOD.</w:t>
      </w:r>
    </w:p>
    <w:p>
      <w:pPr>
        <w:pStyle w:val="Normal"/>
        <w:spacing w:before="0" w:after="100"/>
        <w:rPr/>
      </w:pPr>
      <w:r>
        <w:rPr>
          <w:rFonts w:eastAsia="Arial"/>
          <w:b w:val="false"/>
          <w:color w:val="000000"/>
          <w:sz w:val="20"/>
        </w:rPr>
        <w:t>Les fichiers et journaux datés du 2 octobre établissent une construction du projet autonome test_DMA ainsi qu’un block design principal modifié. Aucun journal de programmation de carte, mesure de cadence, capture d’écran ou vidéo n’est présent parmi les preuves examinées pour cette mise à jour; les résultats matériels ne sont donc pas déclarés réussis sur la seule base de l’implémentation.</w:t>
      </w:r>
    </w:p>
    <w:p>
      <w:pPr>
        <w:pStyle w:val="Heading1"/>
        <w:spacing w:before="0" w:after="100"/>
        <w:rPr/>
      </w:pPr>
      <w:r>
        <w:rPr/>
        <w:t>3. Résultats détaillés</w:t>
      </w:r>
    </w:p>
    <w:p>
      <w:pPr>
        <w:pStyle w:val="Heading2"/>
        <w:spacing w:before="0" w:after="60"/>
        <w:rPr/>
      </w:pPr>
      <w:r>
        <w:rPr/>
        <w:t>3.3 Affichage PMOD VGA — implémentation établie, affichage physique à vérifier</w:t>
      </w:r>
    </w:p>
    <w:p>
      <w:pPr>
        <w:pStyle w:val="Normal"/>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143125" cy="170497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143125" cy="1704975"/>
                    </a:xfrm>
                    <a:prstGeom prst="rect">
                      <a:avLst/>
                    </a:prstGeom>
                    <a:noFill/>
                  </pic:spPr>
                </pic:pic>
              </a:graphicData>
            </a:graphic>
          </wp:anchor>
        </w:drawing>
      </w:r>
    </w:p>
    <w:p>
      <w:pPr>
        <w:pStyle w:val="Normal"/>
        <w:spacing w:before="0" w:after="80"/>
        <w:ind w:hanging="173" w:start="173"/>
        <w:rPr/>
      </w:pPr>
      <w:r>
        <w:rPr>
          <w:rFonts w:eastAsia="Arial"/>
          <w:b/>
          <w:color w:val="000000"/>
          <w:sz w:val="19"/>
        </w:rPr>
        <w:t xml:space="preserve">Exigence : </w:t>
      </w:r>
      <w:r>
        <w:rPr>
          <w:rFonts w:eastAsia="Arial"/>
          <w:b w:val="false"/>
          <w:color w:val="000000"/>
          <w:sz w:val="19"/>
        </w:rPr>
        <w:t>PL-DISP-002 demande l’affichage d’un flux vidéo compatible VGA en 640 × 480 à 60 Hz.</w:t>
      </w:r>
    </w:p>
    <w:p>
      <w:pPr>
        <w:pStyle w:val="Normal"/>
        <w:spacing w:before="0" w:after="80"/>
        <w:ind w:hanging="173" w:start="173"/>
        <w:rPr/>
      </w:pPr>
      <w:r>
        <w:rPr>
          <w:rFonts w:eastAsia="Arial"/>
          <w:b/>
          <w:color w:val="000000"/>
          <w:sz w:val="19"/>
        </w:rPr>
        <w:t>Configuration : le README et les constantes du block design test_DMA fixent 640 × 480; le flux du DMA alimente l’IP PMOD VGA via l’adaptateur RGB888 vers 32 bits. L’IP VGA utilise une horloge pixel de 25 MHz et le projet comporte un fichier de contraintes de broches PMOD.</w:t>
      </w:r>
    </w:p>
    <w:p>
      <w:pPr>
        <w:pStyle w:val="Normal"/>
        <w:spacing w:before="0" w:after="80"/>
        <w:ind w:hanging="173" w:start="173"/>
        <w:rPr/>
      </w:pPr>
      <w:r>
        <w:rPr>
          <w:rFonts w:eastAsia="Arial"/>
          <w:b/>
          <w:color w:val="000000"/>
          <w:sz w:val="19"/>
        </w:rPr>
        <w:t>Preuve d’implémentation : le journal d’implémentation daté du 2 octobre confirme le routage et la création de design_1_wrapper.bit. Le rapport timing_summary_routed indique WNS = 31,334 ns, TNS = 0 et « All user specified timing constraints are met ».</w:t>
      </w:r>
    </w:p>
    <w:p>
      <w:pPr>
        <w:pStyle w:val="Normal"/>
        <w:spacing w:before="0" w:after="80"/>
        <w:ind w:hanging="173" w:start="173"/>
        <w:rPr/>
      </w:pPr>
      <w:r>
        <w:rPr>
          <w:rFonts w:eastAsia="Arial"/>
          <w:b/>
          <w:color w:val="000000"/>
          <w:sz w:val="19"/>
        </w:rPr>
        <w:t>Limite et verdict : aucune preuve ne confirme le chargement de ce bitstream sur Cora-Z7-10, le verrouillage d’un écran, les couleurs affichées ou une fréquence verticale de 60 Hz. Verdict : partiel, implémentation seule; VP-VGA-01 reste à exécuter sur matériel.</w:t>
      </w:r>
    </w:p>
    <w:p>
      <w:pPr>
        <w:pStyle w:val="Heading2"/>
        <w:rPr/>
      </w:pPr>
      <w:r>
        <w:rPr/>
        <w:t>3.2 TPG — intégré au block design, fonctionnement à vérifier</w:t>
      </w:r>
    </w:p>
    <w:p>
      <w:pPr>
        <w:pStyle w:val="Normal"/>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2371725" cy="130492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371725" cy="1304925"/>
                    </a:xfrm>
                    <a:prstGeom prst="rect">
                      <a:avLst/>
                    </a:prstGeom>
                    <a:noFill/>
                  </pic:spPr>
                </pic:pic>
              </a:graphicData>
            </a:graphic>
          </wp:anchor>
        </w:drawing>
      </w:r>
    </w:p>
    <w:p>
      <w:pPr>
        <w:pStyle w:val="Normal"/>
        <w:spacing w:before="0" w:after="80"/>
        <w:ind w:hanging="173" w:start="173"/>
        <w:rPr/>
      </w:pPr>
      <w:r>
        <w:rPr>
          <w:rFonts w:eastAsia="Arial"/>
          <w:b/>
          <w:color w:val="000000"/>
          <w:sz w:val="19"/>
        </w:rPr>
        <w:t xml:space="preserve">Exigence : </w:t>
      </w:r>
      <w:r>
        <w:rPr>
          <w:rFonts w:eastAsia="Arial"/>
          <w:b w:val="false"/>
          <w:color w:val="000000"/>
          <w:sz w:val="19"/>
        </w:rPr>
        <w:t>PL-IP-001 requiert une image comportant au moins un élément dynamique.</w:t>
      </w:r>
    </w:p>
    <w:p>
      <w:pPr>
        <w:pStyle w:val="Normal"/>
        <w:spacing w:before="0" w:after="80"/>
        <w:ind w:hanging="173" w:start="173"/>
        <w:rPr/>
      </w:pPr>
      <w:r>
        <w:rPr>
          <w:rFonts w:eastAsia="Arial"/>
          <w:b/>
          <w:color w:val="000000"/>
          <w:sz w:val="19"/>
        </w:rPr>
        <w:t>Observation : le block design principal modifié aujourd’hui relie TPG_0/M00_AXIS à S00_AXIS de axis_interconnect_0. Cette topologie établit la présence et le raccordement du TPG dans l’intégration; elle ne prouve ni l’émission d’une mire dynamique ni son affichage.</w:t>
      </w:r>
    </w:p>
    <w:p>
      <w:pPr>
        <w:pStyle w:val="Normal"/>
        <w:spacing w:before="0" w:after="80"/>
        <w:ind w:hanging="173" w:start="173"/>
        <w:rPr/>
      </w:pPr>
      <w:r>
        <w:rPr>
          <w:rFonts w:eastAsia="Arial"/>
          <w:b/>
          <w:color w:val="000000"/>
          <w:sz w:val="19"/>
        </w:rPr>
        <w:t>Limite et verdict : aucun résultat de simulation ou de capture sur FPGA démontrant le mouvement de la mire n’a été retrouvé pour cette mise à jour. Verdict : non vérifié; exécuter VP-TPG-01 après construction de l’intégration complète.</w:t>
      </w:r>
    </w:p>
    <w:p>
      <w:pPr>
        <w:pStyle w:val="Heading2"/>
        <w:rPr/>
      </w:pPr>
      <w:r>
        <w:rPr/>
      </w:r>
      <w:r>
        <w:br w:type="page"/>
      </w:r>
    </w:p>
    <w:p>
      <w:pPr>
        <w:pStyle w:val="Heading2"/>
        <w:spacing w:before="0" w:after="60"/>
        <w:rPr/>
      </w:pPr>
      <w:r>
        <w:rPr/>
        <w:t>3.1 DMA MM2S — C-simulation réussie et implémentation matérielle générée</w:t>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2247900" cy="1543050"/>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247900" cy="1543050"/>
                    </a:xfrm>
                    <a:prstGeom prst="rect">
                      <a:avLst/>
                    </a:prstGeom>
                    <a:noFill/>
                  </pic:spPr>
                </pic:pic>
              </a:graphicData>
            </a:graphic>
          </wp:anchor>
        </w:drawing>
      </w:r>
    </w:p>
    <w:p>
      <w:pPr>
        <w:pStyle w:val="Normal"/>
        <w:spacing w:before="0" w:after="80"/>
        <w:ind w:hanging="173" w:start="173"/>
        <w:rPr/>
      </w:pPr>
      <w:r>
        <w:rPr>
          <w:rFonts w:eastAsia="Arial"/>
          <w:b/>
          <w:color w:val="000000"/>
          <w:sz w:val="19"/>
        </w:rPr>
        <w:t xml:space="preserve">Exigence : </w:t>
      </w:r>
      <w:r>
        <w:rPr>
          <w:rFonts w:eastAsia="Arial"/>
          <w:b w:val="false"/>
          <w:color w:val="000000"/>
          <w:sz w:val="19"/>
        </w:rPr>
        <w:t>PL-IP-000 demande la relecture d’une image 640 × 480 RGB888 depuis la DDR externe à 60 images/s.</w:t>
      </w:r>
    </w:p>
    <w:p>
      <w:pPr>
        <w:pStyle w:val="Normal"/>
        <w:spacing w:before="0" w:after="80"/>
        <w:ind w:hanging="173" w:start="173"/>
        <w:rPr/>
      </w:pPr>
      <w:r>
        <w:rPr>
          <w:rFonts w:eastAsia="Arial"/>
          <w:b/>
          <w:color w:val="000000"/>
          <w:sz w:val="19"/>
        </w:rPr>
        <w:t>Preuve de simulation : le journal DMA24bUnit_mm2s_csim.log indique « TEST PASSED » et « CSim done with 0 errors ». Le testbench compare les pixels RGB, TLAST en fin de ligne, TUSER au premier pixel de trame et l’absence de données manquantes ou surnuméraires.</w:t>
      </w:r>
    </w:p>
    <w:p>
      <w:pPr>
        <w:pStyle w:val="Normal"/>
        <w:spacing w:before="0" w:after="80"/>
        <w:ind w:hanging="173" w:start="173"/>
        <w:rPr/>
      </w:pPr>
      <w:r>
        <w:rPr>
          <w:rFonts w:eastAsia="Arial"/>
          <w:b/>
          <w:color w:val="000000"/>
          <w:sz w:val="19"/>
        </w:rPr>
        <w:t>Configuration matérielle observée aujourd’hui : le block design test_DMA relie DMA MM2S à la DDR du PS7 par HP0, puis au PMOD VGA. La procédure README prévoit 640 × 480 RGB888, 921 600 octets à partir de 0x10000000; elle décrit le chargement mais n’est pas une trace de chargement exécuté.</w:t>
      </w:r>
    </w:p>
    <w:p>
      <w:pPr>
        <w:pStyle w:val="Normal"/>
        <w:spacing w:before="0" w:after="80"/>
        <w:ind w:hanging="173" w:start="173"/>
        <w:rPr/>
      </w:pPr>
      <w:r>
        <w:rPr>
          <w:rFonts w:eastAsia="Arial"/>
          <w:b/>
          <w:color w:val="000000"/>
          <w:sz w:val="19"/>
        </w:rPr>
        <w:t>Résultat matériel : le journal de synthèse indique zéro erreur et zéro avertissement; l’implémentation et write_bitstream ont réussi le 2 octobre. Le rapport de timing routé donne WNS = 31,334 ns, TNS = 0 et indique que les contraintes de timing utilisateur sont respectées. Ces résultats valident la construction du bitstream, pas le fonctionnement du DMA en lecture DDR sur carte.</w:t>
      </w:r>
    </w:p>
    <w:p>
      <w:pPr>
        <w:pStyle w:val="Normal"/>
        <w:spacing w:before="0" w:after="80"/>
        <w:ind w:hanging="173" w:start="173"/>
        <w:rPr/>
      </w:pPr>
      <w:r>
        <w:rPr>
          <w:rFonts w:eastAsia="Arial"/>
          <w:b/>
          <w:color w:val="000000"/>
          <w:sz w:val="19"/>
        </w:rPr>
        <w:t>Point de suivi : les rapports DRC routés signalent 20 violations REQP-1839 relatives à des contrôles asynchrones sur RAMB36 et une violation RTSTAT-10 « No routable loads ». Les examiner et les qualifier avant clôture. L’essai VP-DMA-02 doit encore capturer le flux issu de la DDR et mesurer la cadence de 60 images/s.</w:t>
      </w:r>
    </w:p>
    <w:p>
      <w:pPr>
        <w:pStyle w:val="Heading2"/>
        <w:rPr/>
      </w:pPr>
      <w:r>
        <w:rPr/>
        <w:t>3.4 Sélection de source — architecture raccordée, fonction non vérifiée</w:t>
      </w:r>
    </w:p>
    <w:p>
      <w:pPr>
        <w:pStyle w:val="Normal"/>
        <w:spacing w:before="0" w:after="80"/>
        <w:ind w:hanging="173" w:start="173"/>
        <w:rPr/>
      </w:pPr>
      <w:r>
        <w:rPr>
          <w:rFonts w:eastAsia="Arial"/>
          <w:b/>
          <w:color w:val="000000"/>
          <w:sz w:val="19"/>
        </w:rPr>
        <w:t>Exigences : PL-IP-002 impose le choix de source à l’initialisation (P1).</w:t>
      </w:r>
    </w:p>
    <w:p>
      <w:pPr>
        <w:pStyle w:val="Normal"/>
        <w:spacing w:before="0" w:after="80"/>
        <w:ind w:hanging="173" w:start="173"/>
        <w:rPr/>
      </w:pPr>
      <w:r>
        <w:rPr>
          <w:rFonts w:eastAsia="Arial"/>
          <w:b/>
          <w:color w:val="000000"/>
          <w:sz w:val="19"/>
        </w:rPr>
        <w:t>Constat au 2 octobre : le block design principal relie TPG_0/M00_AXIS à S00_AXIS et DMA24bUnit_mm2s_0/STR_video_out à S01_AXIS de axis_interconnect_0; M00_AXIS alimente PMODVGA_0/S00_AXIS. Le PS est raccordé à S_AXI_CTRL. L’intégration est visible dans Projet/src/projet/projet.srcs/sources_1/bd/design_1/design_1.bd, mais aucun build complet, mappage de registre vérifié ni essai de sélection n’est disponible.</w:t>
      </w:r>
    </w:p>
    <w:p>
      <w:pPr>
        <w:pStyle w:val="Normal"/>
        <w:spacing w:before="0" w:after="80"/>
        <w:ind w:hanging="173" w:start="173"/>
        <w:rPr/>
      </w:pPr>
      <w:r>
        <w:rPr>
          <w:rFonts w:eastAsia="Arial"/>
          <w:b/>
          <w:color w:val="000000"/>
          <w:sz w:val="19"/>
        </w:rPr>
        <w:t>Verdict : PL-IP-002 et PL-IP-003 restent non vérifiées fonctionnellement. Identifier et confirmer le mappage de contrôle, construire l’intégration, puis exécuter VP-SRC-01 et VP-SRC-02; ne pas déduire les valeurs de registre des seuls noms de ports.</w:t>
      </w:r>
    </w:p>
    <w:p>
      <w:pPr>
        <w:pStyle w:val="Heading1"/>
        <w:rPr/>
      </w:pPr>
      <w:r>
        <w:rPr/>
      </w:r>
      <w:r>
        <w:br w:type="page"/>
      </w:r>
    </w:p>
    <w:p>
      <w:pPr>
        <w:pStyle w:val="Heading1"/>
        <w:spacing w:before="0" w:after="100"/>
        <w:rPr/>
      </w:pPr>
      <w:r>
        <w:rPr/>
        <w:t>4. Conclusion et suites requises</w:t>
      </w:r>
    </w:p>
    <w:p>
      <w:pPr>
        <w:pStyle w:val="Normal"/>
        <w:spacing w:before="0" w:after="100"/>
        <w:rPr/>
      </w:pPr>
      <w:r>
        <w:rPr>
          <w:rFonts w:eastAsia="Arial"/>
          <w:b w:val="false"/>
          <w:color w:val="000000"/>
          <w:sz w:val="20"/>
        </w:rPr>
        <w:t>Le dossier établit une C-simulation DMA réussie antérieure, un bitstream autonome test_DMA généré le 2 octobre et une nouvelle topologie d’intégration TPG/DMA vers PMOD VGA. Le test de bout en bout reste ouvert : aucun essai carte-écran, mesure 60 Hz ou résultat de sélection fonctionnelle n’est joint à cette mise à jour.</w:t>
      </w:r>
    </w:p>
    <w:tbl>
      <w:tblPr>
        <w:tblStyle w:val="TableGrid"/>
        <w:tblW w:w="9720" w:type="dxa"/>
        <w:jc w:val="center"/>
        <w:tblInd w:w="0" w:type="dxa"/>
        <w:tblLayout w:type="fixed"/>
        <w:tblCellMar>
          <w:top w:w="105" w:type="dxa"/>
          <w:start w:w="105" w:type="dxa"/>
          <w:bottom w:w="105" w:type="dxa"/>
          <w:end w:w="105" w:type="dxa"/>
        </w:tblCellMar>
        <w:tblLook w:firstRow="1" w:noVBand="1" w:lastRow="0" w:firstColumn="1" w:lastColumn="0" w:noHBand="0" w:val="04a0"/>
      </w:tblPr>
      <w:tblGrid>
        <w:gridCol w:w="2880"/>
        <w:gridCol w:w="6840"/>
      </w:tblGrid>
      <w:tr>
        <w:trPr>
          <w:tblHeader w:val="true"/>
          <w:cantSplit w:val="true"/>
        </w:trPr>
        <w:tc>
          <w:tcPr>
            <w:tcW w:w="2880"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60" w:after="60"/>
              <w:rPr/>
            </w:pPr>
            <w:r>
              <w:rPr>
                <w:rFonts w:eastAsia="Arial"/>
                <w:b/>
                <w:color w:val="FFFFFF"/>
                <w:sz w:val="18"/>
              </w:rPr>
              <w:t>Suite</w:t>
            </w:r>
          </w:p>
        </w:tc>
        <w:tc>
          <w:tcPr>
            <w:tcW w:w="6840"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60" w:after="60"/>
              <w:rPr/>
            </w:pPr>
            <w:r>
              <w:rPr>
                <w:rFonts w:eastAsia="Arial"/>
                <w:b/>
                <w:color w:val="FFFFFF"/>
                <w:sz w:val="18"/>
              </w:rPr>
              <w:t>Condition de clôture</w:t>
            </w:r>
          </w:p>
        </w:tc>
      </w:tr>
      <w:tr>
        <w:trPr>
          <w:cantSplit w:val="true"/>
        </w:trPr>
        <w:tc>
          <w:tcPr>
            <w:tcW w:w="288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60" w:after="60"/>
              <w:rPr/>
            </w:pPr>
            <w:r>
              <w:rPr>
                <w:rFonts w:eastAsia="Arial"/>
                <w:b w:val="false"/>
                <w:color w:val="000000"/>
                <w:sz w:val="18"/>
              </w:rPr>
              <w:t>Traiter les avertissements DRC</w:t>
            </w:r>
          </w:p>
        </w:tc>
        <w:tc>
          <w:tcPr>
            <w:tcW w:w="684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60" w:after="60"/>
              <w:rPr/>
            </w:pPr>
            <w:r>
              <w:rPr>
                <w:rFonts w:eastAsia="Arial"/>
                <w:b w:val="false"/>
                <w:color w:val="000000"/>
                <w:sz w:val="18"/>
              </w:rPr>
              <w:t>Examiner les avertissements DRC REQP-1839 et RTSTAT-10 du projet test_DMA; reprendre aussi les avertissements DATAFLOW et m_axi cités dans le rapport V1 à partir des journaux HLS correspondants.</w:t>
            </w:r>
          </w:p>
        </w:tc>
      </w:tr>
      <w:tr>
        <w:trPr>
          <w:cantSplit w:val="true"/>
        </w:trPr>
        <w:tc>
          <w:tcPr>
            <w:tcW w:w="2880" w:type="dxa"/>
            <w:tcBorders>
              <w:top w:val="single" w:sz="6" w:space="0" w:color="D9D9D9"/>
              <w:start w:val="single" w:sz="6" w:space="0" w:color="D9D9D9"/>
              <w:bottom w:val="single" w:sz="6" w:space="0" w:color="D9D9D9"/>
              <w:end w:val="single" w:sz="6" w:space="0" w:color="D9D9D9"/>
            </w:tcBorders>
            <w:shd w:fill="F2F6FA" w:val="clear"/>
            <w:tcMar>
              <w:top w:w="95" w:type="dxa"/>
              <w:bottom w:w="95" w:type="dxa"/>
            </w:tcMar>
            <w:vAlign w:val="center"/>
          </w:tcPr>
          <w:p>
            <w:pPr>
              <w:pStyle w:val="Normal"/>
              <w:spacing w:lineRule="auto" w:line="240" w:before="60" w:after="60"/>
              <w:rPr/>
            </w:pPr>
            <w:r>
              <w:rPr>
                <w:rFonts w:eastAsia="Arial"/>
                <w:b w:val="false"/>
                <w:color w:val="000000"/>
                <w:sz w:val="18"/>
              </w:rPr>
              <w:t>Construire l’intégration complète</w:t>
            </w:r>
          </w:p>
        </w:tc>
        <w:tc>
          <w:tcPr>
            <w:tcW w:w="6840" w:type="dxa"/>
            <w:tcBorders>
              <w:top w:val="single" w:sz="6" w:space="0" w:color="D9D9D9"/>
              <w:start w:val="single" w:sz="6" w:space="0" w:color="D9D9D9"/>
              <w:bottom w:val="single" w:sz="6" w:space="0" w:color="D9D9D9"/>
              <w:end w:val="single" w:sz="6" w:space="0" w:color="D9D9D9"/>
            </w:tcBorders>
            <w:shd w:fill="F2F6FA" w:val="clear"/>
            <w:tcMar>
              <w:top w:w="95" w:type="dxa"/>
              <w:bottom w:w="95" w:type="dxa"/>
            </w:tcMar>
            <w:vAlign w:val="center"/>
          </w:tcPr>
          <w:p>
            <w:pPr>
              <w:pStyle w:val="Normal"/>
              <w:spacing w:lineRule="auto" w:line="240" w:before="60" w:after="60"/>
              <w:rPr/>
            </w:pPr>
            <w:r>
              <w:rPr>
                <w:rFonts w:eastAsia="Arial"/>
                <w:b w:val="false"/>
                <w:color w:val="000000"/>
                <w:sz w:val="18"/>
              </w:rPr>
              <w:t>Générer et identifier un bitstream comprenant TPG, DMA, interconnect de sélection et PMOD VGA.</w:t>
            </w:r>
          </w:p>
        </w:tc>
      </w:tr>
      <w:tr>
        <w:trPr>
          <w:cantSplit w:val="true"/>
        </w:trPr>
        <w:tc>
          <w:tcPr>
            <w:tcW w:w="288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60" w:after="60"/>
              <w:rPr/>
            </w:pPr>
            <w:r>
              <w:rPr>
                <w:rFonts w:eastAsia="Arial"/>
                <w:b w:val="false"/>
                <w:color w:val="000000"/>
                <w:sz w:val="18"/>
              </w:rPr>
              <w:t>Exécuter les essais sur matériel</w:t>
            </w:r>
          </w:p>
        </w:tc>
        <w:tc>
          <w:tcPr>
            <w:tcW w:w="684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60" w:after="60"/>
              <w:rPr/>
            </w:pPr>
            <w:r>
              <w:rPr>
                <w:rFonts w:eastAsia="Arial"/>
                <w:b w:val="false"/>
                <w:color w:val="000000"/>
                <w:sz w:val="18"/>
              </w:rPr>
              <w:t>Charger image et bitstream; mesurer le flux DDR à 60 images/s, vérifier TPG dynamique et afficher chaque source sur PMOD VGA.</w:t>
            </w:r>
          </w:p>
        </w:tc>
      </w:tr>
      <w:tr>
        <w:trPr/>
        <w:tc>
          <w:tcPr>
            <w:tcW w:w="2880" w:type="dxa"/>
            <w:tcBorders/>
            <w:shd w:fill="F2F6FA" w:val="clear"/>
            <w:vAlign w:val="center"/>
          </w:tcPr>
          <w:p>
            <w:pPr>
              <w:pStyle w:val="Normal"/>
              <w:spacing w:before="60" w:after="60"/>
              <w:rPr/>
            </w:pPr>
            <w:r>
              <w:rPr>
                <w:sz w:val="18"/>
              </w:rPr>
              <w:t>Clôturer la sélection de source</w:t>
            </w:r>
          </w:p>
        </w:tc>
        <w:tc>
          <w:tcPr>
            <w:tcW w:w="6840" w:type="dxa"/>
            <w:tcBorders/>
            <w:shd w:fill="F2F6FA" w:val="clear"/>
            <w:vAlign w:val="center"/>
          </w:tcPr>
          <w:p>
            <w:pPr>
              <w:pStyle w:val="Normal"/>
              <w:spacing w:before="60" w:after="60"/>
              <w:rPr/>
            </w:pPr>
            <w:r>
              <w:rPr>
                <w:sz w:val="18"/>
              </w:rPr>
              <w:t>Confirmer le mappage de contrôle, tester la sélection initiale P1 .</w:t>
            </w:r>
          </w:p>
        </w:tc>
      </w:tr>
    </w:tbl>
    <w:p>
      <w:pPr>
        <w:pStyle w:val="Normal"/>
        <w:spacing w:before="20" w:after="20"/>
        <w:rPr/>
      </w:pPr>
      <w:r>
        <w:rPr/>
      </w:r>
    </w:p>
    <w:p>
      <w:pPr>
        <w:pStyle w:val="Normal"/>
        <w:spacing w:before="0" w:after="120"/>
        <w:rPr/>
      </w:pPr>
      <w:r>
        <w:rPr>
          <w:rFonts w:eastAsia="Arial"/>
          <w:b w:val="false"/>
          <w:color w:val="000000"/>
          <w:sz w:val="20"/>
        </w:rPr>
        <w:t>La validation P1 pourra être clôturée après exécution réussie et archivage des preuves pour la lecture DDR à 60 images/s, la mire dynamique, la sortie VGA physique et la sélection initiale de chacune des deux sources. Traiter également les avertissements DRC.</w:t>
      </w:r>
    </w:p>
    <w:p>
      <w:pPr>
        <w:pStyle w:val="Heading1"/>
        <w:rPr/>
      </w:pPr>
      <w:r>
        <w:rPr/>
        <w:t>5. Traçabilité des preuves du 2 octobre 2026</w:t>
      </w:r>
    </w:p>
    <w:p>
      <w:pPr>
        <w:pStyle w:val="Normal"/>
        <w:rPr/>
      </w:pPr>
      <w:r>
        <w:rPr/>
        <w:t>Les verdicts ci-dessus sont limités à ce que montrent les fichiers du projet. Les commandes XSCT du README sont une procédure proposée; aucun journal de leur exécution n’est joint. La génération du bitstream ne vaut pas preuve de programmation de la carte ni d’affichage physique.</w:t>
      </w:r>
    </w:p>
    <w:tbl>
      <w:tblPr>
        <w:tblStyle w:val="TableGrid"/>
        <w:tblW w:w="9717" w:type="dxa"/>
        <w:jc w:val="start"/>
        <w:tblInd w:w="103" w:type="dxa"/>
        <w:tblLayout w:type="fixed"/>
        <w:tblCellMar>
          <w:top w:w="0" w:type="dxa"/>
          <w:start w:w="108" w:type="dxa"/>
          <w:bottom w:w="0" w:type="dxa"/>
          <w:end w:w="108" w:type="dxa"/>
        </w:tblCellMar>
        <w:tblLook w:firstRow="1" w:noVBand="1" w:lastRow="0" w:firstColumn="1" w:lastColumn="0" w:noHBand="0" w:val="04a0"/>
      </w:tblPr>
      <w:tblGrid>
        <w:gridCol w:w="3239"/>
        <w:gridCol w:w="3239"/>
        <w:gridCol w:w="3239"/>
      </w:tblGrid>
      <w:tr>
        <w:trPr>
          <w:tblHeader w:val="true"/>
        </w:trPr>
        <w:tc>
          <w:tcPr>
            <w:tcW w:w="3239" w:type="dxa"/>
            <w:tcBorders/>
            <w:shd w:fill="1F4E78" w:val="clear"/>
            <w:vAlign w:val="center"/>
          </w:tcPr>
          <w:p>
            <w:pPr>
              <w:pStyle w:val="Normal"/>
              <w:spacing w:before="60" w:after="60"/>
              <w:rPr/>
            </w:pPr>
            <w:r>
              <w:rPr>
                <w:b/>
                <w:color w:val="FFFFFF"/>
                <w:sz w:val="18"/>
              </w:rPr>
              <w:t>Artefact</w:t>
            </w:r>
          </w:p>
        </w:tc>
        <w:tc>
          <w:tcPr>
            <w:tcW w:w="3239" w:type="dxa"/>
            <w:tcBorders/>
            <w:shd w:fill="1F4E78" w:val="clear"/>
            <w:vAlign w:val="center"/>
          </w:tcPr>
          <w:p>
            <w:pPr>
              <w:pStyle w:val="Normal"/>
              <w:spacing w:before="60" w:after="60"/>
              <w:rPr/>
            </w:pPr>
            <w:r>
              <w:rPr>
                <w:b/>
                <w:color w:val="FFFFFF"/>
                <w:sz w:val="18"/>
              </w:rPr>
              <w:t>Constat étayé</w:t>
            </w:r>
          </w:p>
        </w:tc>
        <w:tc>
          <w:tcPr>
            <w:tcW w:w="3239" w:type="dxa"/>
            <w:tcBorders/>
            <w:shd w:fill="1F4E78" w:val="clear"/>
            <w:vAlign w:val="center"/>
          </w:tcPr>
          <w:p>
            <w:pPr>
              <w:pStyle w:val="Normal"/>
              <w:spacing w:before="60" w:after="60"/>
              <w:rPr/>
            </w:pPr>
            <w:r>
              <w:rPr>
                <w:b/>
                <w:color w:val="FFFFFF"/>
                <w:sz w:val="18"/>
              </w:rPr>
              <w:t>Limite de la preuve</w:t>
            </w:r>
          </w:p>
        </w:tc>
      </w:tr>
      <w:tr>
        <w:trPr/>
        <w:tc>
          <w:tcPr>
            <w:tcW w:w="3239" w:type="dxa"/>
            <w:tcBorders/>
            <w:vAlign w:val="center"/>
          </w:tcPr>
          <w:p>
            <w:pPr>
              <w:pStyle w:val="Normal"/>
              <w:spacing w:before="60" w:after="60"/>
              <w:rPr/>
            </w:pPr>
            <w:r>
              <w:rPr>
                <w:sz w:val="18"/>
              </w:rPr>
              <w:t>test_DMA.runs/synth_1/runme.log</w:t>
            </w:r>
          </w:p>
        </w:tc>
        <w:tc>
          <w:tcPr>
            <w:tcW w:w="3239" w:type="dxa"/>
            <w:tcBorders/>
            <w:vAlign w:val="center"/>
          </w:tcPr>
          <w:p>
            <w:pPr>
              <w:pStyle w:val="Normal"/>
              <w:spacing w:before="60" w:after="60"/>
              <w:rPr/>
            </w:pPr>
            <w:r>
              <w:rPr>
                <w:sz w:val="18"/>
              </w:rPr>
              <w:t>Synthèse terminée avec 0 erreur et 0 avertissement.</w:t>
            </w:r>
          </w:p>
        </w:tc>
        <w:tc>
          <w:tcPr>
            <w:tcW w:w="3239" w:type="dxa"/>
            <w:tcBorders/>
            <w:vAlign w:val="center"/>
          </w:tcPr>
          <w:p>
            <w:pPr>
              <w:pStyle w:val="Normal"/>
              <w:spacing w:before="60" w:after="60"/>
              <w:rPr/>
            </w:pPr>
            <w:r>
              <w:rPr>
                <w:sz w:val="18"/>
              </w:rPr>
              <w:t>Ne démontre pas un essai sur carte.</w:t>
            </w:r>
          </w:p>
        </w:tc>
      </w:tr>
      <w:tr>
        <w:trPr/>
        <w:tc>
          <w:tcPr>
            <w:tcW w:w="3239" w:type="dxa"/>
            <w:tcBorders/>
            <w:shd w:fill="F2F6FA" w:val="clear"/>
            <w:vAlign w:val="center"/>
          </w:tcPr>
          <w:p>
            <w:pPr>
              <w:pStyle w:val="Normal"/>
              <w:spacing w:before="60" w:after="60"/>
              <w:rPr/>
            </w:pPr>
            <w:r>
              <w:rPr>
                <w:sz w:val="18"/>
              </w:rPr>
              <w:t>test_DMA.runs/impl_1/runme.log et design_1_wrapper.bit</w:t>
            </w:r>
          </w:p>
        </w:tc>
        <w:tc>
          <w:tcPr>
            <w:tcW w:w="3239" w:type="dxa"/>
            <w:tcBorders/>
            <w:shd w:fill="F2F6FA" w:val="clear"/>
            <w:vAlign w:val="center"/>
          </w:tcPr>
          <w:p>
            <w:pPr>
              <w:pStyle w:val="Normal"/>
              <w:spacing w:before="60" w:after="60"/>
              <w:rPr/>
            </w:pPr>
            <w:r>
              <w:rPr>
                <w:sz w:val="18"/>
              </w:rPr>
              <w:t>Implémentation et génération du bitstream réussies le 2 octobre; fichier bitstream présent.</w:t>
            </w:r>
          </w:p>
        </w:tc>
        <w:tc>
          <w:tcPr>
            <w:tcW w:w="3239" w:type="dxa"/>
            <w:tcBorders/>
            <w:shd w:fill="F2F6FA" w:val="clear"/>
            <w:vAlign w:val="center"/>
          </w:tcPr>
          <w:p>
            <w:pPr>
              <w:pStyle w:val="Normal"/>
              <w:spacing w:before="60" w:after="60"/>
              <w:rPr/>
            </w:pPr>
            <w:r>
              <w:rPr>
                <w:sz w:val="18"/>
              </w:rPr>
              <w:t>Bitstream du projet test_DMA autonome, non du block design principal.</w:t>
            </w:r>
          </w:p>
        </w:tc>
      </w:tr>
      <w:tr>
        <w:trPr/>
        <w:tc>
          <w:tcPr>
            <w:tcW w:w="3239" w:type="dxa"/>
            <w:tcBorders/>
            <w:vAlign w:val="center"/>
          </w:tcPr>
          <w:p>
            <w:pPr>
              <w:pStyle w:val="Normal"/>
              <w:spacing w:before="60" w:after="60"/>
              <w:rPr/>
            </w:pPr>
            <w:r>
              <w:rPr>
                <w:sz w:val="18"/>
              </w:rPr>
              <w:t>design_1_wrapper_timing_summary_routed.rpt</w:t>
            </w:r>
          </w:p>
        </w:tc>
        <w:tc>
          <w:tcPr>
            <w:tcW w:w="3239" w:type="dxa"/>
            <w:tcBorders/>
            <w:vAlign w:val="center"/>
          </w:tcPr>
          <w:p>
            <w:pPr>
              <w:pStyle w:val="Normal"/>
              <w:spacing w:before="60" w:after="60"/>
              <w:rPr/>
            </w:pPr>
            <w:r>
              <w:rPr>
                <w:sz w:val="18"/>
              </w:rPr>
              <w:t>WNS 31,334 ns; TNS 0; contraintes utilisateur satisfaites.</w:t>
            </w:r>
          </w:p>
        </w:tc>
        <w:tc>
          <w:tcPr>
            <w:tcW w:w="3239" w:type="dxa"/>
            <w:tcBorders/>
            <w:vAlign w:val="center"/>
          </w:tcPr>
          <w:p>
            <w:pPr>
              <w:pStyle w:val="Normal"/>
              <w:spacing w:before="60" w:after="60"/>
              <w:rPr/>
            </w:pPr>
            <w:r>
              <w:rPr>
                <w:sz w:val="18"/>
              </w:rPr>
              <w:t>Marge de timing statique; aucune mesure de cadence vidéo.</w:t>
            </w:r>
          </w:p>
        </w:tc>
      </w:tr>
      <w:tr>
        <w:trPr/>
        <w:tc>
          <w:tcPr>
            <w:tcW w:w="3239" w:type="dxa"/>
            <w:tcBorders/>
            <w:shd w:fill="F2F6FA" w:val="clear"/>
            <w:vAlign w:val="center"/>
          </w:tcPr>
          <w:p>
            <w:pPr>
              <w:pStyle w:val="Normal"/>
              <w:spacing w:before="60" w:after="60"/>
              <w:rPr/>
            </w:pPr>
            <w:r>
              <w:rPr>
                <w:sz w:val="18"/>
              </w:rPr>
              <w:t>design_1_wrapper_drc_routed.rpt</w:t>
            </w:r>
          </w:p>
        </w:tc>
        <w:tc>
          <w:tcPr>
            <w:tcW w:w="3239" w:type="dxa"/>
            <w:tcBorders/>
            <w:shd w:fill="F2F6FA" w:val="clear"/>
            <w:vAlign w:val="center"/>
          </w:tcPr>
          <w:p>
            <w:pPr>
              <w:pStyle w:val="Normal"/>
              <w:spacing w:before="60" w:after="60"/>
              <w:rPr/>
            </w:pPr>
            <w:r>
              <w:rPr>
                <w:sz w:val="18"/>
              </w:rPr>
              <w:t>20 violations REQP-1839 et une violation RTSTAT-10 recensées.</w:t>
            </w:r>
          </w:p>
        </w:tc>
        <w:tc>
          <w:tcPr>
            <w:tcW w:w="3239" w:type="dxa"/>
            <w:tcBorders/>
            <w:shd w:fill="F2F6FA" w:val="clear"/>
            <w:vAlign w:val="center"/>
          </w:tcPr>
          <w:p>
            <w:pPr>
              <w:pStyle w:val="Normal"/>
              <w:spacing w:before="60" w:after="60"/>
              <w:rPr/>
            </w:pPr>
            <w:r>
              <w:rPr>
                <w:sz w:val="18"/>
              </w:rPr>
              <w:t>Avertissements à examiner et qualifier.</w:t>
            </w:r>
          </w:p>
        </w:tc>
      </w:tr>
      <w:tr>
        <w:trPr/>
        <w:tc>
          <w:tcPr>
            <w:tcW w:w="3239" w:type="dxa"/>
            <w:tcBorders/>
            <w:vAlign w:val="center"/>
          </w:tcPr>
          <w:p>
            <w:pPr>
              <w:pStyle w:val="Normal"/>
              <w:spacing w:before="60" w:after="60"/>
              <w:rPr/>
            </w:pPr>
            <w:r>
              <w:rPr>
                <w:sz w:val="18"/>
              </w:rPr>
              <w:t>Projet/src/projet/projet.srcs/sources_1/bd/design_1/design_1.bd</w:t>
            </w:r>
          </w:p>
        </w:tc>
        <w:tc>
          <w:tcPr>
            <w:tcW w:w="3239" w:type="dxa"/>
            <w:tcBorders/>
            <w:vAlign w:val="center"/>
          </w:tcPr>
          <w:p>
            <w:pPr>
              <w:pStyle w:val="Normal"/>
              <w:spacing w:before="60" w:after="60"/>
              <w:rPr/>
            </w:pPr>
            <w:r>
              <w:rPr>
                <w:sz w:val="18"/>
              </w:rPr>
              <w:t>TPG et DMA raccordés aux deux entrées de l’interconnect; sortie vers PMOD VGA et contrôle PS présent.</w:t>
            </w:r>
          </w:p>
        </w:tc>
        <w:tc>
          <w:tcPr>
            <w:tcW w:w="3239" w:type="dxa"/>
            <w:tcBorders/>
            <w:vAlign w:val="center"/>
          </w:tcPr>
          <w:p>
            <w:pPr>
              <w:pStyle w:val="Normal"/>
              <w:spacing w:before="60" w:after="60"/>
              <w:rPr/>
            </w:pPr>
            <w:r>
              <w:rPr>
                <w:sz w:val="18"/>
              </w:rPr>
              <w:t>Block design modifié, sans preuve de synthèse/implémentation ou de commutation.</w:t>
            </w:r>
          </w:p>
        </w:tc>
      </w:tr>
      <w:tr>
        <w:trPr/>
        <w:tc>
          <w:tcPr>
            <w:tcW w:w="3239" w:type="dxa"/>
            <w:tcBorders/>
            <w:shd w:fill="F2F6FA" w:val="clear"/>
            <w:vAlign w:val="center"/>
          </w:tcPr>
          <w:p>
            <w:pPr>
              <w:pStyle w:val="Normal"/>
              <w:spacing w:before="60" w:after="60"/>
              <w:rPr/>
            </w:pPr>
            <w:r>
              <w:rPr>
                <w:sz w:val="18"/>
              </w:rPr>
              <w:t>Projet/src/test_DMA/README.md</w:t>
            </w:r>
          </w:p>
        </w:tc>
        <w:tc>
          <w:tcPr>
            <w:tcW w:w="3239" w:type="dxa"/>
            <w:tcBorders/>
            <w:shd w:fill="F2F6FA" w:val="clear"/>
            <w:vAlign w:val="center"/>
          </w:tcPr>
          <w:p>
            <w:pPr>
              <w:pStyle w:val="Normal"/>
              <w:spacing w:before="60" w:after="60"/>
              <w:rPr/>
            </w:pPr>
            <w:r>
              <w:rPr>
                <w:sz w:val="18"/>
              </w:rPr>
              <w:t>Décrit chargement d’une image RGB888 de 640 × 480 à 0x10000000, puis programmation FPGA.</w:t>
            </w:r>
          </w:p>
        </w:tc>
        <w:tc>
          <w:tcPr>
            <w:tcW w:w="3239" w:type="dxa"/>
            <w:tcBorders/>
            <w:shd w:fill="F2F6FA" w:val="clear"/>
            <w:vAlign w:val="center"/>
          </w:tcPr>
          <w:p>
            <w:pPr>
              <w:pStyle w:val="Normal"/>
              <w:spacing w:before="60" w:after="60"/>
              <w:rPr/>
            </w:pPr>
            <w:r>
              <w:rPr>
                <w:sz w:val="18"/>
              </w:rPr>
              <w:t>Instruction de mise en œuvre; pas un compte rendu d’exécution.</w:t>
            </w:r>
          </w:p>
        </w:tc>
      </w:tr>
    </w:tbl>
    <w:p>
      <w:pPr>
        <w:pStyle w:val="Heading1"/>
        <w:rPr/>
      </w:pPr>
      <w:r>
        <w:rPr/>
      </w:r>
      <w:r>
        <w:br w:type="page"/>
      </w:r>
    </w:p>
    <w:p>
      <w:pPr>
        <w:pStyle w:val="Heading1"/>
        <w:rPr/>
      </w:pPr>
      <w:r>
        <w:rPr/>
        <w:t>6. Consolidation et rapprochement des versions</w:t>
      </w:r>
    </w:p>
    <w:p>
      <w:pPr>
        <w:pStyle w:val="Normal"/>
        <w:rPr/>
      </w:pPr>
      <w:r>
        <w:rPr/>
        <w:t>Le rapport V1 (version 1.0, 1er octobre 2026) consignait des observations de code et des déclarations d’essais sur carte; le rapport V2 (version 1.1, 2 octobre 2026) apporte les nouveaux artefacts d’implémentation et requalifie les preuves disponibles. Les résultats ci-dessous conservent les deux apports en distinguant les déclarations historiques des preuves actuellement consultables. La mention d’une vidéo dans V1 n’est pas considérée comme preuve matérielle vérifiable tant que le fichier n’est pas fourni ou référencé.</w:t>
      </w:r>
    </w:p>
    <w:tbl>
      <w:tblPr>
        <w:tblStyle w:val="TableGrid"/>
        <w:tblW w:w="9717" w:type="dxa"/>
        <w:jc w:val="start"/>
        <w:tblInd w:w="103" w:type="dxa"/>
        <w:tblLayout w:type="fixed"/>
        <w:tblCellMar>
          <w:top w:w="0" w:type="dxa"/>
          <w:start w:w="108" w:type="dxa"/>
          <w:bottom w:w="0" w:type="dxa"/>
          <w:end w:w="108" w:type="dxa"/>
        </w:tblCellMar>
        <w:tblLook w:firstRow="1" w:noVBand="1" w:lastRow="0" w:firstColumn="1" w:lastColumn="0" w:noHBand="0" w:val="04a0"/>
      </w:tblPr>
      <w:tblGrid>
        <w:gridCol w:w="3239"/>
        <w:gridCol w:w="3239"/>
        <w:gridCol w:w="3239"/>
      </w:tblGrid>
      <w:tr>
        <w:trPr>
          <w:tblHeader w:val="true"/>
        </w:trPr>
        <w:tc>
          <w:tcPr>
            <w:tcW w:w="3239" w:type="dxa"/>
            <w:tcBorders/>
            <w:shd w:fill="1F4E78" w:val="clear"/>
            <w:vAlign w:val="center"/>
          </w:tcPr>
          <w:p>
            <w:pPr>
              <w:pStyle w:val="Normal"/>
              <w:spacing w:before="60" w:after="60"/>
              <w:rPr/>
            </w:pPr>
            <w:r>
              <w:rPr>
                <w:b/>
                <w:color w:val="FFFFFF"/>
                <w:sz w:val="18"/>
              </w:rPr>
              <w:t>Élément</w:t>
            </w:r>
          </w:p>
        </w:tc>
        <w:tc>
          <w:tcPr>
            <w:tcW w:w="3239" w:type="dxa"/>
            <w:tcBorders/>
            <w:shd w:fill="1F4E78" w:val="clear"/>
            <w:vAlign w:val="center"/>
          </w:tcPr>
          <w:p>
            <w:pPr>
              <w:pStyle w:val="Normal"/>
              <w:spacing w:before="60" w:after="60"/>
              <w:rPr/>
            </w:pPr>
            <w:r>
              <w:rPr>
                <w:b/>
                <w:color w:val="FFFFFF"/>
                <w:sz w:val="18"/>
              </w:rPr>
              <w:t>Données V1 et V2 réunies</w:t>
            </w:r>
          </w:p>
        </w:tc>
        <w:tc>
          <w:tcPr>
            <w:tcW w:w="3239" w:type="dxa"/>
            <w:tcBorders/>
            <w:shd w:fill="1F4E78" w:val="clear"/>
            <w:vAlign w:val="center"/>
          </w:tcPr>
          <w:p>
            <w:pPr>
              <w:pStyle w:val="Normal"/>
              <w:spacing w:before="60" w:after="60"/>
              <w:rPr/>
            </w:pPr>
            <w:r>
              <w:rPr>
                <w:b/>
                <w:color w:val="FFFFFF"/>
                <w:sz w:val="18"/>
              </w:rPr>
              <w:t>Conclusion retenue</w:t>
            </w:r>
          </w:p>
        </w:tc>
      </w:tr>
      <w:tr>
        <w:trPr/>
        <w:tc>
          <w:tcPr>
            <w:tcW w:w="3239" w:type="dxa"/>
            <w:tcBorders/>
            <w:vAlign w:val="center"/>
          </w:tcPr>
          <w:p>
            <w:pPr>
              <w:pStyle w:val="Normal"/>
              <w:spacing w:before="60" w:after="60"/>
              <w:rPr/>
            </w:pPr>
            <w:r>
              <w:rPr>
                <w:sz w:val="18"/>
              </w:rPr>
              <w:t>DMA</w:t>
            </w:r>
          </w:p>
        </w:tc>
        <w:tc>
          <w:tcPr>
            <w:tcW w:w="3239" w:type="dxa"/>
            <w:tcBorders/>
            <w:vAlign w:val="center"/>
          </w:tcPr>
          <w:p>
            <w:pPr>
              <w:pStyle w:val="Normal"/>
              <w:spacing w:before="60" w:after="60"/>
              <w:rPr/>
            </w:pPr>
            <w:r>
              <w:rPr>
                <w:sz w:val="18"/>
              </w:rPr>
              <w:t>V1: C-simulation 640 × 480 RGB888, 307 200 pixels; generics_n_options.h fixe IMAGE_W_o=640, IMAGE_H_o=480, RGB_MM_PACKED_g=1 et AXI4-Stream 24 bits. Le rapport V1 précise que ce résultat du dossier DMA a été transmis par les instructeurs. Le testbench contrôle ordre RGB, TLAST, TUSER et absence de données manquantes/surnuméraires. V1 mentionne des avertissements DATAFLOW/m_axi. V2: synthèse, implémentation et bitstream test_DMA générés; WNS 31,334 ns, TNS 0.</w:t>
            </w:r>
          </w:p>
        </w:tc>
        <w:tc>
          <w:tcPr>
            <w:tcW w:w="3239" w:type="dxa"/>
            <w:tcBorders/>
            <w:vAlign w:val="center"/>
          </w:tcPr>
          <w:p>
            <w:pPr>
              <w:pStyle w:val="Normal"/>
              <w:spacing w:before="60" w:after="60"/>
              <w:rPr/>
            </w:pPr>
            <w:r>
              <w:rPr>
                <w:sz w:val="18"/>
              </w:rPr>
              <w:t>Simulation C réussie et implémentation réussie; la DDR réelle, le flux sur carte et 60 images/s restent à vérifier. Examiner les avertissements HLS rapportés en V1 et les DRC V2.</w:t>
            </w:r>
          </w:p>
        </w:tc>
      </w:tr>
      <w:tr>
        <w:trPr/>
        <w:tc>
          <w:tcPr>
            <w:tcW w:w="3239" w:type="dxa"/>
            <w:tcBorders/>
            <w:shd w:fill="F2F6FA" w:val="clear"/>
            <w:vAlign w:val="center"/>
          </w:tcPr>
          <w:p>
            <w:pPr>
              <w:pStyle w:val="Normal"/>
              <w:spacing w:before="60" w:after="60"/>
              <w:rPr/>
            </w:pPr>
            <w:r>
              <w:rPr>
                <w:sz w:val="18"/>
              </w:rPr>
              <w:t>TPG</w:t>
            </w:r>
          </w:p>
        </w:tc>
        <w:tc>
          <w:tcPr>
            <w:tcW w:w="3239" w:type="dxa"/>
            <w:tcBorders/>
            <w:shd w:fill="F2F6FA" w:val="clear"/>
            <w:vAlign w:val="center"/>
          </w:tcPr>
          <w:p>
            <w:pPr>
              <w:pStyle w:val="Normal"/>
              <w:spacing w:before="60" w:after="60"/>
              <w:rPr/>
            </w:pPr>
            <w:r>
              <w:rPr>
                <w:sz w:val="18"/>
              </w:rPr>
              <w:t>V1: TGP_v1_0.vhd décrit un rectangle mobile; Axi4s_driver.vhd/Axi4s_monitor.vhd sont des utilitaires et ne prouvent pas une exécution. V1 déclare qu’une vidéo de test sur carte existe. V2: TPG_0/M00_AXIS est raccordé à S00_AXIS de axis_interconnect_0.</w:t>
            </w:r>
          </w:p>
        </w:tc>
        <w:tc>
          <w:tcPr>
            <w:tcW w:w="3239" w:type="dxa"/>
            <w:tcBorders/>
            <w:shd w:fill="F2F6FA" w:val="clear"/>
            <w:vAlign w:val="center"/>
          </w:tcPr>
          <w:p>
            <w:pPr>
              <w:pStyle w:val="Normal"/>
              <w:spacing w:before="60" w:after="60"/>
              <w:rPr/>
            </w:pPr>
            <w:r>
              <w:rPr>
                <w:sz w:val="18"/>
              </w:rPr>
              <w:t>Présence dans le code et raccordement architectural établis. Mouvement et affichage non vérifiés; vidéo mentionnée en V1 non jointe.</w:t>
            </w:r>
          </w:p>
        </w:tc>
      </w:tr>
      <w:tr>
        <w:trPr/>
        <w:tc>
          <w:tcPr>
            <w:tcW w:w="3239" w:type="dxa"/>
            <w:tcBorders/>
            <w:vAlign w:val="center"/>
          </w:tcPr>
          <w:p>
            <w:pPr>
              <w:pStyle w:val="Normal"/>
              <w:spacing w:before="60" w:after="60"/>
              <w:rPr/>
            </w:pPr>
            <w:r>
              <w:rPr>
                <w:sz w:val="18"/>
              </w:rPr>
              <w:t>PMOD VGA</w:t>
            </w:r>
          </w:p>
        </w:tc>
        <w:tc>
          <w:tcPr>
            <w:tcW w:w="3239" w:type="dxa"/>
            <w:tcBorders/>
            <w:vAlign w:val="center"/>
          </w:tcPr>
          <w:p>
            <w:pPr>
              <w:pStyle w:val="Normal"/>
              <w:spacing w:before="60" w:after="60"/>
              <w:rPr/>
            </w:pPr>
            <w:r>
              <w:rPr>
                <w:sz w:val="18"/>
              </w:rPr>
              <w:t>V1: PMODVGA_V1_0.vhd indiquait FRAME_WIDTH=640 et FRAME_HEIGHT=480; Cora-Z7-10-Master.xdc reliait les signaux aux PMOD; le rapport mentionnait top.bit et une preuve vidéo. V2: projet séparé test_DMA en 640 × 480 avec PMOD VGA à 25 MHz, contraintes de timing satisfaites et design_1_wrapper.bit généré.</w:t>
            </w:r>
          </w:p>
        </w:tc>
        <w:tc>
          <w:tcPr>
            <w:tcW w:w="3239" w:type="dxa"/>
            <w:tcBorders/>
            <w:vAlign w:val="center"/>
          </w:tcPr>
          <w:p>
            <w:pPr>
              <w:pStyle w:val="Normal"/>
              <w:spacing w:before="60" w:after="60"/>
              <w:rPr/>
            </w:pPr>
            <w:r>
              <w:rPr>
                <w:sz w:val="18"/>
              </w:rPr>
              <w:t>Le projet V2 est implémentable et configuré pour le mode visé. Ne pas confondre bitstream et affichage sur écran; la preuve vidéo V1 doit être jointe pour pouvoir valider le résultat physique.</w:t>
            </w:r>
          </w:p>
        </w:tc>
      </w:tr>
      <w:tr>
        <w:trPr/>
        <w:tc>
          <w:tcPr>
            <w:tcW w:w="3239" w:type="dxa"/>
            <w:tcBorders/>
            <w:shd w:fill="F2F6FA" w:val="clear"/>
            <w:vAlign w:val="center"/>
          </w:tcPr>
          <w:p>
            <w:pPr>
              <w:pStyle w:val="Normal"/>
              <w:spacing w:before="60" w:after="60"/>
              <w:rPr/>
            </w:pPr>
            <w:r>
              <w:rPr>
                <w:sz w:val="18"/>
              </w:rPr>
              <w:t>Sélection de source</w:t>
            </w:r>
          </w:p>
        </w:tc>
        <w:tc>
          <w:tcPr>
            <w:tcW w:w="3239" w:type="dxa"/>
            <w:tcBorders/>
            <w:shd w:fill="F2F6FA" w:val="clear"/>
            <w:vAlign w:val="center"/>
          </w:tcPr>
          <w:p>
            <w:pPr>
              <w:pStyle w:val="Normal"/>
              <w:spacing w:before="60" w:after="60"/>
              <w:rPr/>
            </w:pPr>
            <w:r>
              <w:rPr>
                <w:sz w:val="18"/>
              </w:rPr>
              <w:t>V1: aucune sélection initiale ou commutation à chaud démontrée. V2: TPG sur S00_AXIS, DMA sur S01_AXIS, M00_AXIS vers PMOD VGA, PS raccordé à S_AXI_CTRL; intégration principale non construite selon les journaux disponibles.</w:t>
            </w:r>
          </w:p>
        </w:tc>
        <w:tc>
          <w:tcPr>
            <w:tcW w:w="3239" w:type="dxa"/>
            <w:tcBorders/>
            <w:shd w:fill="F2F6FA" w:val="clear"/>
            <w:vAlign w:val="center"/>
          </w:tcPr>
          <w:p>
            <w:pPr>
              <w:pStyle w:val="Normal"/>
              <w:spacing w:before="60" w:after="60"/>
              <w:rPr/>
            </w:pPr>
            <w:r>
              <w:rPr>
                <w:sz w:val="18"/>
              </w:rPr>
              <w:t>Évolution de l’architecture documentée; fonction de sélection toujours non vérifiée. Confirmer le registre et exécuter VP-SRC-01 (P1) et VP-SRC-02 (P2).</w:t>
            </w:r>
          </w:p>
        </w:tc>
      </w:tr>
      <w:tr>
        <w:trPr/>
        <w:tc>
          <w:tcPr>
            <w:tcW w:w="3239" w:type="dxa"/>
            <w:tcBorders/>
            <w:vAlign w:val="center"/>
          </w:tcPr>
          <w:p>
            <w:pPr>
              <w:pStyle w:val="Normal"/>
              <w:spacing w:before="60" w:after="60"/>
              <w:rPr/>
            </w:pPr>
            <w:r>
              <w:rPr>
                <w:sz w:val="18"/>
              </w:rPr>
              <w:t>Base de validation et avertissements</w:t>
            </w:r>
          </w:p>
        </w:tc>
        <w:tc>
          <w:tcPr>
            <w:tcW w:w="3239" w:type="dxa"/>
            <w:tcBorders/>
            <w:vAlign w:val="center"/>
          </w:tcPr>
          <w:p>
            <w:pPr>
              <w:pStyle w:val="Normal"/>
              <w:spacing w:before="60" w:after="60"/>
              <w:rPr/>
            </w:pPr>
            <w:r>
              <w:rPr>
                <w:sz w:val="18"/>
              </w:rPr>
              <w:t>V1: Vitis HLS 2020.2, image de référence 640 × 480 RGB888 et avertissements DATAFLOW/m_axi cités. V2: Vivado 2020.2 pour test_DMA; rapports DRC avec 20 REQP-1839 et une RTSTAT-10.</w:t>
            </w:r>
          </w:p>
        </w:tc>
        <w:tc>
          <w:tcPr>
            <w:tcW w:w="3239" w:type="dxa"/>
            <w:tcBorders/>
            <w:vAlign w:val="center"/>
          </w:tcPr>
          <w:p>
            <w:pPr>
              <w:pStyle w:val="Normal"/>
              <w:spacing w:before="60" w:after="60"/>
              <w:rPr/>
            </w:pPr>
            <w:r>
              <w:rPr>
                <w:sz w:val="18"/>
              </w:rPr>
              <w:t>Conserver les versions d’outils et qualifier séparément les avertissements HLS hérités et les avertissements DRC du bitstream V2.</w:t>
            </w:r>
          </w:p>
        </w:tc>
      </w:tr>
    </w:tbl>
    <w:sectPr>
      <w:footerReference w:type="even" r:id="rId5"/>
      <w:footerReference w:type="default" r:id="rId6"/>
      <w:footerReference w:type="first" r:id="rId7"/>
      <w:type w:val="nextPage"/>
      <w:pgSz w:w="11906" w:h="16838"/>
      <w:pgMar w:left="1094" w:right="1094" w:gutter="0" w:header="0" w:top="1037" w:footer="490" w:bottom="97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right" w:pos="9677" w:leader="none"/>
      </w:tabs>
      <w:spacing w:before="0" w:after="0"/>
      <w:jc w:val="start"/>
      <w:rPr/>
    </w:pPr>
    <w:r>
      <w:rPr>
        <w:rFonts w:eastAsia="Arial"/>
        <w:b w:val="false"/>
        <w:color w:val="666666"/>
        <w:sz w:val="16"/>
      </w:rPr>
      <w:t>SoC Tracking  |  Rapport de validation</w:t>
      <w:tab/>
      <w:t xml:space="preserve">Page </w:t>
    </w:r>
    <w:r>
      <w:rPr/>
      <w:fldChar w:fldCharType="begin"/>
    </w:r>
    <w:r>
      <w:rPr/>
      <w:instrText xml:space="preserve"> PAGE </w:instrText>
    </w:r>
    <w:r>
      <w:rPr/>
      <w:fldChar w:fldCharType="separate"/>
    </w:r>
    <w:r>
      <w:rPr/>
      <w:t>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right" w:pos="9677" w:leader="none"/>
      </w:tabs>
      <w:spacing w:before="0" w:after="0"/>
      <w:jc w:val="start"/>
      <w:rPr/>
    </w:pPr>
    <w:r>
      <w:rPr>
        <w:rFonts w:eastAsia="Arial"/>
        <w:b w:val="false"/>
        <w:color w:val="666666"/>
        <w:sz w:val="16"/>
      </w:rPr>
      <w:t>SoC Tracking  |  Rapport de validation</w:t>
      <w:tab/>
      <w:t xml:space="preserve">Page </w:t>
    </w:r>
    <w:r>
      <w:rPr/>
      <w:fldChar w:fldCharType="begin"/>
    </w:r>
    <w:r>
      <w:rPr/>
      <w:instrText xml:space="preserve"> PAGE </w:instrText>
    </w:r>
    <w:r>
      <w:rPr/>
      <w:fldChar w:fldCharType="separate"/>
    </w:r>
    <w:r>
      <w:rPr/>
      <w:t>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00"/>
      <w:jc w:val="start"/>
    </w:pPr>
    <w:rPr>
      <w:rFonts w:ascii="Arial" w:hAnsi="Arial" w:eastAsia="ＭＳ 明朝" w:cs=""/>
      <w:color w:val="000000"/>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00"/>
      <w:outlineLvl w:val="0"/>
    </w:pPr>
    <w:rPr>
      <w:rFonts w:ascii="Calibri" w:hAnsi="Calibri" w:eastAsia=""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spacing w:before="180" w:after="60"/>
      <w:outlineLvl w:val="1"/>
    </w:pPr>
    <w:rPr>
      <w:rFonts w:ascii="Calibri" w:hAnsi="Calibri" w:eastAsia="" w:cs="" w:asciiTheme="majorHAnsi" w:cstheme="majorBidi" w:eastAsiaTheme="majorEastAsia" w:hAnsiTheme="majorHAnsi"/>
      <w:b/>
      <w:bCs/>
      <w:color w:val="000000"/>
      <w:sz w:val="23"/>
      <w:szCs w:val="26"/>
    </w:rPr>
  </w:style>
  <w:style w:type="paragraph" w:styleId="Heading3">
    <w:name w:val="heading 3"/>
    <w:basedOn w:val="Normal"/>
    <w:next w:val="Normal"/>
    <w:link w:val="Heading3Char"/>
    <w:uiPriority w:val="9"/>
    <w:unhideWhenUsed/>
    <w:qFormat/>
    <w:rsid w:val="00fc693f"/>
    <w:pPr>
      <w:keepNext w:val="true"/>
      <w:keepLines/>
      <w:spacing w:before="120" w:after="40"/>
      <w:outlineLvl w:val="2"/>
    </w:pPr>
    <w:rPr>
      <w:rFonts w:ascii="Calibri" w:hAnsi="Calibri" w:eastAsia="" w:cs="" w:asciiTheme="majorHAnsi" w:cstheme="majorBidi" w:eastAsiaTheme="majorEastAsia" w:hAnsiTheme="majorHAnsi"/>
      <w:b/>
      <w:bCs/>
      <w:color w:val="000000"/>
      <w:sz w:val="2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80"/>
      <w:contextualSpacing/>
    </w:pPr>
    <w:rPr>
      <w:rFonts w:ascii="Calibri" w:hAnsi="Calibri" w:eastAsia="" w:cs="" w:asciiTheme="majorHAnsi" w:cstheme="majorBidi" w:eastAsiaTheme="majorEastAsia" w:hAnsiTheme="majorHAnsi"/>
      <w:b/>
      <w:color w:val="000000"/>
      <w:spacing w:val="5"/>
      <w:kern w:val="2"/>
      <w:sz w:val="50"/>
      <w:szCs w:val="52"/>
      <w:u w:val="none"/>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reuser"/>
    <w:pPr/>
    <w:rPr/>
  </w:style>
  <w:style w:type="paragraph" w:styleId="TOCHeading">
    <w:name w:val="TOC Heading"/>
    <w:basedOn w:val="Heading1"/>
    <w:next w:val="Normal"/>
    <w:uiPriority w:val="39"/>
    <w:semiHidden/>
    <w:unhideWhenUsed/>
    <w:qFormat/>
    <w:rsid w:val="00fc693f"/>
    <w:pPr>
      <w:outlineLvl w:val="9"/>
    </w:pPr>
    <w:rPr/>
  </w:style>
  <w:style w:type="numbering" w:styleId="Pasdelisteuser" w:default="1">
    <w:name w:val="Pas de liste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LibreOffice/26.2.1.2$Windows_X86_64 LibreOffice_project/620$Build-2</Application>
  <AppVersion>15.0000</AppVersion>
  <Pages>5</Pages>
  <Words>1893</Words>
  <Characters>10795</Characters>
  <CharactersWithSpaces>12588</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keywords>SoC Tracking validation FPGA vidéo</cp:keywords>
  <dc:language>fr-FR</dc:language>
  <cp:lastModifiedBy/>
  <dcterms:modified xsi:type="dcterms:W3CDTF">2026-10-02T16:43:29Z</dcterms:modified>
  <cp:revision>12</cp:revision>
  <dc:subject>État des validations et des preuves disponibles pour DMA MM2S, TPG, PMOD VGA et sélection de source.</dc:subject>
  <dc:title>Rapport de validation SoC Tracking</dc:title>
</cp:coreProperties>
</file>

<file path=docProps/custom.xml><?xml version="1.0" encoding="utf-8"?>
<Properties xmlns="http://schemas.openxmlformats.org/officeDocument/2006/custom-properties" xmlns:vt="http://schemas.openxmlformats.org/officeDocument/2006/docPropsVTypes"/>
</file>