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88" w:lineRule="auto"/>
        <w:jc w:val="center"/>
      </w:pPr>
      <w:r>
        <w:rPr>
          <w:b/>
          <w:sz w:val="34"/>
          <w:rFonts w:ascii="Times New Roman" w:hAnsi="Times New Roman" w:eastAsia="黑体"/>
        </w:rPr>
        <w:t>受电弓碳滑板监测平台 · 一线检修速查卡</w:t>
      </w:r>
    </w:p>
    <w:p>
      <w:pPr>
        <w:spacing w:before="0" w:after="120" w:line="288" w:lineRule="auto"/>
        <w:jc w:val="center"/>
      </w:pPr>
      <w:r>
        <w:rPr>
          <w:b w:val="0"/>
          <w:sz w:val="20"/>
          <w:rFonts w:ascii="Times New Roman" w:hAnsi="Times New Roman" w:eastAsia="宋体"/>
        </w:rPr>
        <w:t>适用对象：现场检修班组 / 值班人员　　版本 v1.0　　建议粘贴于工位或随设备携带</w:t>
      </w:r>
    </w:p>
    <w:p>
      <w:pPr>
        <w:spacing w:before="120" w:after="60" w:line="288" w:lineRule="auto"/>
      </w:pPr>
      <w:r>
        <w:rPr>
          <w:b/>
          <w:sz w:val="24"/>
          <w:rFonts w:ascii="Times New Roman" w:hAnsi="Times New Roman" w:eastAsia="黑体"/>
        </w:rPr>
        <w:t>一、告警处置五步（发现告警后照此执行）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16000" cy="1129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alar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12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8" w:lineRule="auto"/>
        <w:jc w:val="center"/>
      </w:pPr>
      <w:r>
        <w:rPr>
          <w:b w:val="0"/>
          <w:sz w:val="19"/>
          <w:rFonts w:ascii="Times New Roman" w:hAnsi="Times New Roman" w:eastAsia="宋体"/>
        </w:rPr>
        <w:t>图1  告警处置流程</w:t>
      </w:r>
    </w:p>
    <w:p>
      <w:pPr>
        <w:spacing w:before="120" w:after="60" w:line="288" w:lineRule="auto"/>
      </w:pPr>
      <w:r>
        <w:rPr>
          <w:b/>
          <w:sz w:val="24"/>
          <w:rFonts w:ascii="Times New Roman" w:hAnsi="Times New Roman" w:eastAsia="黑体"/>
        </w:rPr>
        <w:t>二、告警分级与现场动作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361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级别</w:t>
            </w:r>
          </w:p>
        </w:tc>
        <w:tc>
          <w:tcPr>
            <w:tcW w:type="dxa" w:w="3402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典型判据（默认值，以现场标定为准）</w:t>
            </w:r>
          </w:p>
        </w:tc>
        <w:tc>
          <w:tcPr>
            <w:tcW w:type="dxa" w:w="4082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现场动作</w:t>
            </w:r>
          </w:p>
        </w:tc>
        <w:tc>
          <w:tcPr>
            <w:tcW w:type="dxa" w:w="1134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时限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预警 warning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温度 &gt;80 ℃ 或 &lt;−10 ℃；湿度 &gt;85 %RH；压力 &gt;1000 或 &lt;100 kPa；或温度变化率 ≥2 ℃/min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① 在平台点“确认”；② 加密监测频次；③ 纳入下次天窗复检计划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24 h 内安排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报警 major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温度 &gt;90 ℃；压力 &gt;1100 kPa；温度变化率 ≥5 ℃/min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① 确认并通知班组；② 安排计划检修：查气路、接触压力、滑板磨耗；③ 系统已自动建单则接单处理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当班处理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严重 critical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温度 &gt;100 ℃；压力 &gt;1200 kPa；出现裂纹/缺口/断板迹象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① 立即确认并上报值班长；② 按检修规程降弓/必要时停运检查；③ 处置后填工单并复核解除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立即</w:t>
            </w:r>
          </w:p>
        </w:tc>
      </w:tr>
    </w:tbl>
    <w:p>
      <w:pPr>
        <w:spacing w:before="120" w:after="60" w:line="288" w:lineRule="auto"/>
      </w:pPr>
      <w:r>
        <w:rPr>
          <w:b/>
          <w:sz w:val="24"/>
          <w:rFonts w:ascii="Times New Roman" w:hAnsi="Times New Roman" w:eastAsia="黑体"/>
        </w:rPr>
        <w:t>三、现场自检五步（数据异常/告警不解除时）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25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self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2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8" w:lineRule="auto"/>
        <w:jc w:val="center"/>
      </w:pPr>
      <w:r>
        <w:rPr>
          <w:b w:val="0"/>
          <w:sz w:val="19"/>
          <w:rFonts w:ascii="Times New Roman" w:hAnsi="Times New Roman" w:eastAsia="宋体"/>
        </w:rPr>
        <w:t>图2  现场自检流程</w:t>
      </w:r>
    </w:p>
    <w:p>
      <w:pPr>
        <w:spacing w:before="120" w:after="60" w:line="288" w:lineRule="auto"/>
      </w:pPr>
      <w:r>
        <w:rPr>
          <w:b/>
          <w:sz w:val="24"/>
          <w:rFonts w:ascii="Times New Roman" w:hAnsi="Times New Roman" w:eastAsia="黑体"/>
        </w:rPr>
        <w:t>四、常见故障速查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587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现象</w:t>
            </w:r>
          </w:p>
        </w:tc>
        <w:tc>
          <w:tcPr>
            <w:tcW w:type="dxa" w:w="2494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先看什么</w:t>
            </w:r>
          </w:p>
        </w:tc>
        <w:tc>
          <w:tcPr>
            <w:tcW w:type="dxa" w:w="5896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处置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页面无数据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PLC 是否在线；运行模式是否 real；端口/站号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ping PLC；核对 .env 的 PLC_HOST/PORT/UNIT_ID；必要时切模拟模式验证平台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数据不刷新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采集周期设置；链路质量码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调小采集周期（1000～2000 ms）；检查网线/隧道；等待质量码恢复 GOOD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数值明显不对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接线与量程换算；寄存器段地址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核对 4～20 mA 基流与量程换算；确认使用正确的 D 区段（Easy 型用 D2001 段）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告警频繁误报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采集值是否抖动（尖峰）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启用滤波与连续确认；核对阈值是否需按本线路标定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告警不产生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阈值；确认点数；抑制窗口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核对阈值；等待连续确认满足；确认是否在抑制窗口内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控制无动作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自动调节是否投入；写寄存器是否成功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投入自动（注意无扰切换）；查看写回读校验结果；核对 30021/30022 映射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整定失败（T≤L）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该通道纯滞后是否过大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姿态环属正常现象：改用 IMC 整定（v2 已自动切换），或保留保守参数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整定后振荡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参数是否过于激进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使用 v2 安全预设（折减增益＋设定值斜坡），不要直接用 Z-N 结果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通讯时断时续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丢包率与质量码</w:t>
            </w:r>
          </w:p>
        </w:tc>
        <w:tc>
          <w:tcPr>
            <w:tcW w:type="dxa" w:w="5896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检查交换机/网线/隧道；确认退避重连已生效；必要时联系网络管理员</w:t>
            </w:r>
          </w:p>
        </w:tc>
      </w:tr>
    </w:tbl>
    <w:p>
      <w:pPr>
        <w:spacing w:before="120" w:after="60" w:line="288" w:lineRule="auto"/>
      </w:pPr>
      <w:r>
        <w:rPr>
          <w:b/>
          <w:sz w:val="24"/>
          <w:rFonts w:ascii="Times New Roman" w:hAnsi="Times New Roman" w:eastAsia="黑体"/>
        </w:rPr>
        <w:t>五、安全红线（四条，务必遵守）</w:t>
      </w:r>
    </w:p>
    <w:p>
      <w:pPr>
        <w:spacing w:before="0" w:after="20" w:line="288" w:lineRule="auto"/>
      </w:pPr>
      <w:r>
        <w:rPr>
          <w:b w:val="0"/>
          <w:sz w:val="20"/>
          <w:rFonts w:ascii="Times New Roman" w:hAnsi="Times New Roman" w:eastAsia="宋体"/>
        </w:rPr>
        <w:t>1. 严禁把 PLC 的 502 端口、摄像机 554 端口直接映射到公网，必须走隧道/VPN。</w:t>
      </w:r>
    </w:p>
    <w:p>
      <w:pPr>
        <w:spacing w:before="0" w:after="20" w:line="288" w:lineRule="auto"/>
      </w:pPr>
      <w:r>
        <w:rPr>
          <w:b w:val="0"/>
          <w:sz w:val="20"/>
          <w:rFonts w:ascii="Times New Roman" w:hAnsi="Times New Roman" w:eastAsia="宋体"/>
        </w:rPr>
        <w:t>2. 严禁开放任意寄存器写入权限，平台只写 30021（气囊压力设定）与 30022（弓头高度设定）。</w:t>
      </w:r>
    </w:p>
    <w:p>
      <w:pPr>
        <w:spacing w:before="0" w:after="20" w:line="288" w:lineRule="auto"/>
      </w:pPr>
      <w:r>
        <w:rPr>
          <w:b w:val="0"/>
          <w:sz w:val="20"/>
          <w:rFonts w:ascii="Times New Roman" w:hAnsi="Times New Roman" w:eastAsia="宋体"/>
        </w:rPr>
        <w:t>3. 登顶作业必须按规程执行停电、验电、接地与监护；能远程处置的不登顶。</w:t>
      </w:r>
    </w:p>
    <w:p>
      <w:pPr>
        <w:spacing w:before="0" w:after="20" w:line="288" w:lineRule="auto"/>
      </w:pPr>
      <w:r>
        <w:rPr>
          <w:b w:val="0"/>
          <w:sz w:val="20"/>
          <w:rFonts w:ascii="Times New Roman" w:hAnsi="Times New Roman" w:eastAsia="宋体"/>
        </w:rPr>
        <w:t>4. 参数修改、整定、工单流转均留痕，请如实填写处理人与处理内容。</w:t>
      </w:r>
    </w:p>
    <w:p>
      <w:pPr>
        <w:spacing w:before="120" w:after="60" w:line="288" w:lineRule="auto"/>
      </w:pPr>
      <w:r>
        <w:rPr>
          <w:b/>
          <w:sz w:val="24"/>
          <w:rFonts w:ascii="Times New Roman" w:hAnsi="Times New Roman" w:eastAsia="黑体"/>
        </w:rPr>
        <w:t>六、必填记录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项目</w:t>
            </w:r>
          </w:p>
        </w:tc>
        <w:tc>
          <w:tcPr>
            <w:tcW w:type="dxa" w:w="3061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内容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项目</w:t>
            </w:r>
          </w:p>
        </w:tc>
        <w:tc>
          <w:tcPr>
            <w:tcW w:type="dxa" w:w="3061"/>
          </w:tcPr>
          <w:p>
            <w:pPr>
              <w:spacing w:line="264" w:lineRule="auto"/>
              <w:jc w:val="center"/>
            </w:pPr>
            <w:r/>
            <w:r>
              <w:rPr>
                <w:b/>
                <w:sz w:val="18"/>
                <w:rFonts w:ascii="Times New Roman" w:hAnsi="Times New Roman" w:eastAsia="黑体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发现时间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车号/线路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告警级别与数值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处置动作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是否生成工单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□ 是（工单号：　　　）　□ 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  <w:t>处理人/复核人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b w:val="0"/>
                <w:sz w:val="18"/>
                <w:rFonts w:ascii="Times New Roman" w:hAnsi="Times New Roman" w:eastAsia="宋体"/>
              </w:rPr>
            </w:r>
          </w:p>
        </w:tc>
      </w:tr>
    </w:tbl>
    <w:p>
      <w:pPr>
        <w:spacing w:before="60" w:after="60" w:line="288" w:lineRule="auto"/>
      </w:pPr>
      <w:r>
        <w:rPr>
          <w:b w:val="0"/>
          <w:sz w:val="19"/>
          <w:rFonts w:ascii="Times New Roman" w:hAnsi="Times New Roman" w:eastAsia="宋体"/>
        </w:rPr>
        <w:t>备注/异常现象描述：____________________________________________　平台管理员/厂家电话：________________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