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 w:line="300" w:lineRule="auto"/>
        <w:jc w:val="center"/>
      </w:pPr>
      <w:r>
        <w:rPr>
          <w:rFonts w:ascii="Times New Roman" w:hAnsi="Times New Roman" w:eastAsia="黑体"/>
          <w:b/>
          <w:sz w:val="34"/>
        </w:rPr>
        <w:t>受电弓碳滑板实时监测与运维平台 · 技术与模型公式总结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适用工程：</w:t>
      </w:r>
      <w:r>
        <w:rPr>
          <w:rFonts w:ascii="Consolas" w:hAnsi="Consolas" w:eastAsia="宋体"/>
          <w:b w:val="0"/>
          <w:sz w:val="19"/>
        </w:rPr>
        <w:t>D:\realtime-platform\realtime-platform-main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版本：v1.0　编写日期：2026-09-12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说明：本文汇总平台所用的</w:t>
      </w:r>
      <w:r>
        <w:rPr>
          <w:rFonts w:ascii="Times New Roman" w:hAnsi="Times New Roman" w:eastAsia="宋体"/>
          <w:b/>
          <w:sz w:val="20"/>
        </w:rPr>
        <w:t>技术栈</w:t>
      </w:r>
      <w:r>
        <w:rPr>
          <w:rFonts w:ascii="Times New Roman" w:hAnsi="Times New Roman" w:eastAsia="宋体"/>
          <w:b w:val="0"/>
          <w:sz w:val="20"/>
        </w:rPr>
        <w:t>与</w:t>
      </w:r>
      <w:r>
        <w:rPr>
          <w:rFonts w:ascii="Times New Roman" w:hAnsi="Times New Roman" w:eastAsia="宋体"/>
          <w:b/>
          <w:sz w:val="20"/>
        </w:rPr>
        <w:t>模型/公式</w:t>
      </w:r>
      <w:r>
        <w:rPr>
          <w:rFonts w:ascii="Times New Roman" w:hAnsi="Times New Roman" w:eastAsia="宋体"/>
          <w:b w:val="0"/>
          <w:sz w:val="20"/>
        </w:rPr>
        <w:t>，每项公式均给出符号含义、来源与代码位置，便于评审、交接与二次开发。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配套文档：《平台使用操作手册.md》《一线检修速查卡.docx》《开发者二次开发指南.md》《UPGRADE.md》《PLC接入操作手册.md》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1 技术总览</w:t>
      </w:r>
    </w:p>
    <w:p>
      <w:pPr>
        <w:spacing w:before="12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656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_tech_st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5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图1  平台技术栈分层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层次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主要技术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作用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① 端侧设备层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4～20 mA 变送器、GL10-4AD 模拟量模块、汇川 H5U PLC、工业相机/高清摄像头（可选）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原始采集、PLC 侧均值与阈值判定、报文组包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② 通信协议层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Modbus TCP（FC03/FC16）、Socket.IO、RTSP / HTTP-FLV / GB28181（可选）、frp / WireGuard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设备—平台、平台—浏览器的数据通路与现场网络打通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③ 服务端层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Node.js、Express、Socket.IO、modbus-serial、multer、pdfkit、双环 PID 控制引擎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报文解析、异常判定、控制运算、告警入库与推送、报告导出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④ 数据层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Prisma ORM、MySQL、</w:t>
            </w:r>
            <w:r>
              <w:rPr>
                <w:rFonts w:ascii="Consolas" w:hAnsi="Consolas" w:eastAsia="宋体"/>
                <w:b w:val="0"/>
                <w:sz w:val="18"/>
              </w:rPr>
              <w:t>uploads/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目录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告警历史、超限快照、用户与角色、照片与附件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⑤ 前端展示层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Vue 3、Vite、Element Plus、ECharts、DataV、Pinia、vue-router、axios、socket.io-client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多级监测视图、实时曲线与大屏、告警处理、控制面板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⑥ 运维闭环层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告警分级与确认/解除、工单状态机与审计、健康指数、KPI、标准判定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状态修闭环与量化考核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2 端侧与通信技术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2.1 传感与采集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技术点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实现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关键参数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传感器接入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三路 4～20 mA 变送器接入 GL10-4AD 的 CH0～CH2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 −10～80 ℃；压力 0～1000 kPa；湿度 0～100 %RH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采样与均值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每 100 ms 采样，10 点滑窗均值（约 1 s 更新一次均值寄存器）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采样周期 </w:t>
            </w:r>
            <w:r>
              <w:rPr>
                <w:rFonts w:ascii="Consolas" w:hAnsi="Consolas" w:eastAsia="宋体"/>
                <w:b w:val="0"/>
                <w:sz w:val="18"/>
              </w:rPr>
              <w:t>PLC_SIM_INTERVAL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PLC 程序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阈值判定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侧完成（平台只解析、显示、告警与控制）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 80/−10 ℃；压力 1000/100 kPa；湿度 85 %RH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报文组包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主包（周期）+ 异常子包（按需）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主包序号 65535→1 回绕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2.2 通信协议与寄存器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地址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含义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缩放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方向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30001～30003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温度、压力、湿度 10 次均值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×10（温度有符号）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读 FC03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30004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状态字：bit0～2 异常；bit6 扩展协议；bit7 异常子包有效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读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30005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主包序号（回绕；0 表示旧固件）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读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30011～30015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子包序号、异常位图、异常值（温度/压力/湿度）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×10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读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30021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接触力环输出＝气囊压力设定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×10 kPa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 FC16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30022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姿态环输出＝弓头高度设定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mm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 FC16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要点：</w:t>
      </w:r>
      <w:r>
        <w:rPr>
          <w:rFonts w:ascii="Times New Roman" w:hAnsi="Times New Roman" w:eastAsia="宋体"/>
          <w:b/>
          <w:sz w:val="21"/>
        </w:rPr>
        <w:t>协议原地址，不做 40001 偏移</w:t>
      </w:r>
      <w:r>
        <w:rPr>
          <w:rFonts w:ascii="Times New Roman" w:hAnsi="Times New Roman" w:eastAsia="宋体"/>
          <w:b w:val="0"/>
          <w:sz w:val="21"/>
        </w:rPr>
        <w:t xml:space="preserve">；H5U Easy 型 D 区仅 </w:t>
      </w:r>
      <w:r>
        <w:rPr>
          <w:rFonts w:ascii="Consolas" w:hAnsi="Consolas" w:eastAsia="宋体"/>
          <w:b w:val="0"/>
          <w:sz w:val="20"/>
        </w:rPr>
        <w:t>D0～D8191</w:t>
      </w:r>
      <w:r>
        <w:rPr>
          <w:rFonts w:ascii="Times New Roman" w:hAnsi="Times New Roman" w:eastAsia="宋体"/>
          <w:b w:val="0"/>
          <w:sz w:val="21"/>
        </w:rPr>
        <w:t xml:space="preserve">，工程程序改用 </w:t>
      </w:r>
      <w:r>
        <w:rPr>
          <w:rFonts w:ascii="Consolas" w:hAnsi="Consolas" w:eastAsia="宋体"/>
          <w:b w:val="0"/>
          <w:sz w:val="20"/>
        </w:rPr>
        <w:t>D2001～D2022</w:t>
      </w:r>
      <w:r>
        <w:rPr>
          <w:rFonts w:ascii="Times New Roman" w:hAnsi="Times New Roman" w:eastAsia="宋体"/>
          <w:b w:val="0"/>
          <w:sz w:val="21"/>
        </w:rPr>
        <w:t xml:space="preserve"> 段；压力采用 ×10 而非 ×100，避免高压时超出 uint16 上限（1000 kPa×100 = 100 000 &gt; 65 535）。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3 服务端与数据技术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3.1 服务端组件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组件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Express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REST 接口与静态资源托管（</w:t>
            </w:r>
            <w:r>
              <w:rPr>
                <w:rFonts w:ascii="Consolas" w:hAnsi="Consolas" w:eastAsia="宋体"/>
                <w:b w:val="0"/>
                <w:sz w:val="18"/>
              </w:rPr>
              <w:t>dist/</w:t>
            </w:r>
            <w:r>
              <w:rPr>
                <w:rFonts w:ascii="Times New Roman" w:hAnsi="Times New Roman" w:eastAsia="宋体"/>
                <w:b w:val="0"/>
                <w:sz w:val="19"/>
              </w:rPr>
              <w:t>），单端口 3000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Socket.IO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服务端→浏览器实时推送（传感器数据、告警、统计）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modbus-serial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Modbus TCP 主站，读写 PLC 寄存器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multer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现场照片上传（字段名 </w:t>
            </w:r>
            <w:r>
              <w:rPr>
                <w:rFonts w:ascii="Consolas" w:hAnsi="Consolas" w:eastAsia="宋体"/>
                <w:b w:val="0"/>
                <w:sz w:val="18"/>
              </w:rPr>
              <w:t>file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），存 </w:t>
            </w:r>
            <w:r>
              <w:rPr>
                <w:rFonts w:ascii="Consolas" w:hAnsi="Consolas" w:eastAsia="宋体"/>
                <w:b w:val="0"/>
                <w:sz w:val="18"/>
              </w:rPr>
              <w:t>uploads/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pdfkit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按告警记录导出 PDF 报告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Prisma Client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数据访问层（MySQL）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3.2 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表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关键字段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warning_history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code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滑板编号、</w:t>
            </w:r>
            <w:r>
              <w:rPr>
                <w:rFonts w:ascii="Consolas" w:hAnsi="Consolas" w:eastAsia="宋体"/>
                <w:b w:val="0"/>
                <w:sz w:val="18"/>
              </w:rPr>
              <w:t>content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告警内容、</w:t>
            </w:r>
            <w:r>
              <w:rPr>
                <w:rFonts w:ascii="Consolas" w:hAnsi="Consolas" w:eastAsia="宋体"/>
                <w:b w:val="0"/>
                <w:sz w:val="18"/>
              </w:rPr>
              <w:t>time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worker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处理人、</w:t>
            </w:r>
            <w:r>
              <w:rPr>
                <w:rFonts w:ascii="Consolas" w:hAnsi="Consolas" w:eastAsia="宋体"/>
                <w:b w:val="0"/>
                <w:sz w:val="18"/>
              </w:rPr>
              <w:t>remark</w:t>
            </w:r>
            <w:r>
              <w:rPr>
                <w:rFonts w:ascii="Times New Roman" w:hAnsi="Times New Roman" w:eastAsia="宋体"/>
                <w:b w:val="0"/>
                <w:sz w:val="19"/>
              </w:rPr>
              <w:t>；扩展字段：</w:t>
            </w:r>
            <w:r>
              <w:rPr>
                <w:rFonts w:ascii="Consolas" w:hAnsi="Consolas" w:eastAsia="宋体"/>
                <w:b w:val="0"/>
                <w:sz w:val="18"/>
              </w:rPr>
              <w:t>level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等级、</w:t>
            </w:r>
            <w:r>
              <w:rPr>
                <w:rFonts w:ascii="Consolas" w:hAnsi="Consolas" w:eastAsia="宋体"/>
                <w:b w:val="0"/>
                <w:sz w:val="18"/>
              </w:rPr>
              <w:t>value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数值、</w:t>
            </w:r>
            <w:r>
              <w:rPr>
                <w:rFonts w:ascii="Consolas" w:hAnsi="Consolas" w:eastAsia="宋体"/>
                <w:b w:val="0"/>
                <w:sz w:val="18"/>
              </w:rPr>
              <w:t>carNumber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line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station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direction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location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mileage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speed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imageUrl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videoUrl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over_limit_snapshot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title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count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snapshotTime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超限统计快照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users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username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password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role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（默认 </w:t>
            </w:r>
            <w:r>
              <w:rPr>
                <w:rFonts w:ascii="Consolas" w:hAnsi="Consolas" w:eastAsia="宋体"/>
                <w:b w:val="0"/>
                <w:sz w:val="18"/>
              </w:rPr>
              <w:t>viewer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3.3 接口体系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既有接口 17 个：统计（</w:t>
      </w:r>
      <w:r>
        <w:rPr>
          <w:rFonts w:ascii="Consolas" w:hAnsi="Consolas" w:eastAsia="宋体"/>
          <w:b w:val="0"/>
          <w:sz w:val="20"/>
        </w:rPr>
        <w:t>/api/stats/*</w:t>
      </w:r>
      <w:r>
        <w:rPr>
          <w:rFonts w:ascii="Times New Roman" w:hAnsi="Times New Roman" w:eastAsia="宋体"/>
          <w:b w:val="0"/>
          <w:sz w:val="21"/>
        </w:rPr>
        <w:t>）、历史（</w:t>
      </w:r>
      <w:r>
        <w:rPr>
          <w:rFonts w:ascii="Consolas" w:hAnsi="Consolas" w:eastAsia="宋体"/>
          <w:b w:val="0"/>
          <w:sz w:val="20"/>
        </w:rPr>
        <w:t>/api/history</w:t>
      </w:r>
      <w:r>
        <w:rPr>
          <w:rFonts w:ascii="Times New Roman" w:hAnsi="Times New Roman" w:eastAsia="宋体"/>
          <w:b w:val="0"/>
          <w:sz w:val="21"/>
        </w:rPr>
        <w:t>）、告警（</w:t>
      </w:r>
      <w:r>
        <w:rPr>
          <w:rFonts w:ascii="Consolas" w:hAnsi="Consolas" w:eastAsia="宋体"/>
          <w:b w:val="0"/>
          <w:sz w:val="20"/>
        </w:rPr>
        <w:t>/api/alert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/api/warning/:id</w:t>
      </w:r>
      <w:r>
        <w:rPr>
          <w:rFonts w:ascii="Times New Roman" w:hAnsi="Times New Roman" w:eastAsia="宋体"/>
          <w:b w:val="0"/>
          <w:sz w:val="21"/>
        </w:rPr>
        <w:t>）、文件与报告（</w:t>
      </w:r>
      <w:r>
        <w:rPr>
          <w:rFonts w:ascii="Consolas" w:hAnsi="Consolas" w:eastAsia="宋体"/>
          <w:b w:val="0"/>
          <w:sz w:val="20"/>
        </w:rPr>
        <w:t>/api/upload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/api/export/pdf/:id</w:t>
      </w:r>
      <w:r>
        <w:rPr>
          <w:rFonts w:ascii="Times New Roman" w:hAnsi="Times New Roman" w:eastAsia="宋体"/>
          <w:b w:val="0"/>
          <w:sz w:val="21"/>
        </w:rPr>
        <w:t>）、PLC 与模式（</w:t>
      </w:r>
      <w:r>
        <w:rPr>
          <w:rFonts w:ascii="Consolas" w:hAnsi="Consolas" w:eastAsia="宋体"/>
          <w:b w:val="0"/>
          <w:sz w:val="20"/>
        </w:rPr>
        <w:t>/api/plc/mode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/api/plc/packet</w:t>
      </w:r>
      <w:r>
        <w:rPr>
          <w:rFonts w:ascii="Times New Roman" w:hAnsi="Times New Roman" w:eastAsia="宋体"/>
          <w:b w:val="0"/>
          <w:sz w:val="21"/>
        </w:rPr>
        <w:t>）、控制（</w:t>
      </w:r>
      <w:r>
        <w:rPr>
          <w:rFonts w:ascii="Consolas" w:hAnsi="Consolas" w:eastAsia="宋体"/>
          <w:b w:val="0"/>
          <w:sz w:val="20"/>
        </w:rPr>
        <w:t>/api/control/status|params|auto|tune|tune/cancel</w:t>
      </w:r>
      <w:r>
        <w:rPr>
          <w:rFonts w:ascii="Times New Roman" w:hAnsi="Times New Roman" w:eastAsia="宋体"/>
          <w:b w:val="0"/>
          <w:sz w:val="21"/>
        </w:rPr>
        <w:t>）、模拟（</w:t>
      </w:r>
      <w:r>
        <w:rPr>
          <w:rFonts w:ascii="Consolas" w:hAnsi="Consolas" w:eastAsia="宋体"/>
          <w:b w:val="0"/>
          <w:sz w:val="20"/>
        </w:rPr>
        <w:t>/api/simulation/pause|clear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升级接口 13 个（</w:t>
      </w:r>
      <w:r>
        <w:rPr>
          <w:rFonts w:ascii="Consolas" w:hAnsi="Consolas" w:eastAsia="宋体"/>
          <w:b w:val="0"/>
          <w:sz w:val="20"/>
        </w:rPr>
        <w:t>/api/v2/*</w:t>
      </w:r>
      <w:r>
        <w:rPr>
          <w:rFonts w:ascii="Times New Roman" w:hAnsi="Times New Roman" w:eastAsia="宋体"/>
          <w:b w:val="0"/>
          <w:sz w:val="21"/>
        </w:rPr>
        <w:t>）：标准判定、采样上报、告警、链路、工单、健康、KPI。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4 前端技术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技术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Vue 3 + Vite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组件化开发与构建（</w:t>
            </w:r>
            <w:r>
              <w:rPr>
                <w:rFonts w:ascii="Consolas" w:hAnsi="Consolas" w:eastAsia="宋体"/>
                <w:b w:val="0"/>
                <w:sz w:val="18"/>
              </w:rPr>
              <w:t>dist/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由 Express 托管）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Element Plus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表格、表单、弹窗等基础组件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ECharts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实时曲线、趋势、分布等图表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DataV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大屏装饰组件（边框、数字翻牌等）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Pinia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全局状态管理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vue-router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页面路由（全局/线路/单车/故障总览/受电弓详情/告警详情）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axios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REST 调用（同源 </w:t>
            </w:r>
            <w:r>
              <w:rPr>
                <w:rFonts w:ascii="Consolas" w:hAnsi="Consolas" w:eastAsia="宋体"/>
                <w:b w:val="0"/>
                <w:sz w:val="18"/>
              </w:rPr>
              <w:t>baseURL: '/'</w:t>
            </w:r>
            <w:r>
              <w:rPr>
                <w:rFonts w:ascii="Times New Roman" w:hAnsi="Times New Roman" w:eastAsia="宋体"/>
                <w:b w:val="0"/>
                <w:sz w:val="19"/>
              </w:rPr>
              <w:t>，避免硬编码地址）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socket.io-client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与后端同源实时通道（</w:t>
            </w:r>
            <w:r>
              <w:rPr>
                <w:rFonts w:ascii="Consolas" w:hAnsi="Consolas" w:eastAsia="宋体"/>
                <w:b w:val="0"/>
                <w:sz w:val="18"/>
              </w:rPr>
              <w:t>src/socket.js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挂到 </w:t>
            </w:r>
            <w:r>
              <w:rPr>
                <w:rFonts w:ascii="Consolas" w:hAnsi="Consolas" w:eastAsia="宋体"/>
                <w:b w:val="0"/>
                <w:sz w:val="18"/>
              </w:rPr>
              <w:t>window.socket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便于调试）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页面与组件：</w:t>
      </w:r>
      <w:r>
        <w:rPr>
          <w:rFonts w:ascii="Consolas" w:hAnsi="Consolas" w:eastAsia="宋体"/>
          <w:b w:val="0"/>
          <w:sz w:val="20"/>
        </w:rPr>
        <w:t>src/views/SmartDetection/*</w:t>
      </w:r>
      <w:r>
        <w:rPr>
          <w:rFonts w:ascii="Times New Roman" w:hAnsi="Times New Roman" w:eastAsia="宋体"/>
          <w:b w:val="0"/>
          <w:sz w:val="21"/>
        </w:rPr>
        <w:t xml:space="preserve">（MonitorGlobal、MonitorLine、MonitorCar、FaultOverview、Line_Pantograph2、PantographWarning）；公共组件 </w:t>
      </w:r>
      <w:r>
        <w:rPr>
          <w:rFonts w:ascii="Consolas" w:hAnsi="Consolas" w:eastAsia="宋体"/>
          <w:b w:val="0"/>
          <w:sz w:val="20"/>
        </w:rPr>
        <w:t>src/components/*</w:t>
      </w:r>
      <w:r>
        <w:rPr>
          <w:rFonts w:ascii="Times New Roman" w:hAnsi="Times New Roman" w:eastAsia="宋体"/>
          <w:b w:val="0"/>
          <w:sz w:val="21"/>
        </w:rPr>
        <w:t>（DashboardGauge、DataTables、LeftMenu、LineOMInfor、MetroLine2、topHeader、pantograph/*）。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5 控制技术与模型公式</w:t>
      </w:r>
    </w:p>
    <w:p>
      <w:pPr>
        <w:spacing w:before="12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20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_formula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图2  公式应用位置图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5.1 控制结构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双环结构：</w:t>
      </w:r>
      <w:r>
        <w:rPr>
          <w:rFonts w:ascii="Times New Roman" w:hAnsi="Times New Roman" w:eastAsia="宋体"/>
          <w:b/>
          <w:sz w:val="21"/>
        </w:rPr>
        <w:t>外环＝接触力环</w:t>
      </w:r>
      <w:r>
        <w:rPr>
          <w:rFonts w:ascii="Times New Roman" w:hAnsi="Times New Roman" w:eastAsia="宋体"/>
          <w:b w:val="0"/>
          <w:sz w:val="21"/>
        </w:rPr>
        <w:t>（被控量接触力 F，输出气囊压力设定）；</w:t>
      </w:r>
      <w:r>
        <w:rPr>
          <w:rFonts w:ascii="Times New Roman" w:hAnsi="Times New Roman" w:eastAsia="宋体"/>
          <w:b/>
          <w:sz w:val="21"/>
        </w:rPr>
        <w:t>内环＝姿态环</w:t>
      </w:r>
      <w:r>
        <w:rPr>
          <w:rFonts w:ascii="Times New Roman" w:hAnsi="Times New Roman" w:eastAsia="宋体"/>
          <w:b w:val="0"/>
          <w:sz w:val="21"/>
        </w:rPr>
        <w:t>（被控量弓头高度 H，输出升弓机构指令）。两环共用同一套 PID 实现，控制周期 500 ms，输出限幅：接触力环 50～1000 kPa，姿态环 1000～2600 mm。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5.2 接触力模型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F = p_air × A_eff − F_offset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符号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含义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默认/取值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F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弓头与接触线间接触力（N）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目标见 5.3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p_air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气囊压力（kPa）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测量值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A_eff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气囊有效面积（m²）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PANTO_A_EFF=0.001</w:t>
            </w:r>
            <w:r>
              <w:rPr>
                <w:rFonts w:ascii="Times New Roman" w:hAnsi="Times New Roman" w:eastAsia="宋体"/>
                <w:b w:val="0"/>
                <w:sz w:val="19"/>
              </w:rPr>
              <w:t>（</w:t>
            </w:r>
            <w:r>
              <w:rPr>
                <w:rFonts w:ascii="Times New Roman" w:hAnsi="Times New Roman" w:eastAsia="宋体"/>
                <w:b/>
                <w:sz w:val="19"/>
              </w:rPr>
              <w:t>需现场标定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F_offset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弹簧与重力补偿偏置（N）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PANTO_F_OFFSET=0</w:t>
            </w:r>
            <w:r>
              <w:rPr>
                <w:rFonts w:ascii="Times New Roman" w:hAnsi="Times New Roman" w:eastAsia="宋体"/>
                <w:b w:val="0"/>
                <w:sz w:val="19"/>
              </w:rPr>
              <w:t>（</w:t>
            </w:r>
            <w:r>
              <w:rPr>
                <w:rFonts w:ascii="Times New Roman" w:hAnsi="Times New Roman" w:eastAsia="宋体"/>
                <w:b/>
                <w:sz w:val="19"/>
              </w:rPr>
              <w:t>需现场标定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代码位置：</w:t>
      </w:r>
      <w:r>
        <w:rPr>
          <w:rFonts w:ascii="Consolas" w:hAnsi="Consolas" w:eastAsia="宋体"/>
          <w:b w:val="0"/>
          <w:sz w:val="19"/>
        </w:rPr>
        <w:t>control-engine.js#contactForce()</w:t>
      </w:r>
      <w:r>
        <w:rPr>
          <w:rFonts w:ascii="Times New Roman" w:hAnsi="Times New Roman" w:eastAsia="宋体"/>
          <w:b w:val="0"/>
          <w:sz w:val="20"/>
        </w:rPr>
        <w:t>；换算关系决定压力设定与接触力目标的对应。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5.3 目标接触力与动态限值（标准公式）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交流制式：Fm(v) = 0.000 97·v² + 70</w:t>
      </w:r>
      <w:r>
        <w:br/>
      </w:r>
      <w:r>
        <w:rPr>
          <w:rFonts w:ascii="Consolas" w:hAnsi="Consolas" w:eastAsia="宋体"/>
          <w:b w:val="0"/>
          <w:sz w:val="19"/>
        </w:rPr>
        <w:t>直流制式：Fm(v) = 0.001 55·v² + 70</w:t>
      </w:r>
      <w:r>
        <w:br/>
      </w:r>
      <w:r>
        <w:rPr>
          <w:rFonts w:ascii="Consolas" w:hAnsi="Consolas" w:eastAsia="宋体"/>
          <w:b w:val="0"/>
          <w:sz w:val="19"/>
        </w:rPr>
        <w:t>动态判据：σ ≤ 0.3·Fm，Fmax ≤ Fm + 3σ，Fmin ≥ Fm − 3σ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符号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含义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单位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v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运行速度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km/h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Fm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目标平均接触力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σ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接触力标准差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典型取值（本工程计算）：v=0 → 70.0 N；v=80 → 76.2 N（AC）/ 79.9 N（DC）；v=160 → 94.8 N；v=250 → 130.6 N。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来源：EN 50367 / TB/T 3271 的目标平均接触力经验式与动态接触力判据；系数可在 </w:t>
      </w:r>
      <w:r>
        <w:rPr>
          <w:rFonts w:ascii="Consolas" w:hAnsi="Consolas" w:eastAsia="宋体"/>
          <w:b w:val="0"/>
          <w:sz w:val="19"/>
        </w:rPr>
        <w:t>standards.js</w:t>
      </w:r>
      <w:r>
        <w:rPr>
          <w:rFonts w:ascii="Times New Roman" w:hAnsi="Times New Roman" w:eastAsia="宋体"/>
          <w:b w:val="0"/>
          <w:sz w:val="20"/>
        </w:rPr>
        <w:t xml:space="preserve"> 覆盖，</w:t>
      </w:r>
      <w:r>
        <w:rPr>
          <w:rFonts w:ascii="Times New Roman" w:hAnsi="Times New Roman" w:eastAsia="宋体"/>
          <w:b/>
          <w:sz w:val="20"/>
        </w:rPr>
        <w:t>投运前须按采用的标准版本复核</w:t>
      </w:r>
      <w:r>
        <w:rPr>
          <w:rFonts w:ascii="Times New Roman" w:hAnsi="Times New Roman" w:eastAsia="宋体"/>
          <w:b w:val="0"/>
          <w:sz w:val="20"/>
        </w:rPr>
        <w:t>。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代码位置：</w:t>
      </w:r>
      <w:r>
        <w:rPr>
          <w:rFonts w:ascii="Consolas" w:hAnsi="Consolas" w:eastAsia="宋体"/>
          <w:b w:val="0"/>
          <w:sz w:val="19"/>
        </w:rPr>
        <w:t>standards.js#targetMeanContactForce / dynamicLimits / evaluateContactForce</w:t>
      </w:r>
      <w:r>
        <w:rPr>
          <w:rFonts w:ascii="Times New Roman" w:hAnsi="Times New Roman" w:eastAsia="宋体"/>
          <w:b w:val="0"/>
          <w:sz w:val="20"/>
        </w:rPr>
        <w:t>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5.4 弓头高度运动学模型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正运动学：H = L1·sinθ1 + L2·sin(r·θ1)</w:t>
      </w:r>
      <w:r>
        <w:br/>
      </w:r>
      <w:r>
        <w:rPr>
          <w:rFonts w:ascii="Consolas" w:hAnsi="Consolas" w:eastAsia="宋体"/>
          <w:b w:val="0"/>
          <w:sz w:val="19"/>
        </w:rPr>
        <w:t>反解：二分法在 θ1 ∈ [0°, 88°] 内求根；超出机构行程输出饱和标志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符号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含义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默认值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H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弓头高度（mm）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目标 </w:t>
            </w:r>
            <w:r>
              <w:rPr>
                <w:rFonts w:ascii="Consolas" w:hAnsi="Consolas" w:eastAsia="宋体"/>
                <w:b w:val="0"/>
                <w:sz w:val="18"/>
              </w:rPr>
              <w:t>PANTO_H_TARGET=2400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L1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L2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下臂 / 上臂杆长（mm）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1200 / 1300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θ1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下臂与水平面夹角（°）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解算量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两连杆角度比例（θ2 = r·θ1）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</w:t>
            </w:r>
          </w:p>
        </w:tc>
      </w:tr>
    </w:tbl>
    <w:p>
      <w:pPr>
        <w:spacing w:after="40"/>
      </w:pP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代码位置：</w:t>
      </w:r>
      <w:r>
        <w:rPr>
          <w:rFonts w:ascii="Consolas" w:hAnsi="Consolas" w:eastAsia="宋体"/>
          <w:b w:val="0"/>
          <w:sz w:val="19"/>
        </w:rPr>
        <w:t>control-engine.js#pantographHeight / pantographTheta1</w:t>
      </w:r>
      <w:r>
        <w:rPr>
          <w:rFonts w:ascii="Times New Roman" w:hAnsi="Times New Roman" w:eastAsia="宋体"/>
          <w:b w:val="0"/>
          <w:sz w:val="20"/>
        </w:rPr>
        <w:t>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5.5 PID 控制律与工程化处理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位置式并联 PID（微分先行）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u = Kp·e + Ki·∫e dt − Kd·(dy/dt)，  e = r − 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工程化处理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公式/做法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解决的问题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微分先行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微分作用于测量 </w:t>
            </w:r>
            <w:r>
              <w:rPr>
                <w:rFonts w:ascii="Consolas" w:hAnsi="Consolas" w:eastAsia="宋体"/>
                <w:b w:val="0"/>
                <w:sz w:val="18"/>
              </w:rPr>
              <w:t>y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而非误差 </w:t>
            </w:r>
            <w:r>
              <w:rPr>
                <w:rFonts w:ascii="Consolas" w:hAnsi="Consolas" w:eastAsia="宋体"/>
                <w:b w:val="0"/>
                <w:sz w:val="18"/>
              </w:rPr>
              <w:t>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设定值跳变引起微分冲击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不完全微分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d_f[k] = (N·d[k] + d_f[k−1]) / (N+1)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N=8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测量噪声放大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条件积分抗饱和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输出饱和且误差仍朝饱和方向增大时冻结积分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积分饱和引起大超调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积分分离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无扰切换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投入自动时积分预载：</w:t>
            </w:r>
            <w:r>
              <w:rPr>
                <w:rFonts w:ascii="Consolas" w:hAnsi="Consolas" w:eastAsia="宋体"/>
                <w:b w:val="0"/>
                <w:sz w:val="18"/>
              </w:rPr>
              <w:t>I₀ = (u₀ − Kp·e₀)/Ki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投入瞬间输出跳变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设定值斜坡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目标按最大变化率逼近（接触力 3 N/s；姿态 100 mm/s）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阶跃冲击与超调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增益调度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按速度分档缩放增益（≤80 / 80～160 / &gt;160 km/h：1.0 / 0.85 / 0.7）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高速工况稳定性</w:t>
            </w:r>
          </w:p>
        </w:tc>
      </w:tr>
    </w:tbl>
    <w:p>
      <w:pPr>
        <w:spacing w:after="40"/>
      </w:pP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代码位置：</w:t>
      </w:r>
      <w:r>
        <w:rPr>
          <w:rFonts w:ascii="Consolas" w:hAnsi="Consolas" w:eastAsia="宋体"/>
          <w:b w:val="0"/>
          <w:sz w:val="19"/>
        </w:rPr>
        <w:t>control-engine.js</w:t>
      </w:r>
      <w:r>
        <w:rPr>
          <w:rFonts w:ascii="Times New Roman" w:hAnsi="Times New Roman" w:eastAsia="宋体"/>
          <w:b w:val="0"/>
          <w:sz w:val="20"/>
        </w:rPr>
        <w:t>（v1）、</w:t>
      </w:r>
      <w:r>
        <w:rPr>
          <w:rFonts w:ascii="Consolas" w:hAnsi="Consolas" w:eastAsia="宋体"/>
          <w:b w:val="0"/>
          <w:sz w:val="19"/>
        </w:rPr>
        <w:t>control-engine-v2.js</w:t>
      </w:r>
      <w:r>
        <w:rPr>
          <w:rFonts w:ascii="Times New Roman" w:hAnsi="Times New Roman" w:eastAsia="宋体"/>
          <w:b w:val="0"/>
          <w:sz w:val="20"/>
        </w:rPr>
        <w:t xml:space="preserve">（v2，含上述全部处理与 </w:t>
      </w:r>
      <w:r>
        <w:rPr>
          <w:rFonts w:ascii="Consolas" w:hAnsi="Consolas" w:eastAsia="宋体"/>
          <w:b w:val="0"/>
          <w:sz w:val="19"/>
        </w:rPr>
        <w:t>PRESETS</w:t>
      </w:r>
      <w:r>
        <w:rPr>
          <w:rFonts w:ascii="Times New Roman" w:hAnsi="Times New Roman" w:eastAsia="宋体"/>
          <w:b w:val="0"/>
          <w:sz w:val="20"/>
        </w:rPr>
        <w:t>）。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5.6 对象模型、辨识与整定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一阶惯性加纯滞后（FOPDT）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G(s) = K·e^(−L·s) / (T·s + 1)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符号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含义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本工程取值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K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对象增益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接触力通道 0.992 3 N/kPa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时间常数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 1.704 6 s；姿态 0.5 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纯滞后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1.007 8 s（接触力实测）；配置值 0.6 s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Ziegler-Nichols 开环阶跃整定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Kp = 1.2·T/(K·L)，Ti = 2·L，Td = 0.5·L，Ki = Kp/Ti，Kd = Kp·Td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拟合方法：施加 10% 量程阶跃，对响应做 FOPDT 拟合——尾部回归 </w:t>
      </w:r>
      <w:r>
        <w:rPr>
          <w:rFonts w:ascii="Consolas" w:hAnsi="Consolas" w:eastAsia="宋体"/>
          <w:b w:val="0"/>
          <w:sz w:val="20"/>
        </w:rPr>
        <w:t>ln f = L/T − t/T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sz w:val="20"/>
        </w:rPr>
        <w:t>f = (y∞ − y)/Δy</w:t>
      </w:r>
      <w:r>
        <w:rPr>
          <w:rFonts w:ascii="Times New Roman" w:hAnsi="Times New Roman" w:eastAsia="宋体"/>
          <w:b w:val="0"/>
          <w:sz w:val="21"/>
        </w:rPr>
        <w:t xml:space="preserve">，取 f∈[0.2, 0.8] 区间最小二乘），样本不足时回退 63.2% 法；合法性要求 </w:t>
      </w:r>
      <w:r>
        <w:rPr>
          <w:rFonts w:ascii="Consolas" w:hAnsi="Consolas" w:eastAsia="宋体"/>
          <w:b w:val="0"/>
          <w:sz w:val="20"/>
        </w:rPr>
        <w:t>T &gt; L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IMC-PI（纯滞后主导通道适用）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Kc = T / (K·(λ + L))，Ti = T，Td = 0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安全折减（本工程新增策略）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T &gt; L：r = 1/(1 + L/T)（限幅 0.4～1），Kp' = r·Kp，Ki' = r·Ki，Kd' = r·Kd</w:t>
      </w:r>
      <w:r>
        <w:br/>
      </w:r>
      <w:r>
        <w:rPr>
          <w:rFonts w:ascii="Consolas" w:hAnsi="Consolas" w:eastAsia="宋体"/>
          <w:b w:val="0"/>
          <w:sz w:val="19"/>
        </w:rPr>
        <w:t>T ≤ L：Z-N 不适用，自动切换 IMC-PI（λ = T）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代码位置：</w:t>
      </w:r>
      <w:r>
        <w:rPr>
          <w:rFonts w:ascii="Consolas" w:hAnsi="Consolas" w:eastAsia="宋体"/>
          <w:b w:val="0"/>
          <w:sz w:val="19"/>
        </w:rPr>
        <w:t>control-engine.js#znGains</w:t>
      </w:r>
      <w:r>
        <w:rPr>
          <w:rFonts w:ascii="Times New Roman" w:hAnsi="Times New Roman" w:eastAsia="宋体"/>
          <w:b w:val="0"/>
          <w:sz w:val="20"/>
        </w:rPr>
        <w:t>、</w:t>
      </w:r>
      <w:r>
        <w:rPr>
          <w:rFonts w:ascii="Consolas" w:hAnsi="Consolas" w:eastAsia="宋体"/>
          <w:b w:val="0"/>
          <w:sz w:val="19"/>
        </w:rPr>
        <w:t>control-engine-v2.js#tuneSafe / imcGains / PRESETS</w:t>
      </w:r>
      <w:r>
        <w:rPr>
          <w:rFonts w:ascii="Times New Roman" w:hAnsi="Times New Roman" w:eastAsia="宋体"/>
          <w:b w:val="0"/>
          <w:sz w:val="20"/>
        </w:rPr>
        <w:t>。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实测对比（升阶跃 70→100 N）：Z-N 原始参数超调 </w:t>
      </w:r>
      <w:r>
        <w:rPr>
          <w:rFonts w:ascii="Times New Roman" w:hAnsi="Times New Roman" w:eastAsia="宋体"/>
          <w:b/>
          <w:sz w:val="20"/>
        </w:rPr>
        <w:t>83.9%</w:t>
      </w:r>
      <w:r>
        <w:rPr>
          <w:rFonts w:ascii="Times New Roman" w:hAnsi="Times New Roman" w:eastAsia="宋体"/>
          <w:b w:val="0"/>
          <w:sz w:val="20"/>
        </w:rPr>
        <w:t xml:space="preserve">、出厂保守参数 15.7%，安全预设 </w:t>
      </w:r>
      <w:r>
        <w:rPr>
          <w:rFonts w:ascii="Times New Roman" w:hAnsi="Times New Roman" w:eastAsia="宋体"/>
          <w:b/>
          <w:sz w:val="20"/>
        </w:rPr>
        <w:t>3.68%</w:t>
      </w:r>
      <w:r>
        <w:rPr>
          <w:rFonts w:ascii="Times New Roman" w:hAnsi="Times New Roman" w:eastAsia="宋体"/>
          <w:b w:val="0"/>
          <w:sz w:val="20"/>
        </w:rPr>
        <w:t>；姿态环（T=0.5 s ≤ L=0.6 s）Z-N 不可用，IMC 预设超调 3.66%、8.5 s 稳定。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5.7 控制性能指标定义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指标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定义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上升时间 </w:t>
            </w:r>
            <w:r>
              <w:rPr>
                <w:rFonts w:ascii="Consolas" w:hAnsi="Consolas" w:eastAsia="宋体"/>
                <w:b w:val="0"/>
                <w:sz w:val="18"/>
              </w:rPr>
              <w:t>t_r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响应由 10% 到 90% 稳态变化量所需时间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超调量 </w:t>
            </w:r>
            <w:r>
              <w:rPr>
                <w:rFonts w:ascii="Consolas" w:hAnsi="Consolas" w:eastAsia="宋体"/>
                <w:b w:val="0"/>
                <w:sz w:val="18"/>
              </w:rPr>
              <w:t>σ%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`(y_max − y_∞)/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调节时间 </w:t>
            </w:r>
            <w:r>
              <w:rPr>
                <w:rFonts w:ascii="Consolas" w:hAnsi="Consolas" w:eastAsia="宋体"/>
                <w:b w:val="0"/>
                <w:sz w:val="18"/>
              </w:rPr>
              <w:t>t_s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最后一次超出 ±2%·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稳态误差 </w:t>
            </w:r>
            <w:r>
              <w:rPr>
                <w:rFonts w:ascii="Consolas" w:hAnsi="Consolas" w:eastAsia="宋体"/>
                <w:b w:val="0"/>
                <w:sz w:val="18"/>
              </w:rPr>
              <w:t>e_ss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末段（10 点均值）目标与实测之差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6 告警与数据质量模型公式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6.1 数据滤波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中值滤波（抗单点尖峰）：x_med[k] = median(x[k], x[k−1], x[k−2])</w:t>
      </w:r>
      <w:r>
        <w:br/>
      </w:r>
      <w:r>
        <w:rPr>
          <w:rFonts w:ascii="Consolas" w:hAnsi="Consolas" w:eastAsia="宋体"/>
          <w:b w:val="0"/>
          <w:sz w:val="19"/>
        </w:rPr>
        <w:t>滑动均值：x̄ = (1/n)·Σ x[i]，n = 10（PLC 侧均值包）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6.2 阈值分级（默认值，需按线路标定）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信号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warning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major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critical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&gt;80 ℃ 或 &lt;−10 ℃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&gt;90 ℃ 或 &lt;−20 ℃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&gt;100 ℃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压力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&gt;1000 kPa 或 &lt;100 kPa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&gt;1100 kPa 或 &lt;80 kPa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&gt;1200 kPa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湿度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&gt;85 %RH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&gt;92 %RH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&gt;97 %RH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6.3 变化率（ROC）判据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roc = (x(t) − x(t − W)) / W_min   （单位：量纲/min，W 为统计窗口，默认 60 s）</w:t>
      </w:r>
      <w:r>
        <w:br/>
      </w:r>
      <w:r>
        <w:rPr>
          <w:rFonts w:ascii="Consolas" w:hAnsi="Consolas" w:eastAsia="宋体"/>
          <w:b w:val="0"/>
          <w:sz w:val="19"/>
        </w:rPr>
        <w:t>判据：roc ≥ 阈值_warning → warning；roc ≥ 阈值_major → major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默认变化率阈值：温度 2 / 5 ℃·min⁻¹；压力 80 / 200 kPa·min⁻¹；湿度 5 / 12 %RH·min⁻¹。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作用：对缓变劣化在越限前预警。实测（3 ℃/min 缓升）：阈值判据需 401 s，ROC 判据 </w:t>
      </w:r>
      <w:r>
        <w:rPr>
          <w:rFonts w:ascii="Times New Roman" w:hAnsi="Times New Roman" w:eastAsia="宋体"/>
          <w:b/>
          <w:sz w:val="20"/>
        </w:rPr>
        <w:t>2 s</w:t>
      </w:r>
      <w:r>
        <w:rPr>
          <w:rFonts w:ascii="Times New Roman" w:hAnsi="Times New Roman" w:eastAsia="宋体"/>
          <w:b w:val="0"/>
          <w:sz w:val="20"/>
        </w:rPr>
        <w:t xml:space="preserve"> 给出预警。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代码位置：</w:t>
      </w:r>
      <w:r>
        <w:rPr>
          <w:rFonts w:ascii="Consolas" w:hAnsi="Consolas" w:eastAsia="宋体"/>
          <w:b w:val="0"/>
          <w:sz w:val="19"/>
        </w:rPr>
        <w:t>alarm-engine.js#_roc / _grade</w:t>
      </w:r>
      <w:r>
        <w:rPr>
          <w:rFonts w:ascii="Times New Roman" w:hAnsi="Times New Roman" w:eastAsia="宋体"/>
          <w:b w:val="0"/>
          <w:sz w:val="20"/>
        </w:rPr>
        <w:t>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6.4 连续确认与抑制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连续确认：同一信号同一级别连续 n 次（默认 n=2）才产生告警</w:t>
      </w:r>
      <w:r>
        <w:br/>
      </w:r>
      <w:r>
        <w:rPr>
          <w:rFonts w:ascii="Consolas" w:hAnsi="Consolas" w:eastAsia="宋体"/>
          <w:b w:val="0"/>
          <w:sz w:val="19"/>
        </w:rPr>
        <w:t>抑制去重：同一信号同一级别在 suppressMs（默认 120 s）内只保留首条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实测：单点尖峰（95 ℃）在无滤波下产生 1 次误报，中值滤波＋连续确认后 </w:t>
      </w:r>
      <w:r>
        <w:rPr>
          <w:rFonts w:ascii="Times New Roman" w:hAnsi="Times New Roman" w:eastAsia="宋体"/>
          <w:b/>
          <w:sz w:val="20"/>
        </w:rPr>
        <w:t>0 次误报</w:t>
      </w:r>
      <w:r>
        <w:rPr>
          <w:rFonts w:ascii="Times New Roman" w:hAnsi="Times New Roman" w:eastAsia="宋体"/>
          <w:b w:val="0"/>
          <w:sz w:val="20"/>
        </w:rPr>
        <w:t>；阶跃告警时延代价约 1 s。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6.5 端到端告警时延模型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t_alarm ≈ t_window + t_poll + t_margin</w:t>
      </w:r>
      <w:r>
        <w:br/>
      </w:r>
      <w:r>
        <w:rPr>
          <w:rFonts w:ascii="Consolas" w:hAnsi="Consolas" w:eastAsia="宋体"/>
          <w:b w:val="0"/>
          <w:sz w:val="19"/>
        </w:rPr>
        <w:t>t_window ≈ 1 s（10 点均值窗口，最坏情况整窗刷新）</w:t>
      </w:r>
      <w:r>
        <w:br/>
      </w:r>
      <w:r>
        <w:rPr>
          <w:rFonts w:ascii="Consolas" w:hAnsi="Consolas" w:eastAsia="宋体"/>
          <w:b w:val="0"/>
          <w:sz w:val="19"/>
        </w:rPr>
        <w:t>t_poll ∈ [0, P]（轮询相位，P 为平台读取周期）</w:t>
      </w:r>
      <w:r>
        <w:br/>
      </w:r>
      <w:r>
        <w:rPr>
          <w:rFonts w:ascii="Consolas" w:hAnsi="Consolas" w:eastAsia="宋体"/>
          <w:b w:val="0"/>
          <w:sz w:val="19"/>
        </w:rPr>
        <w:t>t_margin = 阈值裕度决定的越限等待时间（缓变工况下为主要项）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实测（5000 次随机相位）：温度阶跃、轮询 2 s → 均值 2 944 ms、95 分位 3 849 ms；轮询 1 s → 均值 1 971 ms；温度 1.2 ℃/s 缓升、轮询 2 s → 均值 10 338 ms（该场景应由 ROC 判据提前发现）。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7 链路可靠性与安全公式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公式/判据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丢包率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loss = 缺口数 / 应到包数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（序号按 65536 回绕计算）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实测：3 处缺口 → 2.91%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数据质量码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age = now − lastPacketAt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Consolas" w:hAnsi="Consolas" w:eastAsia="宋体"/>
                <w:b w:val="0"/>
                <w:sz w:val="18"/>
              </w:rPr>
              <w:t>age &gt; badMs(10 s) → BAD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Consolas" w:hAnsi="Consolas" w:eastAsia="宋体"/>
                <w:b w:val="0"/>
                <w:sz w:val="18"/>
              </w:rPr>
              <w:t>age &gt; staleMs(3 s) → STALE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；否则 </w:t>
            </w:r>
            <w:r>
              <w:rPr>
                <w:rFonts w:ascii="Consolas" w:hAnsi="Consolas" w:eastAsia="宋体"/>
                <w:b w:val="0"/>
                <w:sz w:val="18"/>
              </w:rPr>
              <w:t>GOOD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前端标注与告警抑制依据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退避重连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delay = min(maxBackoff, base·2^(n−1))·(1 ± 10%)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base=500 ms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maxBackoff=8 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实测递增：0.48 → 1.04 → 1.94 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写回读校验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写入后回读，`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readback − value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写白名单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仅 </w:t>
            </w:r>
            <w:r>
              <w:rPr>
                <w:rFonts w:ascii="Consolas" w:hAnsi="Consolas" w:eastAsia="宋体"/>
                <w:b w:val="0"/>
                <w:sz w:val="18"/>
              </w:rPr>
              <w:t>30021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30022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可写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GB/T 30976 最小权限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边界防护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502/554 不暴露公网，走隧道/VPN，隧道口仅对平台 IP 开放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工业控制系统安全要求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审计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告警确认/解除、参数修改、整定、工单流转均记录人/时间/内容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可追溯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8 运维模型公式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8.1 健康指数（代理指标）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score = 100 − (p_force + p_wave + p_temp + p_alarm)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p_force = min(25, |F_mean − F_target| / F_target × 100 × 0.5)</w:t>
      </w:r>
      <w:r>
        <w:br/>
      </w:r>
      <w:r>
        <w:rPr>
          <w:rFonts w:ascii="Consolas" w:hAnsi="Consolas" w:eastAsia="宋体"/>
          <w:b w:val="0"/>
          <w:sz w:val="19"/>
        </w:rPr>
        <w:t>p_wave  = min(25, (σ_F / F_target × 100) × 0.8)</w:t>
      </w:r>
      <w:r>
        <w:br/>
      </w:r>
      <w:r>
        <w:rPr>
          <w:rFonts w:ascii="Consolas" w:hAnsi="Consolas" w:eastAsia="宋体"/>
          <w:b w:val="0"/>
          <w:sz w:val="19"/>
        </w:rPr>
        <w:t>p_temp  = min(25, max(0, T_max − T_limit) × 2.5)</w:t>
      </w:r>
      <w:r>
        <w:br/>
      </w:r>
      <w:r>
        <w:rPr>
          <w:rFonts w:ascii="Consolas" w:hAnsi="Consolas" w:eastAsia="宋体"/>
          <w:b w:val="0"/>
          <w:sz w:val="19"/>
        </w:rPr>
        <w:t>p_alarm = min(25, (N_alarm24h / 10) × 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分值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等级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建议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≥85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正常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按周期巡检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70～84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关注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加密监测，纳入下次天窗复检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55～69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计划检修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安排计划检修（气路、接触压力）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&lt;55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立即检修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紧急工单，停运检查</w:t>
            </w:r>
          </w:p>
        </w:tc>
      </w:tr>
    </w:tbl>
    <w:p>
      <w:pPr>
        <w:spacing w:after="40"/>
      </w:pP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说明：无滑板厚度直接测量时的代理指标；接入厚度/磨耗量后应替换为 RUL 模型输出。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8.2 工单与 MTTR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状态机：新建 → 指派 → 处理中 → 完成 → 复核 → 关闭（或取消）</w:t>
      </w:r>
      <w:r>
        <w:br/>
      </w:r>
      <w:r>
        <w:rPr>
          <w:rFonts w:ascii="Consolas" w:hAnsi="Consolas" w:eastAsia="宋体"/>
          <w:b w:val="0"/>
          <w:sz w:val="19"/>
        </w:rPr>
        <w:t>MTTR = Σ(完成时刻 − 创建时刻) / 已完成工单数     （单位：min）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8.3 KPI 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指标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公式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可用率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 = 1 − 停机时长 / 统计时长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数据完整率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 = 有效样本数 / 应有样本数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丢包率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loss = 缺口数 / 应到包数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告警时延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分位数统计：均值 / p50 / p95 / max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MTTR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见 8.2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9 标准与规范依据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标准/规范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本平台用途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EN 50367 / TB/T 3271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目标平均接触力随速度的经验式；动态接触力判据（σ、Fmax、Fmin）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Åström &amp; Hägglund《PID Controllers》(1995)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微分先行、条件积分抗饱和、无扰切换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Ziegler &amp; Nichols (1942)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开环阶跃整定公式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Rivera 等 IMC 方法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IMC-PI 整定（λ 形参）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Craig《Introduction to Robotics》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两连杆平面机构正/逆运动学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MODBUS 应用协议规范 V1.1b3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功能码 FC03/FC16；应用层补充序号与回读校验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GB/T 30976 系列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工业控制系统信息安全：最小权限、写白名单、审计、边界防护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10 公式速查总表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类别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公式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代码位置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量程换算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温度=(raw−raw4mA)/(raw20mA−raw4mA)×90−10</w:t>
            </w:r>
            <w:r>
              <w:rPr>
                <w:rFonts w:ascii="Times New Roman" w:hAnsi="Times New Roman" w:eastAsia="宋体"/>
                <w:b w:val="0"/>
                <w:sz w:val="19"/>
              </w:rPr>
              <w:t>；压力 ×1000；湿度 ×100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plc-program/H5U_main.st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定点缩放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温度/压力/湿度 ×10；16 位补码还原；uint16 上限钳位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plc-packet.js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F = p·A_eff − F_offset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control-engine.js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目标接触力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Fm = a·v² + b</w:t>
            </w:r>
            <w:r>
              <w:rPr>
                <w:rFonts w:ascii="Times New Roman" w:hAnsi="Times New Roman" w:eastAsia="宋体"/>
                <w:b w:val="0"/>
                <w:sz w:val="19"/>
              </w:rPr>
              <w:t>（AC 0.000 97/70；DC 0.001 55/70）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standards.js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动态限值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σ ≤ 0.3Fm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Consolas" w:hAnsi="Consolas" w:eastAsia="宋体"/>
                <w:b w:val="0"/>
                <w:sz w:val="18"/>
              </w:rPr>
              <w:t>Fmax = Fm+3σ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Consolas" w:hAnsi="Consolas" w:eastAsia="宋体"/>
                <w:b w:val="0"/>
                <w:sz w:val="18"/>
              </w:rPr>
              <w:t>Fmin = Fm−3σ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standards.js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弓头高度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H = L1·sinθ1 + L2·sin(r·θ1)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control-engine.js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PID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 = Kp·e + Ki∫e − Kd·dy/dt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control-engine(-v2).js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不完全微分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d_f[k] = (N·d[k] + d_f[k−1])/(N+1)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control-engine-v2.js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无扰预载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I₀ = (u₀ − Kp·e₀)/Ki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control-engine(-v2).js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对象模型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G(s) = K·e^(−Ls)/(Ts+1)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control-engine-v2.js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Z-N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Kp=1.2T/(K·L)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Ti=2L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Td=0.5L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control-engine(-v2).js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FOPDT 拟合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ln f = L/T − t/T</w:t>
            </w:r>
            <w:r>
              <w:rPr>
                <w:rFonts w:ascii="Times New Roman" w:hAnsi="Times New Roman" w:eastAsia="宋体"/>
                <w:b w:val="0"/>
                <w:sz w:val="19"/>
              </w:rPr>
              <w:t>（f=(y∞−y)/Δy，0.2～0.8）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control-engine.js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IMC-PI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Kc = T/(K(λ+L))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Ti = 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control-engine-v2.js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安全折减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 = 1/(1+L/T)</w:t>
            </w:r>
            <w:r>
              <w:rPr>
                <w:rFonts w:ascii="Times New Roman" w:hAnsi="Times New Roman" w:eastAsia="宋体"/>
                <w:b w:val="0"/>
                <w:sz w:val="19"/>
              </w:rPr>
              <w:t>（0.4～1）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control-engine-v2.js#tuneSafe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中值滤波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x_med = median(x[k], x[k−1], x[k−2])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alarm-engine.js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变化率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roc = (x(t) − x(t−W))/W_min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alarm-engine.js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连续确认/抑制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连续 n 次；抑制窗口 </w:t>
            </w:r>
            <w:r>
              <w:rPr>
                <w:rFonts w:ascii="Consolas" w:hAnsi="Consolas" w:eastAsia="宋体"/>
                <w:b w:val="0"/>
                <w:sz w:val="18"/>
              </w:rPr>
              <w:t>suppressMs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alarm-engine.js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告警时延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t ≈ t_window + t_poll + t_margin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standards.js#latencyStats</w:t>
            </w:r>
            <w:r>
              <w:rPr>
                <w:rFonts w:ascii="Times New Roman" w:hAnsi="Times New Roman" w:eastAsia="宋体"/>
                <w:b w:val="0"/>
                <w:sz w:val="19"/>
              </w:rPr>
              <w:t>（统计）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丢包率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缺口数/应到包数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link-monitor.js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质量码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按 </w:t>
            </w:r>
            <w:r>
              <w:rPr>
                <w:rFonts w:ascii="Consolas" w:hAnsi="Consolas" w:eastAsia="宋体"/>
                <w:b w:val="0"/>
                <w:sz w:val="18"/>
              </w:rPr>
              <w:t>staleMs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badMs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分级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link-monitor.js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退避重连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min(maxBackoff, base·2^(n−1))·(1±10%)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link-monitor.js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写回读校验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readback − value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健康指数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四项扣分加权（见 8.1）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maintenance.js#healthIndex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MTTR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Σ(完成−创建)/工单数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standards.js#mttr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KPI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可用率 / 完整率 / 时延分位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standards.js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11 参数默认值一览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参数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默认值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位置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采样周期（PLC）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 ms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程序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均值窗口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 点（≈1 s）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程序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平台读取周期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2000 ms（可设 1000）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.env PLC_INTERVAL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控制周期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500 ms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.env CONTROL_INTERVAL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接触力目标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 N（并按速度自适应）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.env PANTO_F_TARGET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standards.js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气囊有效面积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0.001 m²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.env PANTO_A_EFF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弓头高度目标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2400 mm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.env PANTO_H_TARGET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接触力环限幅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50～1000 kPa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control-engine.js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姿态环限幅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1000～2600 mm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control-engine.js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Z-N 阶跃幅值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10% 量程（≈95 kPa）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.env ZN_STEP_PCT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整定等待上限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60 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.env ZN_SETTLE_MAX_S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不完全微分系数 N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control-engine-v2.js PRESETS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积分分离阈值 δ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0.35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control-engine-v2.js PRESETS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设定值斜坡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 3 N/s；姿态 100 mm/s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control-engine-v2.js PRESETS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连续确认点数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alarm-engine.js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抑制窗口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120 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alarm-engine.js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变化率窗口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60 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alarm-engine.js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 stale / bad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 s / 10 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link-monitor.js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重连退避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 s 起，上限 8 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link-monitor.js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写回读容差 / 重试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 / 2 次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link-monitor.js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服务端口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.env PORT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12 符号与术语表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符号/术语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含义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F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Fm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σ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接触力、目标平均接触力、接触力标准差（N）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p_air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A_eff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F_offset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气囊压力（kPa）、气囊有效面积（m²）、补偿偏置（N）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H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L1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L2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θ1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θ2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r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弓头高度（mm）、两连杆长度（mm）、两臂角度（°）与角度比例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Kp/Ki/Kd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Kc/Ti/Td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PID 增益；IMC-PI 增益与积分时间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K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T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L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对象增益、时间常数（s）、纯滞后（s）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λ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IMC 可调参数（s）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u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r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y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误差、控制输出、设定值、测量值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δ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不完全微分滤波系数、积分分离阈值系数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roc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W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变化率、变化率统计窗口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staleMs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badMs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数据陈旧与失效判定阈值（ms）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MTTR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平均修复时间（min）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FOPDT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一阶惯性加纯滞后模型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IMC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内模控制（Internal Model Control）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Z-N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Ziegler-Nichols 整定法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FC03 / FC16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Modbus 读保持寄存器 / 写多个保持寄存器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13 参考文档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文档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平台使用操作手册.md/.docx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安装、配置、三种运行模式、日常操作、排错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一线检修速查卡.docx/.pdf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现场告警处置与故障速查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开发者二次开发指南.md/.docx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新增通道/告警规则/摄像头接入/v2 集成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UPGRADE.md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v2 升级需求对照与测试结果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PLC接入操作手册.md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接线、AutoShop、寄存器与联调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云服务器部署方案.md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部署、隧道、视频回传与成本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版本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日期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2026-09-12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首版：技术栈分层、控制/告警/链路/运维模型公式、公式速查与参数默认值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