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Timanti — Document Serialization</w:t>
      </w:r>
    </w:p>
    <w:p>
      <w:pPr>
        <w:pStyle w:val="Subtitle"/>
      </w:pPr>
      <w:r>
        <w:t xml:space="preserve">How every business document gets its number: customer orders, paid and free services, B2B, delivery challans, memos, POs, vouchers and exchange notes. Written against the code as it stands on 14 August 2026.</w:t>
      </w:r>
    </w:p>
    <w:p>
      <w:pPr>
        <w:pStyle w:val="Heading1"/>
      </w:pPr>
      <w:r>
        <w:t xml:space="preserve">1. The model in one page</w:t>
      </w:r>
    </w:p>
    <w:p>
      <w:r>
        <w:t xml:space="preserve">Three things hold a serial. They must agree, and every recovery procedure exists to bring them back into agreement.</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1900"/>
        <w:gridCol w:w="4600"/>
        <w:gridCol w:w="3000"/>
      </w:tblGrid>
      <w:tr>
        <w:trPr>
          <w:tblHeader/>
        </w:trPr>
        <w:tc>
          <w:tcPr>
            <w:tcW w:w="1900" w:type="dxa"/>
            <w:shd w:val="clear" w:fill="1F2937"/>
            <w:vAlign w:val="center"/>
          </w:tcPr>
          <w:p>
            <w:pPr>
              <w:spacing w:before="40" w:after="40"/>
            </w:pPr>
            <w:r>
              <w:rPr>
                <w:b/>
                <w:color w:val="FFFFFF"/>
              </w:rPr>
              <w:t xml:space="preserve">Where</w:t>
            </w:r>
          </w:p>
        </w:tc>
        <w:tc>
          <w:tcPr>
            <w:tcW w:w="4600" w:type="dxa"/>
            <w:shd w:val="clear" w:fill="1F2937"/>
            <w:vAlign w:val="center"/>
          </w:tcPr>
          <w:p>
            <w:pPr>
              <w:spacing w:before="40" w:after="40"/>
            </w:pPr>
            <w:r>
              <w:rPr>
                <w:b/>
                <w:color w:val="FFFFFF"/>
              </w:rPr>
              <w:t xml:space="preserve">What it holds</w:t>
            </w:r>
          </w:p>
        </w:tc>
        <w:tc>
          <w:tcPr>
            <w:tcW w:w="3000" w:type="dxa"/>
            <w:shd w:val="clear" w:fill="1F2937"/>
            <w:vAlign w:val="center"/>
          </w:tcPr>
          <w:p>
            <w:pPr>
              <w:spacing w:before="40" w:after="40"/>
            </w:pPr>
            <w:r>
              <w:rPr>
                <w:b/>
                <w:color w:val="FFFFFF"/>
              </w:rPr>
              <w:t xml:space="preserve">Authority</w:t>
            </w:r>
          </w:p>
        </w:tc>
      </w:tr>
      <w:tr>
        <w:tc>
          <w:tcPr>
            <w:tcW w:w="1900" w:type="dxa"/>
            <w:vAlign w:val="center"/>
          </w:tcPr>
          <w:p>
            <w:pPr>
              <w:spacing w:before="40" w:after="40"/>
            </w:pPr>
            <w:r>
              <w:t xml:space="preserve">Supabase serial_counters</w:t>
            </w:r>
          </w:p>
        </w:tc>
        <w:tc>
          <w:tcPr>
            <w:tcW w:w="4600" w:type="dxa"/>
            <w:vAlign w:val="center"/>
          </w:tcPr>
          <w:p>
            <w:pPr>
              <w:spacing w:before="40" w:after="40"/>
            </w:pPr>
            <w:r>
              <w:t xml:space="preserve">The current high-water number per (document type, counter key). Incremented only by the allocate_serial RPC.</w:t>
            </w:r>
          </w:p>
        </w:tc>
        <w:tc>
          <w:tcPr>
            <w:tcW w:w="3000" w:type="dxa"/>
            <w:vAlign w:val="center"/>
          </w:tcPr>
          <w:p>
            <w:pPr>
              <w:spacing w:before="40" w:after="40"/>
            </w:pPr>
            <w:r>
              <w:t xml:space="preserve">The allocator. Nothing else may increment it.</w:t>
            </w:r>
          </w:p>
        </w:tc>
      </w:tr>
      <w:tr>
        <w:tc>
          <w:tcPr>
            <w:tcW w:w="1900" w:type="dxa"/>
            <w:shd w:val="clear" w:fill="F3F4F6"/>
            <w:vAlign w:val="center"/>
          </w:tcPr>
          <w:p>
            <w:pPr>
              <w:spacing w:before="40" w:after="40"/>
            </w:pPr>
            <w:r>
              <w:t xml:space="preserve">Supabase serial_ledger</w:t>
            </w:r>
          </w:p>
        </w:tc>
        <w:tc>
          <w:tcPr>
            <w:tcW w:w="4600" w:type="dxa"/>
            <w:shd w:val="clear" w:fill="F3F4F6"/>
            <w:vAlign w:val="center"/>
          </w:tcPr>
          <w:p>
            <w:pPr>
              <w:spacing w:before="40" w:after="40"/>
            </w:pPr>
            <w:r>
              <w:t xml:space="preserve">One row per document: doc_type, store_code, seq, serial_code, resource, status. Unique on (doc_type, resource_id).</w:t>
            </w:r>
          </w:p>
        </w:tc>
        <w:tc>
          <w:tcPr>
            <w:tcW w:w="3000" w:type="dxa"/>
            <w:shd w:val="clear" w:fill="F3F4F6"/>
            <w:vAlign w:val="center"/>
          </w:tcPr>
          <w:p>
            <w:pPr>
              <w:spacing w:before="40" w:after="40"/>
            </w:pPr>
            <w:r>
              <w:t xml:space="preserve">The register. What was issued, to what, and whether it is still live.</w:t>
            </w:r>
          </w:p>
        </w:tc>
      </w:tr>
      <w:tr>
        <w:tc>
          <w:tcPr>
            <w:tcW w:w="1900" w:type="dxa"/>
            <w:vAlign w:val="center"/>
          </w:tcPr>
          <w:p>
            <w:pPr>
              <w:spacing w:before="40" w:after="40"/>
            </w:pPr>
            <w:r>
              <w:t xml:space="preserve">Shopify metafields (custom)</w:t>
            </w:r>
          </w:p>
        </w:tc>
        <w:tc>
          <w:tcPr>
            <w:tcW w:w="4600" w:type="dxa"/>
            <w:vAlign w:val="center"/>
          </w:tcPr>
          <w:p>
            <w:pPr>
              <w:spacing w:before="40" w:after="40"/>
            </w:pPr>
            <w:r>
              <w:t xml:space="preserve">document_type, state_code, serial_no, serial_code, serial_display</w:t>
            </w:r>
          </w:p>
        </w:tc>
        <w:tc>
          <w:tcPr>
            <w:tcW w:w="3000" w:type="dxa"/>
            <w:vAlign w:val="center"/>
          </w:tcPr>
          <w:p>
            <w:pPr>
              <w:spacing w:before="40" w:after="40"/>
            </w:pPr>
            <w:r>
              <w:t xml:space="preserve">The display copy. What staff and the invoice see.</w:t>
            </w:r>
          </w:p>
        </w:tc>
      </w:tr>
    </w:tbl>
    <w:p>
      <w:pPr>
        <w:spacing w:after="0"/>
      </w:pPr>
    </w:p>
    <w:p>
      <w:r>
        <w:t xml:space="preserve">A number is allocated once, recorded in the ledger, then mirrored onto Shopify. If the mirror fails the ledger still holds the truth — which is why restamp-from-ledger exists.</w:t>
      </w:r>
    </w:p>
    <w:p>
      <w:pPr>
        <w:pStyle w:val="Heading1"/>
      </w:pPr>
      <w:r>
        <w:t xml:space="preserve">2. The document types</w:t>
      </w:r>
    </w:p>
    <w:p>
      <w:r>
        <w:t xml:space="preserve">This is the DEFAULT_REGISTRY in src/modules/serialization/index.js. It can be overridden at runtime by the Supabase config row serial_registry, which is merged over these defaults and cached for 5 minutes — new document types or stores need no code change.</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1750"/>
        <w:gridCol w:w="3550"/>
        <w:gridCol w:w="1900"/>
        <w:gridCol w:w="1750"/>
        <w:gridCol w:w="700"/>
      </w:tblGrid>
      <w:tr>
        <w:trPr>
          <w:tblHeader/>
        </w:trPr>
        <w:tc>
          <w:tcPr>
            <w:tcW w:w="1750" w:type="dxa"/>
            <w:shd w:val="clear" w:fill="1F2937"/>
            <w:vAlign w:val="center"/>
          </w:tcPr>
          <w:p>
            <w:pPr>
              <w:spacing w:before="40" w:after="40"/>
            </w:pPr>
            <w:r>
              <w:rPr>
                <w:b/>
                <w:color w:val="FFFFFF"/>
              </w:rPr>
              <w:t xml:space="preserve">Type</w:t>
            </w:r>
          </w:p>
        </w:tc>
        <w:tc>
          <w:tcPr>
            <w:tcW w:w="3550" w:type="dxa"/>
            <w:shd w:val="clear" w:fill="1F2937"/>
            <w:vAlign w:val="center"/>
          </w:tcPr>
          <w:p>
            <w:pPr>
              <w:spacing w:before="40" w:after="40"/>
            </w:pPr>
            <w:r>
              <w:rPr>
                <w:b/>
                <w:color w:val="FFFFFF"/>
              </w:rPr>
              <w:t xml:space="preserve">What it is</w:t>
            </w:r>
          </w:p>
        </w:tc>
        <w:tc>
          <w:tcPr>
            <w:tcW w:w="1900" w:type="dxa"/>
            <w:shd w:val="clear" w:fill="1F2937"/>
            <w:vAlign w:val="center"/>
          </w:tcPr>
          <w:p>
            <w:pPr>
              <w:spacing w:before="40" w:after="40"/>
            </w:pPr>
            <w:r>
              <w:rPr>
                <w:b/>
                <w:color w:val="FFFFFF"/>
              </w:rPr>
              <w:t xml:space="preserve">Format</w:t>
            </w:r>
          </w:p>
        </w:tc>
        <w:tc>
          <w:tcPr>
            <w:tcW w:w="1750" w:type="dxa"/>
            <w:shd w:val="clear" w:fill="1F2937"/>
            <w:vAlign w:val="center"/>
          </w:tcPr>
          <w:p>
            <w:pPr>
              <w:spacing w:before="40" w:after="40"/>
            </w:pPr>
            <w:r>
              <w:rPr>
                <w:b/>
                <w:color w:val="FFFFFF"/>
              </w:rPr>
              <w:t xml:space="preserve">Example</w:t>
            </w:r>
          </w:p>
        </w:tc>
        <w:tc>
          <w:tcPr>
            <w:tcW w:w="700" w:type="dxa"/>
            <w:shd w:val="clear" w:fill="1F2937"/>
            <w:vAlign w:val="center"/>
          </w:tcPr>
          <w:p>
            <w:pPr>
              <w:spacing w:before="40" w:after="40"/>
            </w:pPr>
            <w:r>
              <w:rPr>
                <w:b/>
                <w:color w:val="FFFFFF"/>
              </w:rPr>
              <w:t xml:space="preserve">FY reset</w:t>
            </w:r>
          </w:p>
        </w:tc>
      </w:tr>
      <w:tr>
        <w:tc>
          <w:tcPr>
            <w:tcW w:w="1750" w:type="dxa"/>
            <w:vAlign w:val="center"/>
          </w:tcPr>
          <w:p>
            <w:pPr>
              <w:spacing w:before="40" w:after="40"/>
            </w:pPr>
            <w:r>
              <w:t xml:space="preserve">customer_order</w:t>
            </w:r>
          </w:p>
        </w:tc>
        <w:tc>
          <w:tcPr>
            <w:tcW w:w="3550" w:type="dxa"/>
            <w:vAlign w:val="center"/>
          </w:tcPr>
          <w:p>
            <w:pPr>
              <w:spacing w:before="40" w:after="40"/>
            </w:pPr>
            <w:r>
              <w:t xml:space="preserve">B2C product order (the tax invoice series)</w:t>
            </w:r>
          </w:p>
        </w:tc>
        <w:tc>
          <w:tcPr>
            <w:tcW w:w="1900" w:type="dxa"/>
            <w:vAlign w:val="center"/>
          </w:tcPr>
          <w:p>
            <w:pPr>
              <w:spacing w:before="40" w:after="40"/>
            </w:pPr>
            <w:r>
              <w:t xml:space="preserve">TM{FY}-{CODE}-{SEQ}</w:t>
            </w:r>
          </w:p>
        </w:tc>
        <w:tc>
          <w:tcPr>
            <w:tcW w:w="1750" w:type="dxa"/>
            <w:vAlign w:val="center"/>
          </w:tcPr>
          <w:p>
            <w:pPr>
              <w:spacing w:before="40" w:after="40"/>
            </w:pPr>
            <w:r>
              <w:t xml:space="preserve">TM27-KAHSR-00001</w:t>
            </w:r>
          </w:p>
        </w:tc>
        <w:tc>
          <w:tcPr>
            <w:tcW w:w="700" w:type="dxa"/>
            <w:vAlign w:val="center"/>
          </w:tcPr>
          <w:p>
            <w:pPr>
              <w:spacing w:before="40" w:after="40"/>
            </w:pPr>
            <w:r>
              <w:t xml:space="preserve">Yes</w:t>
            </w:r>
          </w:p>
        </w:tc>
      </w:tr>
      <w:tr>
        <w:tc>
          <w:tcPr>
            <w:tcW w:w="1750" w:type="dxa"/>
            <w:shd w:val="clear" w:fill="F3F4F6"/>
            <w:vAlign w:val="center"/>
          </w:tcPr>
          <w:p>
            <w:pPr>
              <w:spacing w:before="40" w:after="40"/>
            </w:pPr>
            <w:r>
              <w:t xml:space="preserve">customer_service</w:t>
            </w:r>
          </w:p>
        </w:tc>
        <w:tc>
          <w:tcPr>
            <w:tcW w:w="3550" w:type="dxa"/>
            <w:shd w:val="clear" w:fill="F3F4F6"/>
            <w:vAlign w:val="center"/>
          </w:tcPr>
          <w:p>
            <w:pPr>
              <w:spacing w:before="40" w:after="40"/>
            </w:pPr>
            <w:r>
              <w:t xml:space="preserve">B2C PAID service order — repairs and CAD/design share ONE counter</w:t>
            </w:r>
          </w:p>
        </w:tc>
        <w:tc>
          <w:tcPr>
            <w:tcW w:w="1900" w:type="dxa"/>
            <w:shd w:val="clear" w:fill="F3F4F6"/>
            <w:vAlign w:val="center"/>
          </w:tcPr>
          <w:p>
            <w:pPr>
              <w:spacing w:before="40" w:after="40"/>
            </w:pPr>
            <w:r>
              <w:t xml:space="preserve">TS{FY}-{CODE}-{SEQ}</w:t>
            </w:r>
          </w:p>
        </w:tc>
        <w:tc>
          <w:tcPr>
            <w:tcW w:w="1750" w:type="dxa"/>
            <w:shd w:val="clear" w:fill="F3F4F6"/>
            <w:vAlign w:val="center"/>
          </w:tcPr>
          <w:p>
            <w:pPr>
              <w:spacing w:before="40" w:after="40"/>
            </w:pPr>
            <w:r>
              <w:t xml:space="preserve">TS27-KAHSR-00001</w:t>
            </w:r>
          </w:p>
        </w:tc>
        <w:tc>
          <w:tcPr>
            <w:tcW w:w="700" w:type="dxa"/>
            <w:shd w:val="clear" w:fill="F3F4F6"/>
            <w:vAlign w:val="center"/>
          </w:tcPr>
          <w:p>
            <w:pPr>
              <w:spacing w:before="40" w:after="40"/>
            </w:pPr>
            <w:r>
              <w:t xml:space="preserve">Yes</w:t>
            </w:r>
          </w:p>
        </w:tc>
      </w:tr>
      <w:tr>
        <w:tc>
          <w:tcPr>
            <w:tcW w:w="1750" w:type="dxa"/>
            <w:vAlign w:val="center"/>
          </w:tcPr>
          <w:p>
            <w:pPr>
              <w:spacing w:before="40" w:after="40"/>
            </w:pPr>
            <w:r>
              <w:t xml:space="preserve">free_service</w:t>
            </w:r>
          </w:p>
        </w:tc>
        <w:tc>
          <w:tcPr>
            <w:tcW w:w="3550" w:type="dxa"/>
            <w:vAlign w:val="center"/>
          </w:tcPr>
          <w:p>
            <w:pPr>
              <w:spacing w:before="40" w:after="40"/>
            </w:pPr>
            <w:r>
              <w:t xml:space="preserve">Complimentary / warranty repair — its own counter so free work never consumes a paid number</w:t>
            </w:r>
          </w:p>
        </w:tc>
        <w:tc>
          <w:tcPr>
            <w:tcW w:w="1900" w:type="dxa"/>
            <w:vAlign w:val="center"/>
          </w:tcPr>
          <w:p>
            <w:pPr>
              <w:spacing w:before="40" w:after="40"/>
            </w:pPr>
            <w:r>
              <w:t xml:space="preserve">FS{FY}-{CODE}-{SEQ}</w:t>
            </w:r>
          </w:p>
        </w:tc>
        <w:tc>
          <w:tcPr>
            <w:tcW w:w="1750" w:type="dxa"/>
            <w:vAlign w:val="center"/>
          </w:tcPr>
          <w:p>
            <w:pPr>
              <w:spacing w:before="40" w:after="40"/>
            </w:pPr>
            <w:r>
              <w:t xml:space="preserve">FS27-KAHSR-00001</w:t>
            </w:r>
          </w:p>
        </w:tc>
        <w:tc>
          <w:tcPr>
            <w:tcW w:w="700" w:type="dxa"/>
            <w:vAlign w:val="center"/>
          </w:tcPr>
          <w:p>
            <w:pPr>
              <w:spacing w:before="40" w:after="40"/>
            </w:pPr>
            <w:r>
              <w:t xml:space="preserve">Yes</w:t>
            </w:r>
          </w:p>
        </w:tc>
      </w:tr>
      <w:tr>
        <w:tc>
          <w:tcPr>
            <w:tcW w:w="1750" w:type="dxa"/>
            <w:shd w:val="clear" w:fill="F3F4F6"/>
            <w:vAlign w:val="center"/>
          </w:tcPr>
          <w:p>
            <w:pPr>
              <w:spacing w:before="40" w:after="40"/>
            </w:pPr>
            <w:r>
              <w:t xml:space="preserve">b2b</w:t>
            </w:r>
          </w:p>
        </w:tc>
        <w:tc>
          <w:tcPr>
            <w:tcW w:w="3550" w:type="dxa"/>
            <w:shd w:val="clear" w:fill="F3F4F6"/>
            <w:vAlign w:val="center"/>
          </w:tcPr>
          <w:p>
            <w:pPr>
              <w:spacing w:before="40" w:after="40"/>
            </w:pPr>
            <w:r>
              <w:t xml:space="preserve">B2B tax invoice. Inter-store transfer and B2B sale are the SAME document type and the same counter</w:t>
            </w:r>
          </w:p>
        </w:tc>
        <w:tc>
          <w:tcPr>
            <w:tcW w:w="1900" w:type="dxa"/>
            <w:shd w:val="clear" w:fill="F3F4F6"/>
            <w:vAlign w:val="center"/>
          </w:tcPr>
          <w:p>
            <w:pPr>
              <w:spacing w:before="40" w:after="40"/>
            </w:pPr>
            <w:r>
              <w:t xml:space="preserve">AURA-{CODE}-{SEQ}</w:t>
            </w:r>
          </w:p>
        </w:tc>
        <w:tc>
          <w:tcPr>
            <w:tcW w:w="1750" w:type="dxa"/>
            <w:shd w:val="clear" w:fill="F3F4F6"/>
            <w:vAlign w:val="center"/>
          </w:tcPr>
          <w:p>
            <w:pPr>
              <w:spacing w:before="40" w:after="40"/>
            </w:pPr>
            <w:r>
              <w:t xml:space="preserve">AURA-KAHSR-0001</w:t>
            </w:r>
          </w:p>
        </w:tc>
        <w:tc>
          <w:tcPr>
            <w:tcW w:w="700" w:type="dxa"/>
            <w:shd w:val="clear" w:fill="F3F4F6"/>
            <w:vAlign w:val="center"/>
          </w:tcPr>
          <w:p>
            <w:pPr>
              <w:spacing w:before="40" w:after="40"/>
            </w:pPr>
            <w:r>
              <w:t xml:space="preserve">No</w:t>
            </w:r>
          </w:p>
        </w:tc>
      </w:tr>
      <w:tr>
        <w:tc>
          <w:tcPr>
            <w:tcW w:w="1750" w:type="dxa"/>
            <w:vAlign w:val="center"/>
          </w:tcPr>
          <w:p>
            <w:pPr>
              <w:spacing w:before="40" w:after="40"/>
            </w:pPr>
            <w:r>
              <w:t xml:space="preserve">delivery_challan</w:t>
            </w:r>
          </w:p>
        </w:tc>
        <w:tc>
          <w:tcPr>
            <w:tcW w:w="3550" w:type="dxa"/>
            <w:vAlign w:val="center"/>
          </w:tcPr>
          <w:p>
            <w:pPr>
              <w:spacing w:before="40" w:after="40"/>
            </w:pPr>
            <w:r>
              <w:t xml:space="preserve">Delivery challan (formerly "memo"). Origin store only in the number; destination lives in custom.delivery_code</w:t>
            </w:r>
          </w:p>
        </w:tc>
        <w:tc>
          <w:tcPr>
            <w:tcW w:w="1900" w:type="dxa"/>
            <w:vAlign w:val="center"/>
          </w:tcPr>
          <w:p>
            <w:pPr>
              <w:spacing w:before="40" w:after="40"/>
            </w:pPr>
            <w:r>
              <w:t xml:space="preserve">DC-{CODE}-{SEQ}</w:t>
            </w:r>
          </w:p>
        </w:tc>
        <w:tc>
          <w:tcPr>
            <w:tcW w:w="1750" w:type="dxa"/>
            <w:vAlign w:val="center"/>
          </w:tcPr>
          <w:p>
            <w:pPr>
              <w:spacing w:before="40" w:after="40"/>
            </w:pPr>
            <w:r>
              <w:t xml:space="preserve">DC-KAHSR-0001</w:t>
            </w:r>
          </w:p>
        </w:tc>
        <w:tc>
          <w:tcPr>
            <w:tcW w:w="700" w:type="dxa"/>
            <w:vAlign w:val="center"/>
          </w:tcPr>
          <w:p>
            <w:pPr>
              <w:spacing w:before="40" w:after="40"/>
            </w:pPr>
            <w:r>
              <w:t xml:space="preserve">No</w:t>
            </w:r>
          </w:p>
        </w:tc>
      </w:tr>
      <w:tr>
        <w:tc>
          <w:tcPr>
            <w:tcW w:w="1750" w:type="dxa"/>
            <w:shd w:val="clear" w:fill="F3F4F6"/>
            <w:vAlign w:val="center"/>
          </w:tcPr>
          <w:p>
            <w:pPr>
              <w:spacing w:before="40" w:after="40"/>
            </w:pPr>
            <w:r>
              <w:t xml:space="preserve">memo_custom</w:t>
            </w:r>
          </w:p>
        </w:tc>
        <w:tc>
          <w:tcPr>
            <w:tcW w:w="3550" w:type="dxa"/>
            <w:shd w:val="clear" w:fill="F3F4F6"/>
            <w:vAlign w:val="center"/>
          </w:tcPr>
          <w:p>
            <w:pPr>
              <w:spacing w:before="40" w:after="40"/>
            </w:pPr>
            <w:r>
              <w:t xml:space="preserve">Custom-priced memo (make-memo-custom): full gold + making, 50% of diamond</w:t>
            </w:r>
          </w:p>
        </w:tc>
        <w:tc>
          <w:tcPr>
            <w:tcW w:w="1900" w:type="dxa"/>
            <w:shd w:val="clear" w:fill="F3F4F6"/>
            <w:vAlign w:val="center"/>
          </w:tcPr>
          <w:p>
            <w:pPr>
              <w:spacing w:before="40" w:after="40"/>
            </w:pPr>
            <w:r>
              <w:t xml:space="preserve">MEMO-{CODE}-{SEQ}</w:t>
            </w:r>
          </w:p>
        </w:tc>
        <w:tc>
          <w:tcPr>
            <w:tcW w:w="1750" w:type="dxa"/>
            <w:shd w:val="clear" w:fill="F3F4F6"/>
            <w:vAlign w:val="center"/>
          </w:tcPr>
          <w:p>
            <w:pPr>
              <w:spacing w:before="40" w:after="40"/>
            </w:pPr>
            <w:r>
              <w:t xml:space="preserve">MEMO-KAHSR-0001</w:t>
            </w:r>
          </w:p>
        </w:tc>
        <w:tc>
          <w:tcPr>
            <w:tcW w:w="700" w:type="dxa"/>
            <w:shd w:val="clear" w:fill="F3F4F6"/>
            <w:vAlign w:val="center"/>
          </w:tcPr>
          <w:p>
            <w:pPr>
              <w:spacing w:before="40" w:after="40"/>
            </w:pPr>
            <w:r>
              <w:t xml:space="preserve">No</w:t>
            </w:r>
          </w:p>
        </w:tc>
      </w:tr>
      <w:tr>
        <w:tc>
          <w:tcPr>
            <w:tcW w:w="1750" w:type="dxa"/>
            <w:vAlign w:val="center"/>
          </w:tcPr>
          <w:p>
            <w:pPr>
              <w:spacing w:before="40" w:after="40"/>
            </w:pPr>
            <w:r>
              <w:t xml:space="preserve">po</w:t>
            </w:r>
          </w:p>
        </w:tc>
        <w:tc>
          <w:tcPr>
            <w:tcW w:w="3550" w:type="dxa"/>
            <w:vAlign w:val="center"/>
          </w:tcPr>
          <w:p>
            <w:pPr>
              <w:spacing w:before="40" w:after="40"/>
            </w:pPr>
            <w:r>
              <w:t xml:space="preserve">Purchase order</w:t>
            </w:r>
          </w:p>
        </w:tc>
        <w:tc>
          <w:tcPr>
            <w:tcW w:w="1900" w:type="dxa"/>
            <w:vAlign w:val="center"/>
          </w:tcPr>
          <w:p>
            <w:pPr>
              <w:spacing w:before="40" w:after="40"/>
            </w:pPr>
            <w:r>
              <w:t xml:space="preserve">PO-{CODE}-{SEQ}</w:t>
            </w:r>
          </w:p>
        </w:tc>
        <w:tc>
          <w:tcPr>
            <w:tcW w:w="1750" w:type="dxa"/>
            <w:vAlign w:val="center"/>
          </w:tcPr>
          <w:p>
            <w:pPr>
              <w:spacing w:before="40" w:after="40"/>
            </w:pPr>
            <w:r>
              <w:t xml:space="preserve">PO-KAHSR-00001</w:t>
            </w:r>
          </w:p>
        </w:tc>
        <w:tc>
          <w:tcPr>
            <w:tcW w:w="700" w:type="dxa"/>
            <w:vAlign w:val="center"/>
          </w:tcPr>
          <w:p>
            <w:pPr>
              <w:spacing w:before="40" w:after="40"/>
            </w:pPr>
            <w:r>
              <w:t xml:space="preserve">No</w:t>
            </w:r>
          </w:p>
        </w:tc>
      </w:tr>
      <w:tr>
        <w:tc>
          <w:tcPr>
            <w:tcW w:w="1750" w:type="dxa"/>
            <w:shd w:val="clear" w:fill="F3F4F6"/>
            <w:vAlign w:val="center"/>
          </w:tcPr>
          <w:p>
            <w:pPr>
              <w:spacing w:before="40" w:after="40"/>
            </w:pPr>
            <w:r>
              <w:t xml:space="preserve">voucher</w:t>
            </w:r>
          </w:p>
        </w:tc>
        <w:tc>
          <w:tcPr>
            <w:tcW w:w="3550" w:type="dxa"/>
            <w:shd w:val="clear" w:fill="F3F4F6"/>
            <w:vAlign w:val="center"/>
          </w:tcPr>
          <w:p>
            <w:pPr>
              <w:spacing w:before="40" w:after="40"/>
            </w:pPr>
            <w:r>
              <w:t xml:space="preserve">Credit voucher</w:t>
            </w:r>
          </w:p>
        </w:tc>
        <w:tc>
          <w:tcPr>
            <w:tcW w:w="1900" w:type="dxa"/>
            <w:shd w:val="clear" w:fill="F3F4F6"/>
            <w:vAlign w:val="center"/>
          </w:tcPr>
          <w:p>
            <w:pPr>
              <w:spacing w:before="40" w:after="40"/>
            </w:pPr>
            <w:r>
              <w:t xml:space="preserve">VCH{FY}-{CODE}-{SEQ}</w:t>
            </w:r>
          </w:p>
        </w:tc>
        <w:tc>
          <w:tcPr>
            <w:tcW w:w="1750" w:type="dxa"/>
            <w:shd w:val="clear" w:fill="F3F4F6"/>
            <w:vAlign w:val="center"/>
          </w:tcPr>
          <w:p>
            <w:pPr>
              <w:spacing w:before="40" w:after="40"/>
            </w:pPr>
            <w:r>
              <w:t xml:space="preserve">VCH27-KAHSR-0001</w:t>
            </w:r>
          </w:p>
        </w:tc>
        <w:tc>
          <w:tcPr>
            <w:tcW w:w="700" w:type="dxa"/>
            <w:shd w:val="clear" w:fill="F3F4F6"/>
            <w:vAlign w:val="center"/>
          </w:tcPr>
          <w:p>
            <w:pPr>
              <w:spacing w:before="40" w:after="40"/>
            </w:pPr>
            <w:r>
              <w:t xml:space="preserve">Yes</w:t>
            </w:r>
          </w:p>
        </w:tc>
      </w:tr>
      <w:tr>
        <w:tc>
          <w:tcPr>
            <w:tcW w:w="1750" w:type="dxa"/>
            <w:vAlign w:val="center"/>
          </w:tcPr>
          <w:p>
            <w:pPr>
              <w:spacing w:before="40" w:after="40"/>
            </w:pPr>
            <w:r>
              <w:t xml:space="preserve">exchange_note</w:t>
            </w:r>
          </w:p>
        </w:tc>
        <w:tc>
          <w:tcPr>
            <w:tcW w:w="3550" w:type="dxa"/>
            <w:vAlign w:val="center"/>
          </w:tcPr>
          <w:p>
            <w:pPr>
              <w:spacing w:before="40" w:after="40"/>
            </w:pPr>
            <w:r>
              <w:t xml:space="preserve">Exchange note</w:t>
            </w:r>
          </w:p>
        </w:tc>
        <w:tc>
          <w:tcPr>
            <w:tcW w:w="1900" w:type="dxa"/>
            <w:vAlign w:val="center"/>
          </w:tcPr>
          <w:p>
            <w:pPr>
              <w:spacing w:before="40" w:after="40"/>
            </w:pPr>
            <w:r>
              <w:t xml:space="preserve">EXC{FY}-{CODE}-{SEQ}</w:t>
            </w:r>
          </w:p>
        </w:tc>
        <w:tc>
          <w:tcPr>
            <w:tcW w:w="1750" w:type="dxa"/>
            <w:vAlign w:val="center"/>
          </w:tcPr>
          <w:p>
            <w:pPr>
              <w:spacing w:before="40" w:after="40"/>
            </w:pPr>
            <w:r>
              <w:t xml:space="preserve">EXC27-KAHSR-0001</w:t>
            </w:r>
          </w:p>
        </w:tc>
        <w:tc>
          <w:tcPr>
            <w:tcW w:w="700" w:type="dxa"/>
            <w:vAlign w:val="center"/>
          </w:tcPr>
          <w:p>
            <w:pPr>
              <w:spacing w:before="40" w:after="40"/>
            </w:pPr>
            <w:r>
              <w:t xml:space="preserve">Yes</w:t>
            </w:r>
          </w:p>
        </w:tc>
      </w:tr>
    </w:tbl>
    <w:p>
      <w:pPr>
        <w:spacing w:after="0"/>
      </w:pPr>
    </w:p>
    <w:p>
      <w:r>
        <w:t xml:space="preserve">Every type above is store-scoped. The registry also supports a global scope, which keys the counter to the sentinel ALL and drops {CODE} from the format; nothing uses it today.</w:t>
      </w:r>
    </w:p>
    <w:p>
      <w:pPr>
        <w:pStyle w:val="Heading1"/>
      </w:pPr>
      <w:r>
        <w:t xml:space="preserve">3. Store code and financial year</w:t>
      </w:r>
    </w:p>
    <w:p>
      <w:pPr>
        <w:pStyle w:val="Heading2"/>
      </w:pPr>
      <w:r>
        <w:t xml:space="preserve">The store code appears in three different shapes</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1900"/>
        <w:gridCol w:w="5300"/>
        <w:gridCol w:w="2300"/>
      </w:tblGrid>
      <w:tr>
        <w:trPr>
          <w:tblHeader/>
        </w:trPr>
        <w:tc>
          <w:tcPr>
            <w:tcW w:w="1900" w:type="dxa"/>
            <w:shd w:val="clear" w:fill="1F2937"/>
            <w:vAlign w:val="center"/>
          </w:tcPr>
          <w:p>
            <w:pPr>
              <w:spacing w:before="40" w:after="40"/>
            </w:pPr>
            <w:r>
              <w:rPr>
                <w:b/>
                <w:color w:val="FFFFFF"/>
              </w:rPr>
              <w:t xml:space="preserve">Shape</w:t>
            </w:r>
          </w:p>
        </w:tc>
        <w:tc>
          <w:tcPr>
            <w:tcW w:w="5300" w:type="dxa"/>
            <w:shd w:val="clear" w:fill="1F2937"/>
            <w:vAlign w:val="center"/>
          </w:tcPr>
          <w:p>
            <w:pPr>
              <w:spacing w:before="40" w:after="40"/>
            </w:pPr>
            <w:r>
              <w:rPr>
                <w:b/>
                <w:color w:val="FFFFFF"/>
              </w:rPr>
              <w:t xml:space="preserve">Where it is used</w:t>
            </w:r>
          </w:p>
        </w:tc>
        <w:tc>
          <w:tcPr>
            <w:tcW w:w="2300" w:type="dxa"/>
            <w:shd w:val="clear" w:fill="1F2937"/>
            <w:vAlign w:val="center"/>
          </w:tcPr>
          <w:p>
            <w:pPr>
              <w:spacing w:before="40" w:after="40"/>
            </w:pPr>
            <w:r>
              <w:rPr>
                <w:b/>
                <w:color w:val="FFFFFF"/>
              </w:rPr>
              <w:t xml:space="preserve">Example</w:t>
            </w:r>
          </w:p>
        </w:tc>
      </w:tr>
      <w:tr>
        <w:tc>
          <w:tcPr>
            <w:tcW w:w="1900" w:type="dxa"/>
            <w:vAlign w:val="center"/>
          </w:tcPr>
          <w:p>
            <w:pPr>
              <w:spacing w:before="40" w:after="40"/>
            </w:pPr>
            <w:r>
              <w:t xml:space="preserve">Hyphenated</w:t>
            </w:r>
          </w:p>
        </w:tc>
        <w:tc>
          <w:tcPr>
            <w:tcW w:w="5300" w:type="dxa"/>
            <w:vAlign w:val="center"/>
          </w:tcPr>
          <w:p>
            <w:pPr>
              <w:spacing w:before="40" w:after="40"/>
            </w:pPr>
            <w:r>
              <w:t xml:space="preserve">The staff-entered custom.state_code metafield — the place of supply</w:t>
            </w:r>
          </w:p>
        </w:tc>
        <w:tc>
          <w:tcPr>
            <w:tcW w:w="2300" w:type="dxa"/>
            <w:vAlign w:val="center"/>
          </w:tcPr>
          <w:p>
            <w:pPr>
              <w:spacing w:before="40" w:after="40"/>
            </w:pPr>
            <w:r>
              <w:t xml:space="preserve">KA-HSR</w:t>
            </w:r>
          </w:p>
        </w:tc>
      </w:tr>
      <w:tr>
        <w:tc>
          <w:tcPr>
            <w:tcW w:w="1900" w:type="dxa"/>
            <w:shd w:val="clear" w:fill="F3F4F6"/>
            <w:vAlign w:val="center"/>
          </w:tcPr>
          <w:p>
            <w:pPr>
              <w:spacing w:before="40" w:after="40"/>
            </w:pPr>
            <w:r>
              <w:t xml:space="preserve">Hyphen stripped</w:t>
            </w:r>
          </w:p>
        </w:tc>
        <w:tc>
          <w:tcPr>
            <w:tcW w:w="5300" w:type="dxa"/>
            <w:shd w:val="clear" w:fill="F3F4F6"/>
            <w:vAlign w:val="center"/>
          </w:tcPr>
          <w:p>
            <w:pPr>
              <w:spacing w:before="40" w:after="40"/>
            </w:pPr>
            <w:r>
              <w:t xml:space="preserve">Printed inside the serial itself</w:t>
            </w:r>
          </w:p>
        </w:tc>
        <w:tc>
          <w:tcPr>
            <w:tcW w:w="2300" w:type="dxa"/>
            <w:shd w:val="clear" w:fill="F3F4F6"/>
            <w:vAlign w:val="center"/>
          </w:tcPr>
          <w:p>
            <w:pPr>
              <w:spacing w:before="40" w:after="40"/>
            </w:pPr>
            <w:r>
              <w:t xml:space="preserve">KAHSR</w:t>
            </w:r>
          </w:p>
        </w:tc>
      </w:tr>
      <w:tr>
        <w:tc>
          <w:tcPr>
            <w:tcW w:w="1900" w:type="dxa"/>
            <w:vAlign w:val="center"/>
          </w:tcPr>
          <w:p>
            <w:pPr>
              <w:spacing w:before="40" w:after="40"/>
            </w:pPr>
            <w:r>
              <w:t xml:space="preserve">FY-folded</w:t>
            </w:r>
          </w:p>
        </w:tc>
        <w:tc>
          <w:tcPr>
            <w:tcW w:w="5300" w:type="dxa"/>
            <w:vAlign w:val="center"/>
          </w:tcPr>
          <w:p>
            <w:pPr>
              <w:spacing w:before="40" w:after="40"/>
            </w:pPr>
            <w:r>
              <w:t xml:space="preserve">The serial_counters key and serial_ledger.store_code, for FY-scoped types</w:t>
            </w:r>
          </w:p>
        </w:tc>
        <w:tc>
          <w:tcPr>
            <w:tcW w:w="2300" w:type="dxa"/>
            <w:vAlign w:val="center"/>
          </w:tcPr>
          <w:p>
            <w:pPr>
              <w:spacing w:before="40" w:after="40"/>
            </w:pPr>
            <w:r>
              <w:t xml:space="preserve">27|KA-HSR</w:t>
            </w:r>
          </w:p>
        </w:tc>
      </w:tr>
    </w:tbl>
    <w:p>
      <w:pPr>
        <w:spacing w:after="0"/>
      </w:pPr>
    </w:p>
    <w:p>
      <w:r>
        <w:t xml:space="preserve">The hyphen is dropped in the printed serial for a concrete reason: the GST tax-invoice series (customer_order, customer_service, free_service, b2b) is capped at 16 characters. Dropping it is what buys the 5-digit sequence. The brand token is trimmed to two letters (TM / TS / FS) for the same reason.</w:t>
      </w:r>
    </w:p>
    <w:p>
      <w:pPr>
        <w:pStyle w:val="Heading2"/>
      </w:pPr>
      <w:r>
        <w:t xml:space="preserve">The financial year</w:t>
      </w:r>
    </w:p>
    <w:p>
      <w:r>
        <w:t xml:space="preserve">India's financial year runs 1 April to 31 March. The serial carries the two-digit FY END, computed in IST regardless of server timezone and frozen into the number at mint time. FY 2026-27 prints as 27.</w:t>
      </w:r>
    </w:p>
    <w:p>
      <w:r>
        <w:t xml:space="preserve">For FY-scoped types the FY is folded into the counter key, which is what makes the sequence reset each year: TM27-KAHSR-00001 is a different counter from TM28-KAHSR-00001. Types with fy:false (b2b, delivery_challan, memo_custom, po) run one continuous sequence forever.</w:t>
      </w:r>
    </w:p>
    <w:p>
      <w:pPr>
        <w:pStyle w:val="Heading1"/>
      </w:pPr>
      <w:r>
        <w:t xml:space="preserve">4. When each number is minted</w:t>
      </w:r>
    </w:p>
    <w:p>
      <w:r>
        <w:t xml:space="preserve">This is the part that most often surprises. The trigger differs by type, and so does the resource the number lands on.</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1750"/>
        <w:gridCol w:w="4400"/>
        <w:gridCol w:w="1500"/>
        <w:gridCol w:w="1750"/>
      </w:tblGrid>
      <w:tr>
        <w:trPr>
          <w:tblHeader/>
        </w:trPr>
        <w:tc>
          <w:tcPr>
            <w:tcW w:w="1750" w:type="dxa"/>
            <w:shd w:val="clear" w:fill="1F2937"/>
            <w:vAlign w:val="center"/>
          </w:tcPr>
          <w:p>
            <w:pPr>
              <w:spacing w:before="40" w:after="40"/>
            </w:pPr>
            <w:r>
              <w:rPr>
                <w:b/>
                <w:color w:val="FFFFFF"/>
              </w:rPr>
              <w:t xml:space="preserve">Type</w:t>
            </w:r>
          </w:p>
        </w:tc>
        <w:tc>
          <w:tcPr>
            <w:tcW w:w="4400" w:type="dxa"/>
            <w:shd w:val="clear" w:fill="1F2937"/>
            <w:vAlign w:val="center"/>
          </w:tcPr>
          <w:p>
            <w:pPr>
              <w:spacing w:before="40" w:after="40"/>
            </w:pPr>
            <w:r>
              <w:rPr>
                <w:b/>
                <w:color w:val="FFFFFF"/>
              </w:rPr>
              <w:t xml:space="preserve">Trigger</w:t>
            </w:r>
          </w:p>
        </w:tc>
        <w:tc>
          <w:tcPr>
            <w:tcW w:w="1500" w:type="dxa"/>
            <w:shd w:val="clear" w:fill="1F2937"/>
            <w:vAlign w:val="center"/>
          </w:tcPr>
          <w:p>
            <w:pPr>
              <w:spacing w:before="40" w:after="40"/>
            </w:pPr>
            <w:r>
              <w:rPr>
                <w:b/>
                <w:color w:val="FFFFFF"/>
              </w:rPr>
              <w:t xml:space="preserve">Stamped on</w:t>
            </w:r>
          </w:p>
        </w:tc>
        <w:tc>
          <w:tcPr>
            <w:tcW w:w="1750" w:type="dxa"/>
            <w:shd w:val="clear" w:fill="1F2937"/>
            <w:vAlign w:val="center"/>
          </w:tcPr>
          <w:p>
            <w:pPr>
              <w:spacing w:before="40" w:after="40"/>
            </w:pPr>
            <w:r>
              <w:rPr>
                <w:b/>
                <w:color w:val="FFFFFF"/>
              </w:rPr>
              <w:t xml:space="preserve">Guard flag</w:t>
            </w:r>
          </w:p>
        </w:tc>
      </w:tr>
      <w:tr>
        <w:tc>
          <w:tcPr>
            <w:tcW w:w="1750" w:type="dxa"/>
            <w:vAlign w:val="center"/>
          </w:tcPr>
          <w:p>
            <w:pPr>
              <w:spacing w:before="40" w:after="40"/>
            </w:pPr>
            <w:r>
              <w:t xml:space="preserve">customer_order</w:t>
            </w:r>
          </w:p>
        </w:tc>
        <w:tc>
          <w:tcPr>
            <w:tcW w:w="4400" w:type="dxa"/>
            <w:vAlign w:val="center"/>
          </w:tcPr>
          <w:p>
            <w:pPr>
              <w:spacing w:before="40" w:after="40"/>
            </w:pPr>
            <w:r>
              <w:t xml:space="preserve">orders/create + orders/updated webhook → POST /api/serial/order-serial. Requires custom.state_code to already be on the ORDER, which arrives via the draft→order metafield copy at conversion.</w:t>
            </w:r>
          </w:p>
        </w:tc>
        <w:tc>
          <w:tcPr>
            <w:tcW w:w="1500" w:type="dxa"/>
            <w:vAlign w:val="center"/>
          </w:tcPr>
          <w:p>
            <w:pPr>
              <w:spacing w:before="40" w:after="40"/>
            </w:pPr>
            <w:r>
              <w:t xml:space="preserve">Order</w:t>
            </w:r>
          </w:p>
        </w:tc>
        <w:tc>
          <w:tcPr>
            <w:tcW w:w="1750" w:type="dxa"/>
            <w:vAlign w:val="center"/>
          </w:tcPr>
          <w:p>
            <w:pPr>
              <w:spacing w:before="40" w:after="40"/>
            </w:pPr>
            <w:r>
              <w:t xml:space="preserve">SERIAL_CUSTOMER_ORDER</w:t>
            </w:r>
          </w:p>
        </w:tc>
      </w:tr>
      <w:tr>
        <w:tc>
          <w:tcPr>
            <w:tcW w:w="1750" w:type="dxa"/>
            <w:shd w:val="clear" w:fill="F3F4F6"/>
            <w:vAlign w:val="center"/>
          </w:tcPr>
          <w:p>
            <w:pPr>
              <w:spacing w:before="40" w:after="40"/>
            </w:pPr>
            <w:r>
              <w:t xml:space="preserve">customer_service</w:t>
            </w:r>
          </w:p>
        </w:tc>
        <w:tc>
          <w:tcPr>
            <w:tcW w:w="4400" w:type="dxa"/>
            <w:shd w:val="clear" w:fill="F3F4F6"/>
            <w:vAlign w:val="center"/>
          </w:tcPr>
          <w:p>
            <w:pPr>
              <w:spacing w:before="40" w:after="40"/>
            </w:pPr>
            <w:r>
              <w:t xml:space="preserve">Repair marked COMPLETE (not at intake) → assignRepairSerial. Store code read from the DRAFT's custom.state_code.</w:t>
            </w:r>
          </w:p>
        </w:tc>
        <w:tc>
          <w:tcPr>
            <w:tcW w:w="1500" w:type="dxa"/>
            <w:shd w:val="clear" w:fill="F3F4F6"/>
            <w:vAlign w:val="center"/>
          </w:tcPr>
          <w:p>
            <w:pPr>
              <w:spacing w:before="40" w:after="40"/>
            </w:pPr>
            <w:r>
              <w:t xml:space="preserve">Draft order</w:t>
            </w:r>
          </w:p>
        </w:tc>
        <w:tc>
          <w:tcPr>
            <w:tcW w:w="1750" w:type="dxa"/>
            <w:shd w:val="clear" w:fill="F3F4F6"/>
            <w:vAlign w:val="center"/>
          </w:tcPr>
          <w:p>
            <w:pPr>
              <w:spacing w:before="40" w:after="40"/>
            </w:pPr>
            <w:r>
              <w:t xml:space="preserve">SERIAL_REPAIR</w:t>
            </w:r>
          </w:p>
        </w:tc>
      </w:tr>
      <w:tr>
        <w:tc>
          <w:tcPr>
            <w:tcW w:w="1750" w:type="dxa"/>
            <w:vAlign w:val="center"/>
          </w:tcPr>
          <w:p>
            <w:pPr>
              <w:spacing w:before="40" w:after="40"/>
            </w:pPr>
            <w:r>
              <w:t xml:space="preserve">free_service</w:t>
            </w:r>
          </w:p>
        </w:tc>
        <w:tc>
          <w:tcPr>
            <w:tcW w:w="4400" w:type="dxa"/>
            <w:vAlign w:val="center"/>
          </w:tcPr>
          <w:p>
            <w:pPr>
              <w:spacing w:before="40" w:after="40"/>
            </w:pPr>
            <w:r>
              <w:t xml:space="preserve">Same completion trigger, routed here when the draft carries repair-free or free-repair.</w:t>
            </w:r>
          </w:p>
        </w:tc>
        <w:tc>
          <w:tcPr>
            <w:tcW w:w="1500" w:type="dxa"/>
            <w:vAlign w:val="center"/>
          </w:tcPr>
          <w:p>
            <w:pPr>
              <w:spacing w:before="40" w:after="40"/>
            </w:pPr>
            <w:r>
              <w:t xml:space="preserve">Draft order</w:t>
            </w:r>
          </w:p>
        </w:tc>
        <w:tc>
          <w:tcPr>
            <w:tcW w:w="1750" w:type="dxa"/>
            <w:vAlign w:val="center"/>
          </w:tcPr>
          <w:p>
            <w:pPr>
              <w:spacing w:before="40" w:after="40"/>
            </w:pPr>
            <w:r>
              <w:t xml:space="preserve">SERIAL_REPAIR</w:t>
            </w:r>
          </w:p>
        </w:tc>
      </w:tr>
      <w:tr>
        <w:tc>
          <w:tcPr>
            <w:tcW w:w="1750" w:type="dxa"/>
            <w:shd w:val="clear" w:fill="F3F4F6"/>
            <w:vAlign w:val="center"/>
          </w:tcPr>
          <w:p>
            <w:pPr>
              <w:spacing w:before="40" w:after="40"/>
            </w:pPr>
            <w:r>
              <w:t xml:space="preserve">delivery_challan</w:t>
            </w:r>
          </w:p>
        </w:tc>
        <w:tc>
          <w:tcPr>
            <w:tcW w:w="4400" w:type="dxa"/>
            <w:shd w:val="clear" w:fill="F3F4F6"/>
            <w:vAlign w:val="center"/>
          </w:tcPr>
          <w:p>
            <w:pPr>
              <w:spacing w:before="40" w:after="40"/>
            </w:pPr>
            <w:r>
              <w:t xml:space="preserve">Draft tag make-challan</w:t>
            </w:r>
          </w:p>
        </w:tc>
        <w:tc>
          <w:tcPr>
            <w:tcW w:w="1500" w:type="dxa"/>
            <w:shd w:val="clear" w:fill="F3F4F6"/>
            <w:vAlign w:val="center"/>
          </w:tcPr>
          <w:p>
            <w:pPr>
              <w:spacing w:before="40" w:after="40"/>
            </w:pPr>
            <w:r>
              <w:t xml:space="preserve">Draft order</w:t>
            </w:r>
          </w:p>
        </w:tc>
        <w:tc>
          <w:tcPr>
            <w:tcW w:w="1750" w:type="dxa"/>
            <w:shd w:val="clear" w:fill="F3F4F6"/>
            <w:vAlign w:val="center"/>
          </w:tcPr>
          <w:p>
            <w:pPr>
              <w:spacing w:before="40" w:after="40"/>
            </w:pPr>
            <w:r>
              <w:t xml:space="preserve">SERIAL_MEMO_TRANSFER</w:t>
            </w:r>
          </w:p>
        </w:tc>
      </w:tr>
      <w:tr>
        <w:tc>
          <w:tcPr>
            <w:tcW w:w="1750" w:type="dxa"/>
            <w:vAlign w:val="center"/>
          </w:tcPr>
          <w:p>
            <w:pPr>
              <w:spacing w:before="40" w:after="40"/>
            </w:pPr>
            <w:r>
              <w:t xml:space="preserve">b2b</w:t>
            </w:r>
          </w:p>
        </w:tc>
        <w:tc>
          <w:tcPr>
            <w:tcW w:w="4400" w:type="dxa"/>
            <w:vAlign w:val="center"/>
          </w:tcPr>
          <w:p>
            <w:pPr>
              <w:spacing w:before="40" w:after="40"/>
            </w:pPr>
            <w:r>
              <w:t xml:space="preserve">Draft tag make-transfer</w:t>
            </w:r>
          </w:p>
        </w:tc>
        <w:tc>
          <w:tcPr>
            <w:tcW w:w="1500" w:type="dxa"/>
            <w:vAlign w:val="center"/>
          </w:tcPr>
          <w:p>
            <w:pPr>
              <w:spacing w:before="40" w:after="40"/>
            </w:pPr>
            <w:r>
              <w:t xml:space="preserve">Draft order</w:t>
            </w:r>
          </w:p>
        </w:tc>
        <w:tc>
          <w:tcPr>
            <w:tcW w:w="1750" w:type="dxa"/>
            <w:vAlign w:val="center"/>
          </w:tcPr>
          <w:p>
            <w:pPr>
              <w:spacing w:before="40" w:after="40"/>
            </w:pPr>
            <w:r>
              <w:t xml:space="preserve">SERIAL_MEMO_TRANSFER</w:t>
            </w:r>
          </w:p>
        </w:tc>
      </w:tr>
      <w:tr>
        <w:tc>
          <w:tcPr>
            <w:tcW w:w="1750" w:type="dxa"/>
            <w:shd w:val="clear" w:fill="F3F4F6"/>
            <w:vAlign w:val="center"/>
          </w:tcPr>
          <w:p>
            <w:pPr>
              <w:spacing w:before="40" w:after="40"/>
            </w:pPr>
            <w:r>
              <w:t xml:space="preserve">memo_custom</w:t>
            </w:r>
          </w:p>
        </w:tc>
        <w:tc>
          <w:tcPr>
            <w:tcW w:w="4400" w:type="dxa"/>
            <w:shd w:val="clear" w:fill="F3F4F6"/>
            <w:vAlign w:val="center"/>
          </w:tcPr>
          <w:p>
            <w:pPr>
              <w:spacing w:before="40" w:after="40"/>
            </w:pPr>
            <w:r>
              <w:t xml:space="preserve">Draft tag make-memo-custom</w:t>
            </w:r>
          </w:p>
        </w:tc>
        <w:tc>
          <w:tcPr>
            <w:tcW w:w="1500" w:type="dxa"/>
            <w:shd w:val="clear" w:fill="F3F4F6"/>
            <w:vAlign w:val="center"/>
          </w:tcPr>
          <w:p>
            <w:pPr>
              <w:spacing w:before="40" w:after="40"/>
            </w:pPr>
            <w:r>
              <w:t xml:space="preserve">Draft order</w:t>
            </w:r>
          </w:p>
        </w:tc>
        <w:tc>
          <w:tcPr>
            <w:tcW w:w="1750" w:type="dxa"/>
            <w:shd w:val="clear" w:fill="F3F4F6"/>
            <w:vAlign w:val="center"/>
          </w:tcPr>
          <w:p>
            <w:pPr>
              <w:spacing w:before="40" w:after="40"/>
            </w:pPr>
            <w:r>
              <w:t xml:space="preserve">SERIAL_MEMO_TRANSFER</w:t>
            </w:r>
          </w:p>
        </w:tc>
      </w:tr>
      <w:tr>
        <w:tc>
          <w:tcPr>
            <w:tcW w:w="1750" w:type="dxa"/>
            <w:vAlign w:val="center"/>
          </w:tcPr>
          <w:p>
            <w:pPr>
              <w:spacing w:before="40" w:after="40"/>
            </w:pPr>
            <w:r>
              <w:t xml:space="preserve">po</w:t>
            </w:r>
          </w:p>
        </w:tc>
        <w:tc>
          <w:tcPr>
            <w:tcW w:w="4400" w:type="dxa"/>
            <w:vAlign w:val="center"/>
          </w:tcPr>
          <w:p>
            <w:pPr>
              <w:spacing w:before="40" w:after="40"/>
            </w:pPr>
            <w:r>
              <w:t xml:space="preserve">PO raise path</w:t>
            </w:r>
          </w:p>
        </w:tc>
        <w:tc>
          <w:tcPr>
            <w:tcW w:w="1500" w:type="dxa"/>
            <w:vAlign w:val="center"/>
          </w:tcPr>
          <w:p>
            <w:pPr>
              <w:spacing w:before="40" w:after="40"/>
            </w:pPr>
            <w:r>
              <w:t xml:space="preserve">Draft order</w:t>
            </w:r>
          </w:p>
        </w:tc>
        <w:tc>
          <w:tcPr>
            <w:tcW w:w="1750" w:type="dxa"/>
            <w:vAlign w:val="center"/>
          </w:tcPr>
          <w:p>
            <w:pPr>
              <w:spacing w:before="40" w:after="40"/>
            </w:pPr>
            <w:r>
              <w:t xml:space="preserve">SERIAL_PO</w:t>
            </w:r>
          </w:p>
        </w:tc>
      </w:tr>
      <w:tr>
        <w:tc>
          <w:tcPr>
            <w:tcW w:w="1750" w:type="dxa"/>
            <w:shd w:val="clear" w:fill="F3F4F6"/>
            <w:vAlign w:val="center"/>
          </w:tcPr>
          <w:p>
            <w:pPr>
              <w:spacing w:before="40" w:after="40"/>
            </w:pPr>
            <w:r>
              <w:t xml:space="preserve">voucher / exchange_note</w:t>
            </w:r>
          </w:p>
        </w:tc>
        <w:tc>
          <w:tcPr>
            <w:tcW w:w="4400" w:type="dxa"/>
            <w:shd w:val="clear" w:fill="F3F4F6"/>
            <w:vAlign w:val="center"/>
          </w:tcPr>
          <w:p>
            <w:pPr>
              <w:spacing w:before="40" w:after="40"/>
            </w:pPr>
            <w:r>
              <w:t xml:space="preserve">POST /api/serial/allocate at issue. These have no Shopify resource, so the ledger row is keyed by the freshly minted code itself.</w:t>
            </w:r>
          </w:p>
        </w:tc>
        <w:tc>
          <w:tcPr>
            <w:tcW w:w="1500" w:type="dxa"/>
            <w:shd w:val="clear" w:fill="F3F4F6"/>
            <w:vAlign w:val="center"/>
          </w:tcPr>
          <w:p>
            <w:pPr>
              <w:spacing w:before="40" w:after="40"/>
            </w:pPr>
            <w:r>
              <w:t xml:space="preserve">Ledger only</w:t>
            </w:r>
          </w:p>
        </w:tc>
        <w:tc>
          <w:tcPr>
            <w:tcW w:w="1750" w:type="dxa"/>
            <w:shd w:val="clear" w:fill="F3F4F6"/>
            <w:vAlign w:val="center"/>
          </w:tcPr>
          <w:p>
            <w:pPr>
              <w:spacing w:before="40" w:after="40"/>
            </w:pPr>
            <w:r>
              <w:t xml:space="preserve">—</w:t>
            </w:r>
          </w:p>
        </w:tc>
      </w:tr>
    </w:tbl>
    <w:p>
      <w:pPr>
        <w:spacing w:after="0"/>
      </w:pPr>
    </w:p>
    <w:p>
      <w:pPr>
        <w:pStyle w:val="Heading2"/>
      </w:pPr>
      <w:r>
        <w:t xml:space="preserve">Two rules worth stating plainly</w:t>
      </w:r>
    </w:p>
    <w:p>
      <w:pPr>
        <w:pStyle w:val="ListParagraph"/>
        <w:numPr>
          <w:ilvl w:val="0"/>
          <w:numId w:val="1"/>
        </w:numPr>
      </w:pPr>
      <w:r>
        <w:t xml:space="preserve">A repair serial is minted at COMPLETION, never at intake. An abandoned or never-finished repair therefore never burns a number.</w:t>
      </w:r>
    </w:p>
    <w:p>
      <w:pPr>
        <w:pStyle w:val="ListParagraph"/>
        <w:numPr>
          <w:ilvl w:val="0"/>
          <w:numId w:val="1"/>
        </w:numPr>
      </w:pPr>
      <w:r>
        <w:t xml:space="preserve">A free repair goes to the free_service counter, so complimentary work never consumes a paid-service number. Paid and free are separate sequences that both reset each FY.</w:t>
      </w:r>
    </w:p>
    <w:p>
      <w:pPr>
        <w:pStyle w:val="Heading2"/>
      </w:pPr>
      <w:r>
        <w:t xml:space="preserve">The date gate on customer orders</w:t>
      </w:r>
    </w:p>
    <w:p>
      <w:r>
        <w:t xml:space="preserve">Customer-order serials only mint for orders created on or after SERIAL_CUSTOMER_ORDER_START, which defaults to 1 August 2026 IST. July and earlier orders stay unnumbered even if they are edited later. This is deliberate: it stops a historical order acquiring a number simply because someone opened it.</w:t>
      </w:r>
    </w:p>
    <w:p>
      <w:pPr>
        <w:pStyle w:val="Heading1"/>
      </w:pPr>
      <w:r>
        <w:t xml:space="preserve">5. Stability, re-issue and cancellation</w:t>
      </w:r>
    </w:p>
    <w:p>
      <w:pPr>
        <w:pStyle w:val="Heading2"/>
      </w:pPr>
      <w:r>
        <w:t xml:space="preserve">Idempotency</w:t>
      </w:r>
    </w:p>
    <w:p>
      <w:r>
        <w:t xml:space="preserve">mintSerial looks the resource up in serial_ledger by (doc_type, resource_id). If a row exists, is active, and its store_code matches what the current inputs would produce, the existing number is returned and nothing is allocated. That is what keeps a number stable across every subsequent draft edit and every repeated webhook.</w:t>
      </w:r>
    </w:p>
    <w:p>
      <w:pPr>
        <w:pStyle w:val="Heading2"/>
      </w:pPr>
      <w:r>
        <w:t xml:space="preserve">Re-issue — when the store code was wrong</w:t>
      </w:r>
    </w:p>
    <w:p>
      <w:r>
        <w:t xml:space="preserve">If the row exists but the store code has since been corrected, or the serial was cancelled, the number is RE-ISSUED rather than left wrong:</w:t>
      </w:r>
    </w:p>
    <w:p>
      <w:pPr>
        <w:pStyle w:val="ListParagraph"/>
        <w:numPr>
          <w:ilvl w:val="0"/>
          <w:numId w:val="1"/>
        </w:numPr>
      </w:pPr>
      <w:r>
        <w:t xml:space="preserve">The abandoned number is reclaimed first — if it is still the tip of its store's counter, that counter is rolled back by one so the number is reused and no gap appears. The rollback is conditional on the counter still equalling that number, so it is a no-op if other documents were issued after it.</w:t>
      </w:r>
    </w:p>
    <w:p>
      <w:pPr>
        <w:pStyle w:val="ListParagraph"/>
        <w:numPr>
          <w:ilvl w:val="0"/>
          <w:numId w:val="1"/>
        </w:numPr>
      </w:pPr>
      <w:r>
        <w:t xml:space="preserve">A correct number is allocated for the new store, and the SAME ledger row is repurposed in place — one row per resource, so the uniqueness constraint is never violated.</w:t>
      </w:r>
    </w:p>
    <w:p>
      <w:pPr>
        <w:pStyle w:val="Heading2"/>
      </w:pPr>
      <w:r>
        <w:t xml:space="preserve">Cancellation</w:t>
      </w:r>
    </w:p>
    <w:p>
      <w:r>
        <w:t xml:space="preserve">Customer-order serials are PERMANENT. There is intentionally no cancellation path for them: a cancelled or refunded order keeps its number exactly as an invoice number would, and any reversal is handled by a separate credit note.</w:t>
      </w:r>
    </w:p>
    <w:p>
      <w:r>
        <w:t xml:space="preserve">Only delivery_challan, b2b, memo_custom and po can be voided. Cancelling sets status to cancelled with a timestamp; the number is never reused, which keeps the series GST-clean.</w:t>
      </w:r>
    </w:p>
    <w:p>
      <w:pPr>
        <w:pStyle w:val="Heading1"/>
      </w:pPr>
      <w:r>
        <w:t xml:space="preserve">6. Operating and recovering</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blGrid>
        <w:gridCol w:w="4200"/>
        <w:gridCol w:w="5300"/>
      </w:tblGrid>
      <w:tr>
        <w:trPr>
          <w:tblHeader/>
        </w:trPr>
        <w:tc>
          <w:tcPr>
            <w:tcW w:w="4200" w:type="dxa"/>
            <w:shd w:val="clear" w:fill="1F2937"/>
            <w:vAlign w:val="center"/>
          </w:tcPr>
          <w:p>
            <w:pPr>
              <w:spacing w:before="40" w:after="40"/>
            </w:pPr>
            <w:r>
              <w:rPr>
                <w:b/>
                <w:color w:val="FFFFFF"/>
              </w:rPr>
              <w:t xml:space="preserve">Endpoint</w:t>
            </w:r>
          </w:p>
        </w:tc>
        <w:tc>
          <w:tcPr>
            <w:tcW w:w="5300" w:type="dxa"/>
            <w:shd w:val="clear" w:fill="1F2937"/>
            <w:vAlign w:val="center"/>
          </w:tcPr>
          <w:p>
            <w:pPr>
              <w:spacing w:before="40" w:after="40"/>
            </w:pPr>
            <w:r>
              <w:rPr>
                <w:b/>
                <w:color w:val="FFFFFF"/>
              </w:rPr>
              <w:t xml:space="preserve">Use</w:t>
            </w:r>
          </w:p>
        </w:tc>
      </w:tr>
      <w:tr>
        <w:tc>
          <w:tcPr>
            <w:tcW w:w="4200" w:type="dxa"/>
            <w:vAlign w:val="center"/>
          </w:tcPr>
          <w:p>
            <w:pPr>
              <w:spacing w:before="40" w:after="40"/>
            </w:pPr>
            <w:r>
              <w:t xml:space="preserve">GET /api/serial-report?docType=…</w:t>
            </w:r>
          </w:p>
        </w:tc>
        <w:tc>
          <w:tcPr>
            <w:tcW w:w="5300" w:type="dxa"/>
            <w:vAlign w:val="center"/>
          </w:tcPr>
          <w:p>
            <w:pPr>
              <w:spacing w:before="40" w:after="40"/>
            </w:pPr>
            <w:r>
              <w:t xml:space="preserve">What has been issued, from the ledger</w:t>
            </w:r>
          </w:p>
        </w:tc>
      </w:tr>
      <w:tr>
        <w:tc>
          <w:tcPr>
            <w:tcW w:w="4200" w:type="dxa"/>
            <w:shd w:val="clear" w:fill="F3F4F6"/>
            <w:vAlign w:val="center"/>
          </w:tcPr>
          <w:p>
            <w:pPr>
              <w:spacing w:before="40" w:after="40"/>
            </w:pPr>
            <w:r>
              <w:t xml:space="preserve">GET /api/serial-counters</w:t>
            </w:r>
          </w:p>
        </w:tc>
        <w:tc>
          <w:tcPr>
            <w:tcW w:w="5300" w:type="dxa"/>
            <w:shd w:val="clear" w:fill="F3F4F6"/>
            <w:vAlign w:val="center"/>
          </w:tcPr>
          <w:p>
            <w:pPr>
              <w:spacing w:before="40" w:after="40"/>
            </w:pPr>
            <w:r>
              <w:t xml:space="preserve">Every counter, with minted and cancelled totals</w:t>
            </w:r>
          </w:p>
        </w:tc>
      </w:tr>
      <w:tr>
        <w:tc>
          <w:tcPr>
            <w:tcW w:w="4200" w:type="dxa"/>
            <w:vAlign w:val="center"/>
          </w:tcPr>
          <w:p>
            <w:pPr>
              <w:spacing w:before="40" w:after="40"/>
            </w:pPr>
            <w:r>
              <w:t xml:space="preserve">GET /api/serial/peek</w:t>
            </w:r>
          </w:p>
        </w:tc>
        <w:tc>
          <w:tcPr>
            <w:tcW w:w="5300" w:type="dxa"/>
            <w:vAlign w:val="center"/>
          </w:tcPr>
          <w:p>
            <w:pPr>
              <w:spacing w:before="40" w:after="40"/>
            </w:pPr>
            <w:r>
              <w:t xml:space="preserve">Next number without consuming it</w:t>
            </w:r>
          </w:p>
        </w:tc>
      </w:tr>
      <w:tr>
        <w:tc>
          <w:tcPr>
            <w:tcW w:w="4200" w:type="dxa"/>
            <w:shd w:val="clear" w:fill="F3F4F6"/>
            <w:vAlign w:val="center"/>
          </w:tcPr>
          <w:p>
            <w:pPr>
              <w:spacing w:before="40" w:after="40"/>
            </w:pPr>
            <w:r>
              <w:t xml:space="preserve">POST /api/serial/allocate</w:t>
            </w:r>
          </w:p>
        </w:tc>
        <w:tc>
          <w:tcPr>
            <w:tcW w:w="5300" w:type="dxa"/>
            <w:shd w:val="clear" w:fill="F3F4F6"/>
            <w:vAlign w:val="center"/>
          </w:tcPr>
          <w:p>
            <w:pPr>
              <w:spacing w:before="40" w:after="40"/>
            </w:pPr>
            <w:r>
              <w:t xml:space="preserve">Allocate and optionally stamp</w:t>
            </w:r>
          </w:p>
        </w:tc>
      </w:tr>
      <w:tr>
        <w:tc>
          <w:tcPr>
            <w:tcW w:w="4200" w:type="dxa"/>
            <w:vAlign w:val="center"/>
          </w:tcPr>
          <w:p>
            <w:pPr>
              <w:spacing w:before="40" w:after="40"/>
            </w:pPr>
            <w:r>
              <w:t xml:space="preserve">POST /api/serial/order-serial</w:t>
            </w:r>
          </w:p>
        </w:tc>
        <w:tc>
          <w:tcPr>
            <w:tcW w:w="5300" w:type="dxa"/>
            <w:vAlign w:val="center"/>
          </w:tcPr>
          <w:p>
            <w:pPr>
              <w:spacing w:before="40" w:after="40"/>
            </w:pPr>
            <w:r>
              <w:t xml:space="preserve">Mint the customer-order serial at conversion</w:t>
            </w:r>
          </w:p>
        </w:tc>
      </w:tr>
      <w:tr>
        <w:tc>
          <w:tcPr>
            <w:tcW w:w="4200" w:type="dxa"/>
            <w:shd w:val="clear" w:fill="F3F4F6"/>
            <w:vAlign w:val="center"/>
          </w:tcPr>
          <w:p>
            <w:pPr>
              <w:spacing w:before="40" w:after="40"/>
            </w:pPr>
            <w:r>
              <w:t xml:space="preserve">GET+POST /api/serial/backfill</w:t>
            </w:r>
          </w:p>
        </w:tc>
        <w:tc>
          <w:tcPr>
            <w:tcW w:w="5300" w:type="dxa"/>
            <w:shd w:val="clear" w:fill="F3F4F6"/>
            <w:vAlign w:val="center"/>
          </w:tcPr>
          <w:p>
            <w:pPr>
              <w:spacing w:before="40" w:after="40"/>
            </w:pPr>
            <w:r>
              <w:t xml:space="preserve">Number already-punched orders. DRY RUN BY DEFAULT — pass dryRun=false to execute</w:t>
            </w:r>
          </w:p>
        </w:tc>
      </w:tr>
      <w:tr>
        <w:tc>
          <w:tcPr>
            <w:tcW w:w="4200" w:type="dxa"/>
            <w:vAlign w:val="center"/>
          </w:tcPr>
          <w:p>
            <w:pPr>
              <w:spacing w:before="40" w:after="40"/>
            </w:pPr>
            <w:r>
              <w:t xml:space="preserve">GET+POST /api/serial/ledger-backfill</w:t>
            </w:r>
          </w:p>
        </w:tc>
        <w:tc>
          <w:tcPr>
            <w:tcW w:w="5300" w:type="dxa"/>
            <w:vAlign w:val="center"/>
          </w:tcPr>
          <w:p>
            <w:pPr>
              <w:spacing w:before="40" w:after="40"/>
            </w:pPr>
            <w:r>
              <w:t xml:space="preserve">Create ledger rows for documents that are already stamped</w:t>
            </w:r>
          </w:p>
        </w:tc>
      </w:tr>
      <w:tr>
        <w:tc>
          <w:tcPr>
            <w:tcW w:w="4200" w:type="dxa"/>
            <w:shd w:val="clear" w:fill="F3F4F6"/>
            <w:vAlign w:val="center"/>
          </w:tcPr>
          <w:p>
            <w:pPr>
              <w:spacing w:before="40" w:after="40"/>
            </w:pPr>
            <w:r>
              <w:t xml:space="preserve">GET+POST /api/serial/clear</w:t>
            </w:r>
          </w:p>
        </w:tc>
        <w:tc>
          <w:tcPr>
            <w:tcW w:w="5300" w:type="dxa"/>
            <w:shd w:val="clear" w:fill="F3F4F6"/>
            <w:vAlign w:val="center"/>
          </w:tcPr>
          <w:p>
            <w:pPr>
              <w:spacing w:before="40" w:after="40"/>
            </w:pPr>
            <w:r>
              <w:t xml:space="preserve">Remove stamped serial metafields so a resource can be renumbered</w:t>
            </w:r>
          </w:p>
        </w:tc>
      </w:tr>
      <w:tr>
        <w:tc>
          <w:tcPr>
            <w:tcW w:w="4200" w:type="dxa"/>
            <w:vAlign w:val="center"/>
          </w:tcPr>
          <w:p>
            <w:pPr>
              <w:spacing w:before="40" w:after="40"/>
            </w:pPr>
            <w:r>
              <w:t xml:space="preserve">GET+POST /api/serial/restamp-from-ledger</w:t>
            </w:r>
          </w:p>
        </w:tc>
        <w:tc>
          <w:tcPr>
            <w:tcW w:w="5300" w:type="dxa"/>
            <w:vAlign w:val="center"/>
          </w:tcPr>
          <w:p>
            <w:pPr>
              <w:spacing w:before="40" w:after="40"/>
            </w:pPr>
            <w:r>
              <w:t xml:space="preserve">Re-apply numbers onto Shopify from the ledger after a bad write</w:t>
            </w:r>
          </w:p>
        </w:tc>
      </w:tr>
      <w:tr>
        <w:tc>
          <w:tcPr>
            <w:tcW w:w="4200" w:type="dxa"/>
            <w:shd w:val="clear" w:fill="F3F4F6"/>
            <w:vAlign w:val="center"/>
          </w:tcPr>
          <w:p>
            <w:pPr>
              <w:spacing w:before="40" w:after="40"/>
            </w:pPr>
            <w:r>
              <w:t xml:space="preserve">GET+POST /api/serial/counter</w:t>
            </w:r>
          </w:p>
        </w:tc>
        <w:tc>
          <w:tcPr>
            <w:tcW w:w="5300" w:type="dxa"/>
            <w:shd w:val="clear" w:fill="F3F4F6"/>
            <w:vAlign w:val="center"/>
          </w:tcPr>
          <w:p>
            <w:pPr>
              <w:spacing w:before="40" w:after="40"/>
            </w:pPr>
            <w:r>
              <w:t xml:space="preserve">Read or set a counter</w:t>
            </w:r>
          </w:p>
        </w:tc>
      </w:tr>
      <w:tr>
        <w:tc>
          <w:tcPr>
            <w:tcW w:w="4200" w:type="dxa"/>
            <w:vAlign w:val="center"/>
          </w:tcPr>
          <w:p>
            <w:pPr>
              <w:spacing w:before="40" w:after="40"/>
            </w:pPr>
            <w:r>
              <w:t xml:space="preserve">POST /api/serial/cancel-by-code</w:t>
            </w:r>
          </w:p>
        </w:tc>
        <w:tc>
          <w:tcPr>
            <w:tcW w:w="5300" w:type="dxa"/>
            <w:vAlign w:val="center"/>
          </w:tcPr>
          <w:p>
            <w:pPr>
              <w:spacing w:before="40" w:after="40"/>
            </w:pPr>
            <w:r>
              <w:t xml:space="preserve">Retire a serial that has no Shopify resource id</w:t>
            </w:r>
          </w:p>
        </w:tc>
      </w:tr>
    </w:tbl>
    <w:p>
      <w:pPr>
        <w:spacing w:after="0"/>
      </w:pPr>
    </w:p>
    <w:p>
      <w:pPr>
        <w:pStyle w:val="Heading2"/>
      </w:pPr>
      <w:r>
        <w:t xml:space="preserve">Two traps in these tools</w:t>
      </w:r>
    </w:p>
    <w:p>
      <w:r>
        <w:t xml:space="preserve">These are not theoretical — both were hit while correcting order #1070 on 14 August 2026.</w:t>
      </w:r>
    </w:p>
    <w:p>
      <w:pPr>
        <w:pStyle w:val="ListParagraph"/>
        <w:numPr>
          <w:ilvl w:val="0"/>
          <w:numId w:val="1"/>
        </w:numPr>
      </w:pPr>
      <w:r>
        <w:t xml:space="preserve">/api/serial/backfill allocates and stamps, but does NOT write a serial_ledger row. Running it alone produces an order that carries a number the ledger has never heard of. Always follow it with /api/serial/ledger-backfill.</w:t>
      </w:r>
    </w:p>
    <w:p>
      <w:pPr>
        <w:pStyle w:val="ListParagraph"/>
        <w:numPr>
          <w:ilvl w:val="0"/>
          <w:numId w:val="1"/>
        </w:numPr>
      </w:pPr>
      <w:r>
        <w:t xml:space="preserve">/api/serial/ledger-backfill records whatever store code you hand it. For an FY-scoped type you must pass the FY-folded key (27|KA-HSR), not the bare code. A bare code creates a row that does not match what a future mint expects, and the next mint will treat the document as having moved store and RE-ISSUE it a second number.</w:t>
      </w:r>
    </w:p>
    <w:p>
      <w:pPr>
        <w:pStyle w:val="Heading2"/>
      </w:pPr>
      <w:r>
        <w:t xml:space="preserve">A known defect</w:t>
      </w:r>
    </w:p>
    <w:p>
      <w:r>
        <w:t xml:space="preserve">GET /api/serial/peek queries serial_counters on the bare store code and never folds the FY in. For any FY-scoped type — which is every B2C and adjustment series — it therefore reports current_value as null and next_value as 1, no matter what the counter actually holds. The number it prints is wrong; /api/serial-counters is correct. Do not use peek to decide anything until this is fixed.</w:t>
      </w:r>
    </w:p>
    <w:p>
      <w:pPr>
        <w:pStyle w:val="Heading1"/>
      </w:pPr>
      <w:r>
        <w:t xml:space="preserve">7. How a customer order actually gets its number</w:t>
      </w:r>
    </w:p>
    <w:p>
      <w:r>
        <w:t xml:space="preserve">End to end, because this is the chain that failed on order #1070:</w:t>
      </w:r>
    </w:p>
    <w:p>
      <w:pPr>
        <w:pStyle w:val="CodeBlock"/>
      </w:pPr>
      <w:r>
        <w:rPr>
          <w:rFonts w:ascii="Consolas" w:hAnsi="Consolas"/>
          <w:sz w:val="18"/>
        </w:rPr>
        <w:t xml:space="preserve">1.  Staff set custom.state_code on the DRAFT (place of supply)</w:t>
      </w:r>
    </w:p>
    <w:p>
      <w:pPr>
        <w:pStyle w:val="CodeBlock"/>
      </w:pPr>
      <w:r>
        <w:rPr>
          <w:rFonts w:ascii="Consolas" w:hAnsi="Consolas"/>
          <w:sz w:val="18"/>
        </w:rPr>
        <w:t xml:space="preserve">2.  Draft is converted to an order</w:t>
      </w:r>
    </w:p>
    <w:p>
      <w:pPr>
        <w:pStyle w:val="CodeBlock"/>
      </w:pPr>
      <w:r>
        <w:rPr>
          <w:rFonts w:ascii="Consolas" w:hAnsi="Consolas"/>
          <w:sz w:val="18"/>
        </w:rPr>
        <w:t xml:space="preserve">3.  draft_orders/update fires with status=completed  →  /api/shopify-draft-updated</w:t>
      </w:r>
    </w:p>
    <w:p>
      <w:pPr>
        <w:pStyle w:val="CodeBlock"/>
      </w:pPr>
      <w:r>
        <w:rPr>
          <w:rFonts w:ascii="Consolas" w:hAnsi="Consolas"/>
          <w:sz w:val="18"/>
        </w:rPr>
        <w:t xml:space="preserve">4.  copyDraftMetafieldsToOrder copies every custom.* metafield onto the ORDER</w:t>
      </w:r>
    </w:p>
    <w:p>
      <w:pPr>
        <w:pStyle w:val="CodeBlock"/>
      </w:pPr>
      <w:r>
        <w:rPr>
          <w:rFonts w:ascii="Consolas" w:hAnsi="Consolas"/>
          <w:sz w:val="18"/>
        </w:rPr>
        <w:t xml:space="preserve">        ...including state_code, without which nothing below can run</w:t>
      </w:r>
    </w:p>
    <w:p>
      <w:pPr>
        <w:pStyle w:val="CodeBlock"/>
      </w:pPr>
      <w:r>
        <w:rPr>
          <w:rFonts w:ascii="Consolas" w:hAnsi="Consolas"/>
          <w:sz w:val="18"/>
        </w:rPr>
        <w:t xml:space="preserve">5.  orders/updated fires  →  /api/serial/order-serial</w:t>
      </w:r>
    </w:p>
    <w:p>
      <w:pPr>
        <w:pStyle w:val="CodeBlock"/>
      </w:pPr>
      <w:r>
        <w:rPr>
          <w:rFonts w:ascii="Consolas" w:hAnsi="Consolas"/>
          <w:sz w:val="18"/>
        </w:rPr>
        <w:t xml:space="preserve">6.  reads custom.state_code from the ORDER; blank → return silently</w:t>
      </w:r>
    </w:p>
    <w:p>
      <w:pPr>
        <w:pStyle w:val="CodeBlock"/>
      </w:pPr>
      <w:r>
        <w:rPr>
          <w:rFonts w:ascii="Consolas" w:hAnsi="Consolas"/>
          <w:sz w:val="18"/>
        </w:rPr>
        <w:t xml:space="preserve">7.  mintSerial: allocate_serial RPC → ledger insert → stamp metafields</w:t>
      </w:r>
    </w:p>
    <w:p>
      <w:r>
        <w:t xml:space="preserve">Every step is silent on failure by design, so that a serial problem can never block a sale. The cost of that choice is that a break in step 3 or 4 shows up only as a missing number much later — there is no alert.</w:t>
      </w:r>
    </w:p>
    <w:sectPr>
      <w:pgSz w:w="11906" w:h="16838"/>
      <w:pgMar w:top="1134" w:right="1134" w:bottom="1134" w:left="1134"/>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240"/>
      </w:pPr>
    </w:lvl>
  </w:abstractNum>
  <w:num w:numId="1">
    <w:abstractNumId w:val="0"/>
  </w:num>
</w:numbering>
</file>

<file path=word/styles.xml><?xml version="1.0" encoding="utf-8"?>
<w:styles xmlns:w="http://schemas.openxmlformats.org/wordprocessingml/2006/main">
  <w:docDefaults>
    <w:rPrDefault>
      <w:rPr>
        <w:rFonts w:ascii="Calibri" w:hAnsi="Calibri"/>
        <w:sz w:val="21"/>
      </w:rPr>
    </w:rPrDefault>
    <w:pPrDefault>
      <w:pPr>
        <w:spacing w:after="120" w:line="276" w:lineRule="auto"/>
      </w:pPr>
    </w:pPrDefault>
  </w:docDefaults>
  <w:style w:type="paragraph" w:styleId="Title">
    <w:name w:val="Title"/>
    <w:pPr>
      <w:spacing w:after="80"/>
    </w:pPr>
    <w:rPr>
      <w:b/>
      <w:sz w:val="48"/>
      <w:color w:val="111827"/>
    </w:rPr>
  </w:style>
  <w:style w:type="paragraph" w:styleId="Subtitle">
    <w:name w:val="Subtitle"/>
    <w:pPr>
      <w:spacing w:after="320"/>
    </w:pPr>
    <w:rPr>
      <w:sz w:val="22"/>
      <w:color w:val="6B7280"/>
    </w:rPr>
  </w:style>
  <w:style w:type="paragraph" w:styleId="Heading1">
    <w:name w:val="heading 1"/>
    <w:pPr>
      <w:spacing w:before="360" w:after="140"/>
      <w:pBdr>
        <w:bottom w:val="single" w:sz="6" w:color="D1D5DB"/>
      </w:pBdr>
    </w:pPr>
    <w:rPr>
      <w:b/>
      <w:sz w:val="32"/>
      <w:color w:val="111827"/>
    </w:rPr>
  </w:style>
  <w:style w:type="paragraph" w:styleId="Heading2">
    <w:name w:val="heading 2"/>
    <w:pPr>
      <w:spacing w:before="280" w:after="100"/>
    </w:pPr>
    <w:rPr>
      <w:b/>
      <w:sz w:val="26"/>
      <w:color w:val="1F2937"/>
    </w:rPr>
  </w:style>
  <w:style w:type="paragraph" w:styleId="Heading3">
    <w:name w:val="heading 3"/>
    <w:pPr>
      <w:spacing w:before="200" w:after="80"/>
    </w:pPr>
    <w:rPr>
      <w:b/>
      <w:sz w:val="22"/>
      <w:color w:val="374151"/>
    </w:rPr>
  </w:style>
  <w:style w:type="paragraph" w:styleId="CodeBlock">
    <w:name w:val="Code Block"/>
    <w:pPr>
      <w:spacing w:before="60" w:after="60"/>
      <w:ind w:left="240"/>
      <w:shd w:val="clear" w:fill="F3F4F6"/>
    </w:pPr>
    <w:rPr>
      <w:rFonts w:ascii="Consolas" w:hAnsi="Consolas"/>
      <w:sz w:val="18"/>
    </w:rPr>
  </w:style>
  <w:style w:type="paragraph" w:styleId="ListParagraph">
    <w:name w:val="List Paragraph"/>
    <w:pPr>
      <w:ind w:left="360"/>
      <w:spacing w:after="60"/>
    </w:pPr>
  </w:style>
  <w:style w:type="table" w:styleId="TableGrid">
    <w:name w:val="Table Grid"/>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