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Deployment modes: standalone WebUI vs native AixLearning integration</w:t>
      </w:r>
    </w:p>
    <w:p>
      <w:r>
        <w:t>The Agentic GraphRAG system supports two deployment modes that are complementary, not conflicting. They use the same FastAPI application and the same agent pipeline, but they expose different surfaces to different consumers.</w:t>
      </w:r>
    </w:p>
    <w:p>
      <w:pPr>
        <w:pStyle w:val="Heading3"/>
      </w:pPr>
      <w:r>
        <w:t>Mode A — Standalone internal pilot</w:t>
      </w:r>
    </w:p>
    <w:p>
      <w:r>
        <w:t>In this mode, the AI team exposes its own teacher-facing WebUI at https://agente.aiforlearning.digital (the value of AIX_DOMAIN). The public entry point is Caddy on ports 80/443. Caddy forwards traffic to the internal FastAPI container (app:8765), which serves both /webui/* and /api/v1/*. PostgreSQL is not public: it has no host port mapping and is reachable only inside the Docker network as postgres:5432. WEBUI_DATABASE_URL and LANGGRAPH_DATABASE_URL are internal container-to-container connection strings, not internet endpoints and not a dependency on a developer laptop. On the FEM VM, the database data persists in the Docker volume aix-pg-data.</w:t>
      </w:r>
    </w:p>
    <w:p>
      <w:pPr>
        <w:pStyle w:val="Heading3"/>
      </w:pPr>
      <w:r>
        <w:t>Mode B — Native AixLearning integration</w:t>
      </w:r>
    </w:p>
    <w:p>
      <w:r>
        <w:t>In this mode, teachers stay inside the existing AixLearning Django product. AixLearning’s backend or Dramatiq worker calls the Agentic GraphRAG FastAPI service over an internal Docker network, similar to how the current GraphRAG mode already calls the legacy /api/v1/context endpoint. The new wrapper targets /api/v1/agent/stream (or /api/v1/agent/run) instead. AixLearning does not connect to our PostgreSQL database directly; it treats Agentic GraphRAG as an AI service. The service name in Docker would be something like http://graphrag-api:8765, not http://127.0.0.1:8765 in production.</w:t>
      </w:r>
    </w:p>
    <w:p>
      <w:pPr>
        <w:pStyle w:val="Heading3"/>
      </w:pPr>
      <w:r>
        <w:t>Coexistence</w:t>
      </w:r>
    </w:p>
    <w:p>
      <w:r>
        <w:t>The two modes can run at the same time. The standalone WebUI is useful for the AI team, internal FEM domain experts, smoke tests, and direct pilot access. The native integration is useful when AixLearning wants UDL and NEURO requests to flow through the agent while the other tool types continue using the existing AixLearning pipeline. The rule is simple: browsers talk to Caddy; services talk over the Docker internal network; nobody except the GraphRAG app talks to PostgreSQL.</w:t>
      </w:r>
    </w:p>
    <w:p>
      <w:pPr>
        <w:pStyle w:val="Heading3"/>
      </w:pPr>
      <w:r>
        <w:t>Comparison table</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2F5496"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color w:val="FFFFFF"/>
                <w:sz w:val="18"/>
              </w:rPr>
              <w:t>Dimension</w:t>
            </w:r>
          </w:p>
        </w:tc>
        <w:tc>
          <w:tcPr>
            <w:tcW w:type="dxa" w:w="3135"/>
            <w:shd w:fill="2F5496"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color w:val="FFFFFF"/>
                <w:sz w:val="18"/>
              </w:rPr>
              <w:t>Mode A — Standalone internal pilot</w:t>
            </w:r>
          </w:p>
        </w:tc>
        <w:tc>
          <w:tcPr>
            <w:tcW w:type="dxa" w:w="3135"/>
            <w:shd w:fill="2F5496"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color w:val="FFFFFF"/>
                <w:sz w:val="18"/>
              </w:rPr>
              <w:t>Mode B — Native AixLearning integration</w:t>
            </w:r>
          </w:p>
        </w:tc>
      </w:tr>
      <w:tr>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sz w:val="18"/>
              </w:rPr>
              <w:t>Primary user experience</w:t>
            </w:r>
          </w:p>
        </w:tc>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val="0"/>
                <w:sz w:val="18"/>
              </w:rPr>
              <w:t>Teacher opens https://agente.aiforlearning.digital and uses the GraphRAG WebUI directly</w:t>
            </w:r>
          </w:p>
        </w:tc>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val="0"/>
                <w:sz w:val="18"/>
              </w:rPr>
              <w:t>Teacher remains inside the native AixLearning Django interface</w:t>
            </w:r>
          </w:p>
        </w:tc>
      </w:tr>
      <w:tr>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sz w:val="18"/>
              </w:rPr>
              <w:t>Public hostname</w:t>
            </w:r>
          </w:p>
        </w:tc>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val="0"/>
                <w:sz w:val="18"/>
              </w:rPr>
              <w:t>AIX_DOMAIN=agente.aiforlearning.digital</w:t>
            </w:r>
          </w:p>
        </w:tc>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val="0"/>
                <w:sz w:val="18"/>
              </w:rPr>
              <w:t>Usually AixLearning’s existing public hostname; GraphRAG service may be internal-only</w:t>
            </w:r>
          </w:p>
        </w:tc>
      </w:tr>
      <w:tr>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sz w:val="18"/>
              </w:rPr>
              <w:t>Publicly reachable service</w:t>
            </w:r>
          </w:p>
        </w:tc>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val="0"/>
                <w:sz w:val="18"/>
              </w:rPr>
              <w:t>Caddy only (80/443)</w:t>
            </w:r>
          </w:p>
        </w:tc>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val="0"/>
                <w:sz w:val="18"/>
              </w:rPr>
              <w:t>AixLearning frontend/API; GraphRAG service should normally stay private on the internal Docker network</w:t>
            </w:r>
          </w:p>
        </w:tc>
      </w:tr>
      <w:tr>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sz w:val="18"/>
              </w:rPr>
              <w:t>FastAPI target</w:t>
            </w:r>
          </w:p>
        </w:tc>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val="0"/>
                <w:sz w:val="18"/>
              </w:rPr>
              <w:t>Caddy forwards to app:8765</w:t>
            </w:r>
          </w:p>
        </w:tc>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val="0"/>
                <w:sz w:val="18"/>
              </w:rPr>
              <w:t>AixLearning calls http://graphrag-api:8765/api/v1/agent/stream or /run</w:t>
            </w:r>
          </w:p>
        </w:tc>
      </w:tr>
      <w:tr>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sz w:val="18"/>
              </w:rPr>
              <w:t>PostgreSQL exposure</w:t>
            </w:r>
          </w:p>
        </w:tc>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val="0"/>
                <w:sz w:val="18"/>
              </w:rPr>
              <w:t>Private Docker service postgres:5432, no public port</w:t>
            </w:r>
          </w:p>
        </w:tc>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val="0"/>
                <w:sz w:val="18"/>
              </w:rPr>
              <w:t>Still private; AixLearning does not connect to it directly</w:t>
            </w:r>
          </w:p>
        </w:tc>
      </w:tr>
      <w:tr>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sz w:val="18"/>
              </w:rPr>
              <w:t>Database ownership</w:t>
            </w:r>
          </w:p>
        </w:tc>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val="0"/>
                <w:sz w:val="18"/>
              </w:rPr>
              <w:t>GraphRAG owns WebUI users, lessons, messages, and LangGraph checkpoints</w:t>
            </w:r>
          </w:p>
        </w:tc>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val="0"/>
                <w:sz w:val="18"/>
              </w:rPr>
              <w:t>GraphRAG owns only its own service state/checkpoints; AixLearning owns its own Django data</w:t>
            </w:r>
          </w:p>
        </w:tc>
      </w:tr>
      <w:tr>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sz w:val="18"/>
              </w:rPr>
              <w:t>WEBUI_DATABASE_URL</w:t>
            </w:r>
          </w:p>
        </w:tc>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val="0"/>
                <w:sz w:val="18"/>
              </w:rPr>
              <w:t>Internal SQLAlchemy URL from app container to postgres</w:t>
            </w:r>
          </w:p>
        </w:tc>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val="0"/>
                <w:sz w:val="18"/>
              </w:rPr>
              <w:t>Same if GraphRAG WebUI remains deployed; not consumed by AixLearning</w:t>
            </w:r>
          </w:p>
        </w:tc>
      </w:tr>
      <w:tr>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sz w:val="18"/>
              </w:rPr>
              <w:t>LANGGRAPH_DATABASE_URL</w:t>
            </w:r>
          </w:p>
        </w:tc>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val="0"/>
                <w:sz w:val="18"/>
              </w:rPr>
              <w:t>Internal LangGraph checkpointer URL from app to postgres</w:t>
            </w:r>
          </w:p>
        </w:tc>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val="0"/>
                <w:sz w:val="18"/>
              </w:rPr>
              <w:t>Same; stores agent state for service calls too</w:t>
            </w:r>
          </w:p>
        </w:tc>
      </w:tr>
      <w:tr>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sz w:val="18"/>
              </w:rPr>
              <w:t>Best use case</w:t>
            </w:r>
          </w:p>
        </w:tc>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val="0"/>
                <w:sz w:val="18"/>
              </w:rPr>
              <w:t>AI-team pilot, internal FEM expert testing, direct access, operational smoke tests</w:t>
            </w:r>
          </w:p>
        </w:tc>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val="0"/>
                <w:sz w:val="18"/>
              </w:rPr>
              <w:t>Production UX inside AixLearning, UDL/NEURO routing, reuse of Mercure/chat/credits</w:t>
            </w:r>
          </w:p>
        </w:tc>
      </w:tr>
      <w:tr>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sz w:val="18"/>
              </w:rPr>
              <w:t>Conflict risk</w:t>
            </w:r>
          </w:p>
        </w:tc>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val="0"/>
                <w:sz w:val="18"/>
              </w:rPr>
              <w:t>Low, if only Caddy is public and Postgres stays private</w:t>
            </w:r>
          </w:p>
        </w:tc>
        <w:tc>
          <w:tcPr>
            <w:tcW w:type="dxa" w:w="3135"/>
            <w:shd w:fill="FFFFFF" w:val="clear"/>
            <w:tcBorders>
              <w:top w:val="single" w:sz="4" w:color="AAAAAA" w:space="0"/>
              <w:left w:val="single" w:sz="4" w:color="AAAAAA" w:space="0"/>
              <w:bottom w:val="single" w:sz="4" w:color="AAAAAA" w:space="0"/>
              <w:right w:val="single" w:sz="4" w:color="AAAAAA" w:space="0"/>
            </w:tcBorders>
            <w:tcBorders>
              <w:top w:val="single" w:sz="4" w:color="AAAAAA" w:space="0"/>
              <w:left w:val="single" w:sz="4" w:color="AAAAAA" w:space="0"/>
              <w:bottom w:val="single" w:sz="4" w:color="AAAAAA" w:space="0"/>
              <w:right w:val="single" w:sz="4" w:color="AAAAAA" w:space="0"/>
            </w:tcBorders>
          </w:tcPr>
          <w:p>
            <w:r/>
            <w:r>
              <w:rPr>
                <w:rFonts w:ascii="Calibri" w:hAnsi="Calibri"/>
                <w:b w:val="0"/>
                <w:sz w:val="18"/>
              </w:rPr>
              <w:t>Low, if service-to-service traffic uses internal Docker networking and no database is shared</w:t>
            </w:r>
          </w:p>
        </w:tc>
      </w:tr>
    </w:tbl>
    <w:p/>
    <w:p>
      <w:pPr>
        <w:pStyle w:val="Heading3"/>
      </w:pPr>
      <w:r>
        <w:t>Key implementation implication</w:t>
      </w:r>
    </w:p>
    <w:p>
      <w:r>
        <w:t>The endpoint examples shown in local development (http://127.0.0.1:8765/docs, http://127.0.0.1:8765/api/v1/agent/stream) are for developer testing only. In standalone production, the browsable documentation would be behind the public GraphRAG hostname, for example https://agente.aiforlearning.digital/docs if left enabled. In native AixLearning production, the Django worker should call the internal service hostname (http://graphrag-api:8765) and should not depend on a browser-accessible /docs page.</w:t>
      </w:r>
    </w:p>
    <w:p>
      <w:pPr>
        <w:pStyle w:val="Heading3"/>
      </w:pPr>
      <w:r>
        <w:t>Compatibility statement</w:t>
      </w:r>
    </w:p>
    <w:p>
      <w:r>
        <w:t>These modes do not compete for the same URL, the same database connection, or the same frontend surface. They share the agent runtime but preserve ownership boundaries: GraphRAG owns its FastAPI service and PostgreSQL state; AixLearning owns its Django user experience and business data. This is why the standalone pilot can proceed now while the native AixLearning integration is developed in parallel or later.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