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sz w:val="44"/>
        </w:rPr>
        <w:t>Wanwu（万物）</w:t>
      </w:r>
    </w:p>
    <w:p>
      <w:pPr>
        <w:jc w:val="center"/>
      </w:pPr>
      <w:r>
        <w:rPr>
          <w:rFonts w:ascii="微软雅黑" w:hAnsi="微软雅黑" w:eastAsia="微软雅黑" w:cs="微软雅黑"/>
          <w:sz w:val="24"/>
        </w:rPr>
        <w:t>详细设计文档</w:t>
      </w:r>
    </w:p>
    <w:p>
      <w:pPr>
        <w:jc w:val="center"/>
      </w:pPr>
      <w:r>
        <w:rPr>
          <w:rFonts w:ascii="微软雅黑" w:hAnsi="微软雅黑" w:eastAsia="微软雅黑" w:cs="微软雅黑"/>
          <w:sz w:val="24"/>
        </w:rPr>
        <w:t>版本：v1.0.0</w:t>
      </w:r>
    </w:p>
    <w:p>
      <w:pPr>
        <w:jc w:val="center"/>
      </w:pPr>
      <w:r>
        <w:rPr>
          <w:rFonts w:ascii="微软雅黑" w:hAnsi="微软雅黑" w:eastAsia="微软雅黑" w:cs="微软雅黑"/>
          <w:sz w:val="24"/>
        </w:rPr>
        <w:t>日期：2026-05-17</w:t>
      </w:r>
    </w:p>
    <w:p>
      <w:pPr>
        <w:jc w:val="center"/>
      </w:pPr>
      <w:r>
        <w:rPr>
          <w:rFonts w:ascii="微软雅黑" w:hAnsi="微软雅黑" w:eastAsia="微软雅黑" w:cs="微软雅黑"/>
          <w:sz w:val="24"/>
        </w:rPr>
        <w:t>编制：MonoStudio</w:t>
      </w:r>
    </w:p>
    <w:p>
      <w:r>
        <w:rPr>
          <w:rFonts w:ascii="微软雅黑" w:hAnsi="微软雅黑" w:eastAsia="微软雅黑" w:cs="微软雅黑"/>
        </w:rP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</w:rPr>
        <w:t>1 文档说明</w:t>
      </w:r>
    </w:p>
    <w:p>
      <w:r>
        <w:rPr>
          <w:rFonts w:ascii="微软雅黑" w:hAnsi="微软雅黑" w:eastAsia="微软雅黑" w:cs="微软雅黑"/>
        </w:rPr>
        <w:t>本文档为 Wanwu v1.0.0 详细设计，与《用户需求文档 v1.0》配套。面向开发人员及 AI 编码助手，描述架构、模块、数据、接口与实现要点。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 w:cs="微软雅黑"/>
                <w:b/>
                <w:color w:val="FFFFFF"/>
              </w:rPr>
              <w:t>版本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 w:cs="微软雅黑"/>
                <w:b/>
                <w:color w:val="FFFFFF"/>
              </w:rPr>
              <w:t>日期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 w:cs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v1.0.0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2026-05-17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初稿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 w:cs="微软雅黑"/>
        </w:rPr>
        <w:t>2 设计目标与原则</w:t>
      </w:r>
    </w:p>
    <w:p>
      <w:r>
        <w:rPr>
          <w:rFonts w:ascii="微软雅黑" w:hAnsi="微软雅黑" w:eastAsia="微软雅黑" w:cs="微软雅黑"/>
        </w:rPr>
        <w:t>• 单一职责：每个模块、组件、服务只负责一类业务</w:t>
      </w:r>
    </w:p>
    <w:p>
      <w:r>
        <w:rPr>
          <w:rFonts w:ascii="微软雅黑" w:hAnsi="微软雅黑" w:eastAsia="微软雅黑" w:cs="微软雅黑"/>
        </w:rPr>
        <w:t>• 组件复用：物品卡片、详情页、表单控件跨模块共享</w:t>
      </w:r>
    </w:p>
    <w:p>
      <w:r>
        <w:rPr>
          <w:rFonts w:ascii="微软雅黑" w:hAnsi="微软雅黑" w:eastAsia="微软雅黑" w:cs="微软雅黑"/>
        </w:rPr>
        <w:t>• 分目录分模块：按 library/rss/custom/personal/settings 划分</w:t>
      </w:r>
    </w:p>
    <w:p>
      <w:r>
        <w:rPr>
          <w:rFonts w:ascii="微软雅黑" w:hAnsi="微软雅黑" w:eastAsia="微软雅黑" w:cs="微软雅黑"/>
        </w:rPr>
        <w:t>• 可测试：主进程服务与渲染层分离，便于 mock IPC</w:t>
      </w:r>
    </w:p>
    <w:p>
      <w:r>
        <w:rPr>
          <w:rFonts w:ascii="微软雅黑" w:hAnsi="微软雅黑" w:eastAsia="微软雅黑" w:cs="微软雅黑"/>
        </w:rPr>
        <w:t>• 可扩展：v2.0 模板、深色主题、云同步通过接口预留</w:t>
      </w:r>
    </w:p>
    <w:p>
      <w:r>
        <w:rPr>
          <w:rFonts w:ascii="微软雅黑" w:hAnsi="微软雅黑" w:eastAsia="微软雅黑" w:cs="微软雅黑"/>
        </w:rPr>
        <w:t>• 免费开源优先：第三方 API、字体、图标优先无版权风险方案</w:t>
      </w:r>
    </w:p>
    <w:p>
      <w:pPr>
        <w:pStyle w:val="Heading1"/>
      </w:pPr>
      <w:r>
        <w:rPr>
          <w:rFonts w:ascii="微软雅黑" w:hAnsi="微软雅黑" w:eastAsia="微软雅黑" w:cs="微软雅黑"/>
        </w:rPr>
        <w:t>3 系统架构</w:t>
      </w:r>
    </w:p>
    <w:p>
      <w:r>
        <w:rPr>
          <w:rFonts w:ascii="微软雅黑" w:hAnsi="微软雅黑" w:eastAsia="微软雅黑" w:cs="微软雅黑"/>
        </w:rPr>
        <w:t>3.1 总体架构</w:t>
      </w:r>
    </w:p>
    <w:p>
      <w:r>
        <w:rPr>
          <w:rFonts w:ascii="微软雅黑" w:hAnsi="微软雅黑" w:eastAsia="微软雅黑" w:cs="微软雅黑"/>
        </w:rPr>
        <w:t>采用 Electron 双进程模型：主进程（Node）负责 SQLite、文件 IO、RSS 拉取、加密；渲染进程（Vue3）负责 UI 与交互，通过 IPC 调用主进程服务。</w:t>
      </w:r>
    </w:p>
    <w:p>
      <w:r>
        <w:rPr>
          <w:rFonts w:ascii="微软雅黑" w:hAnsi="微软雅黑" w:eastAsia="微软雅黑" w:cs="微软雅黑"/>
        </w:rPr>
        <w:t>架构分层：Presentation（Vue+PrimeVue+Tailwind）→ Application（Pinia stores）→ IPC Client → Main Services（db, media, rss, crypto）→ Data（SQLite + 文件系统）。</w:t>
      </w:r>
    </w:p>
    <w:p>
      <w:r>
        <w:rPr>
          <w:rFonts w:ascii="微软雅黑" w:hAnsi="微软雅黑" w:eastAsia="微软雅黑" w:cs="微软雅黑"/>
        </w:rPr>
        <w:t>3.2 架构示意（文字版）</w:t>
      </w:r>
    </w:p>
    <w:p>
      <w:r>
        <w:rPr>
          <w:rFonts w:ascii="微软雅黑" w:hAnsi="微软雅黑" w:eastAsia="微软雅黑" w:cs="微软雅黑"/>
        </w:rPr>
        <w:t>Renderer: ModuleNav → SubItemList → ItemDetailView；Main: IPC_Bridge → SQLite_per_category + MediaFileStore + RSS_Fetcher。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4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  <w:b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桌面壳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Electron 28+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窗口、IPC、系统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UI 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Vue 3 + TypeScript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组件化界面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组件库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PrimeVue 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表格、对话框等基础控件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样式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Tailwind CSS 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工具类 + 设计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Pinia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模块状态、选中项、用户设置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路由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Vue Router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模块内子路由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better-sqlite3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主进程同步 SQLite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RSS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rss-parser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主进程解析 Feed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构建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electron-vite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主/渲染打包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 w:cs="微软雅黑"/>
        </w:rPr>
        <w:t>5 应用布局与路由设计</w:t>
      </w:r>
    </w:p>
    <w:p>
      <w:r>
        <w:rPr>
          <w:rFonts w:ascii="微软雅黑" w:hAnsi="微软雅黑" w:eastAsia="微软雅黑" w:cs="微软雅黑"/>
        </w:rPr>
        <w:t>5.1 Shell 布局组件 AppShell：left=ModuleSidebar, center=SubItemPanel, right=ContentRouterOutlet。</w:t>
      </w:r>
    </w:p>
    <w:p>
      <w:r>
        <w:rPr>
          <w:rFonts w:ascii="微软雅黑" w:hAnsi="微软雅黑" w:eastAsia="微软雅黑" w:cs="微软雅黑"/>
        </w:rPr>
        <w:t>5.2 路由表：/library/:catId?/:subId?, /rss/:feedId?, /custom/:catId?, /personal, /settings。</w:t>
      </w:r>
    </w:p>
    <w:p>
      <w:r>
        <w:rPr>
          <w:rFonts w:ascii="微软雅黑" w:hAnsi="微软雅黑" w:eastAsia="微软雅黑" w:cs="微软雅黑"/>
        </w:rPr>
        <w:t>5.3 Pinia stores：useAppStore, useLibraryStore, useRssStore, useCustomStore, useUserStore。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6 模块详细设计</w:t>
      </w:r>
    </w:p>
    <w:p>
      <w:pPr>
        <w:pStyle w:val="Heading2"/>
      </w:pPr>
      <w:r>
        <w:rPr>
          <w:rFonts w:ascii="微软雅黑" w:hAnsi="微软雅黑" w:eastAsia="微软雅黑" w:cs="微软雅黑"/>
        </w:rPr>
        <w:t>6.1 全库模块（library）</w:t>
      </w:r>
    </w:p>
    <w:p>
      <w:r>
        <w:rPr>
          <w:rFonts w:ascii="微软雅黑" w:hAnsi="微软雅黑" w:eastAsia="微软雅黑" w:cs="微软雅黑"/>
        </w:rPr>
        <w:t>组件：LibraryView, CategoryTree, ItemGrid, ItemDetail（共享）。</w:t>
      </w:r>
    </w:p>
    <w:p>
      <w:r>
        <w:rPr>
          <w:rFonts w:ascii="微软雅黑" w:hAnsi="微软雅黑" w:eastAsia="微软雅黑" w:cs="微软雅黑"/>
        </w:rPr>
        <w:t>流程：加载 categories 表 → 渲染左侧导航选中 → 加载 items → 点击 itemId 路由到详情。</w:t>
      </w:r>
    </w:p>
    <w:p>
      <w:r>
        <w:rPr>
          <w:rFonts w:ascii="微软雅黑" w:hAnsi="微软雅黑" w:eastAsia="微软雅黑" w:cs="微软雅黑"/>
        </w:rPr>
        <w:t>IPC：library:listCategories, library:listItems, library:updateItem, library:createItem。</w:t>
      </w:r>
    </w:p>
    <w:p>
      <w:pPr>
        <w:pStyle w:val="Heading2"/>
      </w:pPr>
      <w:r>
        <w:rPr>
          <w:rFonts w:ascii="微软雅黑" w:hAnsi="微软雅黑" w:eastAsia="微软雅黑" w:cs="微软雅黑"/>
        </w:rPr>
        <w:t>6.2 RSS 模块（rss）</w:t>
      </w:r>
    </w:p>
    <w:p>
      <w:r>
        <w:rPr>
          <w:rFonts w:ascii="微软雅黑" w:hAnsi="微软雅黑" w:eastAsia="微软雅黑" w:cs="微软雅黑"/>
        </w:rPr>
        <w:t>组件：RssView, FeedList, EntryList, EntryDetail。</w:t>
      </w:r>
    </w:p>
    <w:p>
      <w:r>
        <w:rPr>
          <w:rFonts w:ascii="微软雅黑" w:hAnsi="微软雅黑" w:eastAsia="微软雅黑" w:cs="微软雅黑"/>
        </w:rPr>
        <w:t>主进程 RssService：fetchFeed(url) → parse → 存 rss_entries；定时器默认 30min。</w:t>
      </w:r>
    </w:p>
    <w:p>
      <w:pPr>
        <w:pStyle w:val="Heading2"/>
      </w:pPr>
      <w:r>
        <w:rPr>
          <w:rFonts w:ascii="微软雅黑" w:hAnsi="微软雅黑" w:eastAsia="微软雅黑" w:cs="微软雅黑"/>
        </w:rPr>
        <w:t>6.3 自建模块（custom）</w:t>
      </w:r>
    </w:p>
    <w:p>
      <w:r>
        <w:rPr>
          <w:rFonts w:ascii="微软雅黑" w:hAnsi="微软雅黑" w:eastAsia="微软雅黑" w:cs="微软雅黑"/>
        </w:rPr>
        <w:t>组件：CustomView, CategoryForm, ItemForm, DynamicFieldBuilder, DynamicFieldRenderer。</w:t>
      </w:r>
    </w:p>
    <w:p>
      <w:r>
        <w:rPr>
          <w:rFonts w:ascii="微软雅黑" w:hAnsi="微软雅黑" w:eastAsia="微软雅黑" w:cs="微软雅黑"/>
        </w:rPr>
        <w:t>分类创建前调用 library:checkCategoryNameDuplicate。</w:t>
      </w:r>
    </w:p>
    <w:p>
      <w:pPr>
        <w:pStyle w:val="Heading2"/>
      </w:pPr>
      <w:r>
        <w:rPr>
          <w:rFonts w:ascii="微软雅黑" w:hAnsi="微软雅黑" w:eastAsia="微软雅黑" w:cs="微软雅黑"/>
        </w:rPr>
        <w:t>6.4 个人模块（personal）</w:t>
      </w:r>
    </w:p>
    <w:p>
      <w:r>
        <w:rPr>
          <w:rFonts w:ascii="微软雅黑" w:hAnsi="微软雅黑" w:eastAsia="微软雅黑" w:cs="微软雅黑"/>
        </w:rPr>
        <w:t>组件：PersonalHome, ProfileEditor, FavoritesList, HistoryList。</w:t>
      </w:r>
    </w:p>
    <w:p>
      <w:r>
        <w:rPr>
          <w:rFonts w:ascii="微软雅黑" w:hAnsi="微软雅黑" w:eastAsia="微软雅黑" w:cs="微软雅黑"/>
        </w:rPr>
        <w:t>数据：user.sqlite 中 profiles, favorites, history 表。</w:t>
      </w:r>
    </w:p>
    <w:p>
      <w:pPr>
        <w:pStyle w:val="Heading2"/>
      </w:pPr>
      <w:r>
        <w:rPr>
          <w:rFonts w:ascii="微软雅黑" w:hAnsi="微软雅黑" w:eastAsia="微软雅黑" w:cs="微软雅黑"/>
        </w:rPr>
        <w:t>6.5 设置模块（settings）</w:t>
      </w:r>
    </w:p>
    <w:p>
      <w:r>
        <w:rPr>
          <w:rFonts w:ascii="微软雅黑" w:hAnsi="微软雅黑" w:eastAsia="微软雅黑" w:cs="微软雅黑"/>
        </w:rPr>
        <w:t>组件：SettingsView, GeneralSettings, SecuritySettings, AboutPanel, LegalPanel。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7 物品模型与统一展示页</w:t>
      </w:r>
    </w:p>
    <w:p>
      <w:r>
        <w:rPr>
          <w:rFonts w:ascii="微软雅黑" w:hAnsi="微软雅黑" w:eastAsia="微软雅黑" w:cs="微软雅黑"/>
        </w:rPr>
        <w:t>7.1 Item 实体（TypeScript 接口）</w:t>
      </w:r>
    </w:p>
    <w:p>
      <w:r>
        <w:rPr>
          <w:rFonts w:ascii="微软雅黑" w:hAnsi="微软雅黑" w:eastAsia="微软雅黑" w:cs="微软雅黑"/>
        </w:rPr>
        <w:t>interface Item { id, categoryId, subCategoryId, source: 'library'|'custom'|'rss', name, summary, description, tags: string[], coverMediaId?, mediaIds[], customFields?: Record&lt;string, unknown&gt;, createdAt, updatedAt }</w:t>
      </w:r>
    </w:p>
    <w:p>
      <w:r>
        <w:rPr>
          <w:rFonts w:ascii="微软雅黑" w:hAnsi="微软雅黑" w:eastAsia="微软雅黑" w:cs="微软雅黑"/>
        </w:rPr>
        <w:t>7.2 详情页区块：ItemDetailHero, ItemMetaBar, ItemDescription, ItemGallery, ItemTags。</w:t>
      </w:r>
    </w:p>
    <w:p>
      <w:r>
        <w:rPr>
          <w:rFonts w:ascii="微软雅黑" w:hAnsi="微软雅黑" w:eastAsia="微软雅黑" w:cs="微软雅黑"/>
        </w:rPr>
        <w:t>7.3 列表卡片 ItemCard：缩略图 lazy load，标题单行 ellipsis。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8 自建动态表单引擎</w:t>
      </w:r>
    </w:p>
    <w:p>
      <w:r>
        <w:rPr>
          <w:rFonts w:ascii="微软雅黑" w:hAnsi="微软雅黑" w:eastAsia="微软雅黑" w:cs="微软雅黑"/>
        </w:rPr>
        <w:t>8.1 字段定义表 custom_field_defs：id, categoryId, type, label, order, config(JSON)。</w:t>
      </w:r>
    </w:p>
    <w:p>
      <w:r>
        <w:rPr>
          <w:rFonts w:ascii="微软雅黑" w:hAnsi="微软雅黑" w:eastAsia="微软雅黑" w:cs="微软雅黑"/>
        </w:rPr>
        <w:t>8.2 类型枚举 v1.0：text, textarea, color。</w:t>
      </w:r>
    </w:p>
    <w:p>
      <w:r>
        <w:rPr>
          <w:rFonts w:ascii="微软雅黑" w:hAnsi="微软雅黑" w:eastAsia="微软雅黑" w:cs="微软雅黑"/>
        </w:rPr>
        <w:t>8.3 值表 custom_field_values：itemId, fieldId, valueText。</w:t>
      </w:r>
    </w:p>
    <w:p>
      <w:r>
        <w:rPr>
          <w:rFonts w:ascii="微软雅黑" w:hAnsi="微软雅黑" w:eastAsia="微软雅黑" w:cs="微软雅黑"/>
        </w:rPr>
        <w:t>8.4 DynamicFieldRenderer 根据 type 映射 PrimeVue InputText | Textarea | ColorPicker。</w:t>
      </w:r>
    </w:p>
    <w:p>
      <w:r>
        <w:rPr>
          <w:rFonts w:ascii="微软雅黑" w:hAnsi="微软雅黑" w:eastAsia="微软雅黑" w:cs="微软雅黑"/>
        </w:rPr>
        <w:t>8.5 校验：required、maxLength；颜色格式 #RRGGBB。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9 RSS 子系统设计</w:t>
      </w:r>
    </w:p>
    <w:p>
      <w:r>
        <w:rPr>
          <w:rFonts w:ascii="微软雅黑" w:hAnsi="微软雅黑" w:eastAsia="微软雅黑" w:cs="微软雅黑"/>
        </w:rPr>
        <w:t>9.1 表 rss_feeds(id, title, url, refreshInterval, lastFetchedAt, enabled)。</w:t>
      </w:r>
    </w:p>
    <w:p>
      <w:r>
        <w:rPr>
          <w:rFonts w:ascii="微软雅黑" w:hAnsi="微软雅黑" w:eastAsia="微软雅黑" w:cs="微软雅黑"/>
        </w:rPr>
        <w:t>9.2 表 rss_entries(id, feedId, guid, title, summary, link, publishedAt, raw)。</w:t>
      </w:r>
    </w:p>
    <w:p>
      <w:r>
        <w:rPr>
          <w:rFonts w:ascii="微软雅黑" w:hAnsi="微软雅黑" w:eastAsia="微软雅黑" w:cs="微软雅黑"/>
        </w:rPr>
        <w:t>9.3 网络：主进程 node-fetch/https；User-Agent 标识 Wanwu/1.0。</w:t>
      </w:r>
    </w:p>
    <w:p>
      <w:r>
        <w:rPr>
          <w:rFonts w:ascii="微软雅黑" w:hAnsi="微软雅黑" w:eastAsia="微软雅黑" w:cs="微软雅黑"/>
        </w:rPr>
        <w:t>9.4 失败重试：指数退避 3 次；缓存上次成功结果。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10 数据存储设计</w:t>
      </w:r>
    </w:p>
    <w:p>
      <w:r>
        <w:rPr>
          <w:rFonts w:ascii="微软雅黑" w:hAnsi="微软雅黑" w:eastAsia="微软雅黑" w:cs="微软雅黑"/>
        </w:rPr>
        <w:t>10.1 目录结构（userData/wanwu/）：db/, media/, cache/, config.json。</w:t>
      </w:r>
    </w:p>
    <w:p>
      <w:r>
        <w:rPr>
          <w:rFonts w:ascii="微软雅黑" w:hAnsi="微软雅黑" w:eastAsia="微软雅黑" w:cs="微软雅黑"/>
        </w:rPr>
        <w:t>10.2 库文件：library_{categoryId}.sqlite, custom.sqlite, rss.sqlite, user.sqlite。</w:t>
      </w:r>
    </w:p>
    <w:p>
      <w:r>
        <w:rPr>
          <w:rFonts w:ascii="微软雅黑" w:hAnsi="微软雅黑" w:eastAsia="微软雅黑" w:cs="微软雅黑"/>
        </w:rPr>
        <w:t>10.3 核心表：categories, items, item_media, tags, item_tags, custom_field_defs, custom_field_values, rss_feeds, rss_entries, favorites, history。</w:t>
      </w:r>
    </w:p>
    <w:p>
      <w:r>
        <w:rPr>
          <w:rFonts w:ascii="微软雅黑" w:hAnsi="微软雅黑" w:eastAsia="微软雅黑" w:cs="微软雅黑"/>
        </w:rPr>
        <w:t>10.4 媒体路径：media/{source}/{categoryId}/{itemId}/{filename}；DB 存相对路径。</w:t>
      </w:r>
    </w:p>
    <w:p>
      <w:r>
        <w:rPr>
          <w:rFonts w:ascii="微软雅黑" w:hAnsi="微软雅黑" w:eastAsia="微软雅黑" w:cs="微软雅黑"/>
        </w:rPr>
        <w:t>10.5 加密方案（v1.0 选定）：使用 @journeyapps/sqlcipher + better-sqlite3 编译扩展；首次启用加密时迁移明文库；密钥 = PBKDF2(用户主密码, salt)。</w:t>
      </w:r>
    </w:p>
    <w:p>
      <w:r>
        <w:rPr>
          <w:rFonts w:ascii="微软雅黑" w:hAnsi="微软雅黑" w:eastAsia="微软雅黑" w:cs="微软雅黑"/>
        </w:rPr>
        <w:t>10.6 备选：应用层 AES-256-GCM 加密整个 .sqlite 文件（实现简单但无法 SQL 查询加密文件）。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11 初始数据导入</w:t>
      </w:r>
    </w:p>
    <w:p>
      <w:r>
        <w:rPr>
          <w:rFonts w:ascii="微软雅黑" w:hAnsi="微软雅黑" w:eastAsia="微软雅黑" w:cs="微软雅黑"/>
        </w:rPr>
        <w:t>11.1 流水线：seed JSON（assets/seed/）→ ImportService → 各 library DB。</w:t>
      </w:r>
    </w:p>
    <w:p>
      <w:r>
        <w:rPr>
          <w:rFonts w:ascii="微软雅黑" w:hAnsi="微软雅黑" w:eastAsia="微软雅黑" w:cs="微软雅黑"/>
        </w:rPr>
        <w:t>11.2 优先级：① API 脚本（build 时）② AI/爬虫整理 JSON ③ 人工最少。</w:t>
      </w:r>
    </w:p>
    <w:p>
      <w:r>
        <w:rPr>
          <w:rFonts w:ascii="微软雅黑" w:hAnsi="微软雅黑" w:eastAsia="微软雅黑" w:cs="微软雅黑"/>
        </w:rPr>
        <w:t>11.3 校验：名称非空、图片 URL 可下载或本地占位、分类 ID 合法。</w:t>
      </w:r>
    </w:p>
    <w:p>
      <w:r>
        <w:rPr>
          <w:rFonts w:ascii="微软雅黑" w:hAnsi="微软雅黑" w:eastAsia="微软雅黑" w:cs="微软雅黑"/>
        </w:rPr>
        <w:t>11.4 命令：npm run seed:import -- --category=cat --source=eol</w:t>
      </w:r>
    </w:p>
    <w:p>
      <w:pPr>
        <w:pStyle w:val="Heading1"/>
      </w:pPr>
      <w:r>
        <w:rPr>
          <w:rFonts w:ascii="微软雅黑" w:hAnsi="微软雅黑" w:eastAsia="微软雅黑" w:cs="微软雅黑"/>
        </w:rPr>
        <w:t>12 UI/UX 设计规范</w:t>
      </w:r>
    </w:p>
    <w:p>
      <w:r>
        <w:rPr>
          <w:rFonts w:ascii="微软雅黑" w:hAnsi="微软雅黑" w:eastAsia="微软雅黑" w:cs="微软雅黑"/>
        </w:rPr>
        <w:t>12.1 CSS 变量（:root）：--ww-bg #FFFFFF; --ww-bg-subtle #F5F5F5; --ww-text #111111; --ww-text-muted #666666; --ww-border #E5E5E5; --ww-accent #111111。</w:t>
      </w:r>
    </w:p>
    <w:p>
      <w:r>
        <w:rPr>
          <w:rFonts w:ascii="微软雅黑" w:hAnsi="微软雅黑" w:eastAsia="微软雅黑" w:cs="微软雅黑"/>
        </w:rPr>
        <w:t>12.2 字体栈：'Inter', 'Source Han Sans SC', 'PingFang SC', system-ui。</w:t>
      </w:r>
    </w:p>
    <w:p>
      <w:r>
        <w:rPr>
          <w:rFonts w:ascii="微软雅黑" w:hAnsi="微软雅黑" w:eastAsia="微软雅黑" w:cs="微软雅黑"/>
        </w:rPr>
        <w:t>12.3 字号：标题 20/16/14px；正文 14px；辅助 12px。</w:t>
      </w:r>
    </w:p>
    <w:p>
      <w:r>
        <w:rPr>
          <w:rFonts w:ascii="微软雅黑" w:hAnsi="微软雅黑" w:eastAsia="微软雅黑" w:cs="微软雅黑"/>
        </w:rPr>
        <w:t>12.4 PrimeVue 主题覆盖：border-radius: 0; box-shadow: none; 边框 1px solid var(--ww-border)。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13 动画与特效</w:t>
      </w:r>
    </w:p>
    <w:p>
      <w:r>
        <w:rPr>
          <w:rFonts w:ascii="微软雅黑" w:hAnsi="微软雅黑" w:eastAsia="微软雅黑" w:cs="微软雅黑"/>
        </w:rPr>
        <w:t>13.1 路由过渡：fade + translateY(8px)，300ms ease-out。</w:t>
      </w:r>
    </w:p>
    <w:p>
      <w:r>
        <w:rPr>
          <w:rFonts w:ascii="微软雅黑" w:hAnsi="微软雅黑" w:eastAsia="微软雅黑" w:cs="微软雅黑"/>
        </w:rPr>
        <w:t>13.2 列表：stagger 50ms；详情页 Hero 视差滚动可选。</w:t>
      </w:r>
    </w:p>
    <w:p>
      <w:r>
        <w:rPr>
          <w:rFonts w:ascii="微软雅黑" w:hAnsi="微软雅黑" w:eastAsia="微软雅黑" w:cs="微软雅黑"/>
        </w:rPr>
        <w:t>13.3 特效边界：高斯模糊仅用于 Hero 背景；渐变用于分隔；避免过度栅格干扰阅读。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14 项目目录结构</w:t>
      </w:r>
    </w:p>
    <w:p>
      <w:r>
        <w:rPr>
          <w:rFonts w:ascii="微软雅黑" w:hAnsi="微软雅黑" w:eastAsia="微软雅黑" w:cs="微软雅黑"/>
        </w:rPr>
        <w:br/>
        <w:t>wanwu/</w:t>
        <w:br/>
        <w:t>├── electron/</w:t>
        <w:br/>
        <w:t>│   ├── main.ts</w:t>
        <w:br/>
        <w:t>│   ├── preload.ts</w:t>
        <w:br/>
        <w:t>│   └── services/</w:t>
        <w:br/>
        <w:t>│       ├── database.ts</w:t>
        <w:br/>
        <w:t>│       ├── libraryService.ts</w:t>
        <w:br/>
        <w:t>│       ├── rssService.ts</w:t>
        <w:br/>
        <w:t>│       ├── mediaService.ts</w:t>
        <w:br/>
        <w:t>│       └── cryptoService.ts</w:t>
        <w:br/>
        <w:t>├── src/</w:t>
        <w:br/>
        <w:t>│   ├── app/</w:t>
        <w:br/>
        <w:t>│   │   ├── App.vue</w:t>
        <w:br/>
        <w:t>│   │   ├── router/</w:t>
        <w:br/>
        <w:t>│   │   └── styles/tokens.css</w:t>
        <w:br/>
        <w:t>│   ├── modules/</w:t>
        <w:br/>
        <w:t>│   │   ├── library/</w:t>
        <w:br/>
        <w:t>│   │   ├── rss/</w:t>
        <w:br/>
        <w:t>│   │   ├── custom/</w:t>
        <w:br/>
        <w:t>│   │   ├── personal/</w:t>
        <w:br/>
        <w:t>│   │   └── settings/</w:t>
        <w:br/>
        <w:t>│   ├── features/item/</w:t>
        <w:br/>
        <w:t>│   └── shared/</w:t>
        <w:br/>
        <w:t>├── assets/seed/</w:t>
        <w:br/>
        <w:t>└── scripts/seed-import.ts</w:t>
        <w:br/>
      </w:r>
    </w:p>
    <w:p>
      <w:pPr>
        <w:pStyle w:val="Heading1"/>
      </w:pPr>
      <w:r>
        <w:rPr>
          <w:rFonts w:ascii="微软雅黑" w:hAnsi="微软雅黑" w:eastAsia="微软雅黑" w:cs="微软雅黑"/>
        </w:rPr>
        <w:t>15 技术难点与方案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  <w:b/>
              </w:rPr>
              <w:t>难点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  <w:b/>
              </w:rPr>
              <w:t>方案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大图性能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缩略图缓存 + 原图懒加载 + 虚拟列表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RSS 跨域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主进程代理请求，渲染进程不直连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加密性能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SQLCipher 页级加密；热数据 WAL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分类去重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主进程维护全库分类名索引缓存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动态表单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JSON Schema 式 defs + 统一 Renderer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初始数据量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分批次导入 + 进度条 + 可中断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 w:cs="微软雅黑"/>
        </w:rPr>
        <w:t>16 第三方 API 资源清单</w:t>
      </w:r>
    </w:p>
    <w:p>
      <w:r>
        <w:rPr>
          <w:rFonts w:ascii="微软雅黑" w:hAnsi="微软雅黑" w:eastAsia="微软雅黑" w:cs="微软雅黑"/>
        </w:rPr>
        <w:t>以下 API 优先免费、开源友好；调用均在主进程 SeedService 或构建脚本中执行；需遵守各站 Terms 与速率限制；失败时回退 assets/seed/*.json。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  <w:b/>
              </w:rPr>
              <w:t>领域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  <w:b/>
              </w:rPr>
              <w:t>API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  <w:b/>
              </w:rPr>
              <w:t>文档URL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  <w:b/>
              </w:rPr>
              <w:t>认证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  <w:b/>
              </w:rPr>
              <w:t>许可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  <w:b/>
              </w:rPr>
              <w:t>示例端点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  <w:b/>
              </w:rPr>
              <w:t>字段映射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  <w:b/>
              </w:rPr>
              <w:t>限流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猫/狗/物种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Encyclopedia of Life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https://eol.org/api/docs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部分免 Key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CC/BY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GET /search.json?q={name}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name→Item.name, description→description, image→media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1 req/s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物种分类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ITIS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https://www.itis.gov/ws/description.html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无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美国政府公开数据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GET /jsonservice/SingleRpt/SingleRpt?searchTerm=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scientificName, commonName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合理使用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植物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Trefle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https://trefle.io/api/v1/species/{id}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Bearer Token 免费注册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ODbL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species?filter[common_name]=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common_name, image_url, family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120/min 免费档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电影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OMDb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https://www.omdbapi.com/?apikey=KEY&amp;t=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apikey 免费申请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需注明数据来源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t=Title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Title, Plot, Poster, Year→tags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1000/day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百科条目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Wikipedia REST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https://zh.wikipedia.org/api/rest_v1/page/summary/{title}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无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CC BY-SA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page/summary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title, extract, thumbnail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遵守 UA 政策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图片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Wikimedia Commons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https://commons.wikimedia.org/w/api.php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无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各文件许可不同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action=query&amp;prop=imageinfo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url→item_media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检查每张图许可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词典/冷知识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Free Dictionary API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https://api.dictionaryapi.dev/api/v2/entries/en/{word}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无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开源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entries[0].meanings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word, definition→summary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无硬性限制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车辆参考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NHTSA vPIC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https://vpic.nhtsa.dot.gov/api/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无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美国公共领域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GetModelsForMake/{make}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Make, Model→超跑/摩托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合理使用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RSS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各 Feed URL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用户/默认源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rss-parser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title, link, summary→条目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 w:cs="微软雅黑"/>
              </w:rPr>
              <w:t>主进程拉取</w:t>
            </w:r>
          </w:p>
        </w:tc>
      </w:tr>
    </w:tbl>
    <w:p/>
    <w:p>
      <w:r>
        <w:rPr>
          <w:rFonts w:ascii="微软雅黑" w:hAnsi="微软雅黑" w:eastAsia="微软雅黑" w:cs="微软雅黑"/>
        </w:rPr>
        <w:t>16.1 OMDb 调用示例</w:t>
      </w:r>
    </w:p>
    <w:p>
      <w:r>
        <w:rPr>
          <w:rFonts w:ascii="微软雅黑" w:hAnsi="微软雅黑" w:eastAsia="微软雅黑" w:cs="微软雅黑"/>
        </w:rPr>
        <w:t>GET https://www.omdbapi.com/?apikey={KEY}&amp;t=Inception&amp;plot=full → 映射 Item(name, description, cover from Poster)。</w:t>
      </w:r>
    </w:p>
    <w:p>
      <w:r>
        <w:rPr>
          <w:rFonts w:ascii="微软雅黑" w:hAnsi="微软雅黑" w:eastAsia="微软雅黑" w:cs="微软雅黑"/>
        </w:rPr>
        <w:t>16.2 EOL 调用示例</w:t>
      </w:r>
    </w:p>
    <w:p>
      <w:r>
        <w:rPr>
          <w:rFonts w:ascii="微软雅黑" w:hAnsi="微软雅黑" w:eastAsia="微软雅黑" w:cs="微软雅黑"/>
        </w:rPr>
        <w:t>GET https://eol.org/api/search/1.0.json?q=Felis+catus&amp;page=1 → 取 results[0].id → pages API 取描述与图。</w:t>
      </w:r>
    </w:p>
    <w:p>
      <w:r>
        <w:rPr>
          <w:rFonts w:ascii="微软雅黑" w:hAnsi="微软雅黑" w:eastAsia="微软雅黑" w:cs="微软雅黑"/>
        </w:rPr>
        <w:t>16.3 Wikipedia 调用示例</w:t>
      </w:r>
    </w:p>
    <w:p>
      <w:r>
        <w:rPr>
          <w:rFonts w:ascii="微软雅黑" w:hAnsi="微软雅黑" w:eastAsia="微软雅黑" w:cs="微软雅黑"/>
        </w:rPr>
        <w:t>GET https://zh.wikipedia.org/api/rest_v1/page/summary/猫 → extract 作 summary，thumbnail.source 下载到 media。</w:t>
      </w:r>
    </w:p>
    <w:p>
      <w:r>
        <w:rPr>
          <w:rFonts w:ascii="微软雅黑" w:hAnsi="微软雅黑" w:eastAsia="微软雅黑" w:cs="微软雅黑"/>
        </w:rPr>
        <w:t>16.4 默认 RSS 源建议（免费）</w:t>
      </w:r>
    </w:p>
    <w:p>
      <w:r>
        <w:rPr>
          <w:rFonts w:ascii="微软雅黑" w:hAnsi="微软雅黑" w:eastAsia="微软雅黑" w:cs="微软雅黑"/>
        </w:rPr>
        <w:t>可根据领域选用公开 RSS：如 Wikimedia RecentChanges、设计类博客官方 Feed；内置列表存 rss_feeds 表 isDefault=1。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17 测试策略</w:t>
      </w:r>
    </w:p>
    <w:p>
      <w:r>
        <w:rPr>
          <w:rFonts w:ascii="微软雅黑" w:hAnsi="微软雅黑" w:eastAsia="微软雅黑" w:cs="微软雅黑"/>
        </w:rPr>
        <w:t>17.1 单元测试：DynamicFieldRenderer 校验、分类去重逻辑、Item 序列化。</w:t>
      </w:r>
    </w:p>
    <w:p>
      <w:r>
        <w:rPr>
          <w:rFonts w:ascii="微软雅黑" w:hAnsi="微软雅黑" w:eastAsia="微软雅黑" w:cs="微软雅黑"/>
        </w:rPr>
        <w:t>17.2 API 集成测试：mock fetch 返回 fixture JSON，断言 ImportService 写入 DB 字段正确。</w:t>
      </w:r>
    </w:p>
    <w:p>
      <w:r>
        <w:rPr>
          <w:rFonts w:ascii="微软雅黑" w:hAnsi="微软雅黑" w:eastAsia="微软雅黑" w:cs="微软雅黑"/>
        </w:rPr>
        <w:t>17.3 IPC 契约测试：preload 暴露 API 与主进程 handler 名称一致。</w:t>
      </w:r>
    </w:p>
    <w:p>
      <w:r>
        <w:rPr>
          <w:rFonts w:ascii="微软雅黑" w:hAnsi="微软雅黑" w:eastAsia="微软雅黑" w:cs="微软雅黑"/>
        </w:rPr>
        <w:t>17.4 E2E：v1.0 暂不强制；可选用 Playwright for Electron 抽冒烟。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18 v2.0 预留设计</w:t>
      </w:r>
    </w:p>
    <w:p>
      <w:r>
        <w:rPr>
          <w:rFonts w:ascii="微软雅黑" w:hAnsi="微软雅黑" w:eastAsia="微软雅黑" w:cs="微软雅黑"/>
        </w:rPr>
        <w:t>18.1 ItemDisplayTemplate 表与模板编辑器；物品 templateId 字段。</w:t>
      </w:r>
    </w:p>
    <w:p>
      <w:r>
        <w:rPr>
          <w:rFonts w:ascii="微软雅黑" w:hAnsi="微软雅黑" w:eastAsia="微软雅黑" w:cs="微软雅黑"/>
        </w:rPr>
        <w:t>18.2 主题：tokens 双套 light/dark，设置页一键切换。</w:t>
      </w:r>
    </w:p>
    <w:p>
      <w:r>
        <w:rPr>
          <w:rFonts w:ascii="微软雅黑" w:hAnsi="微软雅黑" w:eastAsia="微软雅黑" w:cs="微软雅黑"/>
        </w:rPr>
        <w:t>18.3 SyncAdapter 接口：push/pull，v1.0 不实现。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附录 A 数据库 ER 说明</w:t>
      </w:r>
    </w:p>
    <w:p>
      <w:r>
        <w:rPr>
          <w:rFonts w:ascii="微软雅黑" w:hAnsi="微软雅黑" w:eastAsia="微软雅黑" w:cs="微软雅黑"/>
        </w:rPr>
        <w:t>categories 1─N items；items 1─N item_media；items N─M tags；custom_field_defs 1─N custom_field_values；rss_feeds 1─N rss_entries；users 1─N favorites（多态 item 引用）。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附录 B 关键 IPC 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  <w:b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  <w:b/>
              </w:rPr>
              <w:t>Args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  <w:b/>
              </w:rPr>
              <w:t>Returns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library:listCategories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{}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Category[]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library:listItems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{ categoryId, subCategoryId? }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Item[]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library:updateItem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{ item }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Item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custom:checkDuplicate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{ name }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{ duplicate, suggestModule }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rss:fetchFeed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{ feedId }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RssEntry[]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media:saveImage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{ buffer, path }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{ relativePath }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db:unlock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{ password }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{ ok }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 w:cs="微软雅黑"/>
        </w:rPr>
        <w:t>附录 C FR→DD 追溯矩阵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  <w:b/>
              </w:rPr>
              <w:t>FR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  <w:b/>
              </w:rPr>
              <w:t>DD 章节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  <w:b/>
              </w:rPr>
              <w:t>实现要点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FR-LIB-001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DD-6.1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默认分类配置 assets/seed/categories.json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FR-LIB-002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DD-6.1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categories.parentId 树形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FR-LIB-003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DD-7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ItemGrid + ItemDetail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FR-LIB-004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DD-6.1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无 deleteCategory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FR-LIB-005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DD-7, DD-10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library:updateItem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FR-LIB-008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DD-11, DD-16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SeedService +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FR-RSS-002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DD-9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Feed 表单 + rss_feeds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FR-CUS-002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DD-6.3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checkDuplicate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FR-CUS-004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DD-8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DynamicFieldBuilder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FR-GLO-003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DD-7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features/item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FR-SET-006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DD-10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SQLCipher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FR-GLO-004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DD-12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CSS variables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 w:cs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微软雅黑" w:hAnsi="微软雅黑" w:eastAsia="微软雅黑" w:cs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