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Analysis and Reporting Using Power BI</w:t>
        <w:br/>
        <w:t>University Academic Analytics</w:t>
      </w:r>
    </w:p>
    <w:p>
      <w:r>
        <w:t>Student Information: [Name / ID placeholders]</w:t>
      </w:r>
    </w:p>
    <w:p>
      <w:pPr>
        <w:pStyle w:val="Heading1"/>
      </w:pPr>
      <w:r>
        <w:t>Executive Summary</w:t>
      </w:r>
    </w:p>
    <w:p>
      <w:r>
        <w:t>This project builds a complete synthetic university analytics dataset and a Power BI-ready reporting package covering enrollment, academic performance, attendance, finance, faculty workload, and department budgets.</w:t>
      </w:r>
    </w:p>
    <w:p>
      <w:pPr>
        <w:pStyle w:val="Heading1"/>
      </w:pPr>
      <w:r>
        <w:t>Dataset Description</w:t>
      </w:r>
    </w:p>
    <w:p>
      <w:r>
        <w:t>The cleaned dataset contains 1000 students, 70 courses, 50 faculty members, 12500 enrollment records, 22577 attendance records, and 5994 payment records across 2023-2026.</w:t>
      </w:r>
    </w:p>
    <w:p>
      <w:pPr>
        <w:pStyle w:val="Heading1"/>
      </w:pPr>
      <w:r>
        <w:t>Data Model Design</w:t>
      </w:r>
    </w:p>
    <w:p>
      <w:r>
        <w:t>The model uses dimensions for Students, StudentProfile, Departments, Courses, Faculty, and Semesters, facts for Attendance, Payments, and DepartmentBudget, and Enrollment as the bridge/fact table resolving the conceptual many-to-many relationship between Students and Courses.</w:t>
      </w:r>
    </w:p>
    <w:p>
      <w:pPr>
        <w:pStyle w:val="Heading1"/>
      </w:pPr>
      <w:r>
        <w:t>Power Query Transformations</w:t>
      </w:r>
    </w:p>
    <w:p>
      <w:r>
        <w:t>The raw data intentionally includes inconsistent capitalization, blanks, duplicate records, invalid marks, date text, and payment-status inconsistencies. Cleaning standardizes text, removes duplicates, corrects types, validates ranges, and derives risk categories.</w:t>
      </w:r>
    </w:p>
    <w:p>
      <w:pPr>
        <w:pStyle w:val="Heading1"/>
      </w:pPr>
      <w:r>
        <w:t>DAX Measures</w:t>
      </w:r>
    </w:p>
    <w:p>
      <w:r>
        <w:t>The measure library contains 40 documented measures stored in `_Measures`, including KPIs, rates, growth calculations, ranking, dynamic titles, TOPN, CONCATENATEX, and USERELATIONSHIP examples.</w:t>
      </w:r>
    </w:p>
    <w:p>
      <w:pPr>
        <w:pStyle w:val="Heading1"/>
      </w:pPr>
      <w:r>
        <w:t>Dashboard Design</w:t>
      </w:r>
    </w:p>
    <w:p>
      <w:r>
        <w:t>The report specification includes six required pages plus an optional drill-through page with slicers, bookmarks, dynamic titles, conditional formatting, report-page tooltips, and cross-filtering.</w:t>
      </w:r>
    </w:p>
    <w:p>
      <w:pPr>
        <w:pStyle w:val="Heading1"/>
      </w:pPr>
      <w:r>
        <w:t>Main Findings</w:t>
      </w:r>
    </w:p>
    <w:p>
      <w:r>
        <w:t>Highest enrollment department: English has the largest student count. Recommended action: Review section sizes and faculty allocation.</w:t>
        <w:br/>
        <w:t>Highest failure course: C018 has the highest failure rate. Recommended action: Add tutoring and review course design.</w:t>
        <w:br/>
        <w:t>Attendance relationship: Lower attendance bands show lower average final marks. Recommended action: Trigger advising below 75% attendance.</w:t>
        <w:br/>
        <w:t>Outstanding payments: Outstanding balance totals 125,733,250. Recommended action: Segment outreach by payment risk level.</w:t>
        <w:br/>
        <w:t>Budget utilization: D007 has the highest utilization in 2023. Recommended action: Review mid-year budget reallocations.</w:t>
        <w:br/>
        <w:t>Scholarship distribution: 100.0% of students receive a scholarship. Recommended action: Track outcomes by scholarship type.</w:t>
        <w:br/>
        <w:t>Faculty workload: Enrollment links faculty to taught courses for workload analysis. Recommended action: Monitor distinct courses and enrollments per faculty.</w:t>
        <w:br/>
        <w:t>Graduation eligibility: Credit and GPA measures identify students approaching eligibility. Recommended action: Add drill-through student review page.</w:t>
        <w:br/>
        <w:t>Payment status: Paid, partial, and unpaid categories provide finance risk visibility. Recommended action: Use respectful outreach workflows.</w:t>
        <w:br/>
        <w:t>Semester trend: Semester fields support enrollment and performance trend pages. Recommended action: Monitor semester-over-semester growth.</w:t>
      </w:r>
    </w:p>
    <w:p>
      <w:pPr>
        <w:pStyle w:val="Heading1"/>
      </w:pPr>
      <w:r>
        <w:t>Limitations</w:t>
      </w:r>
    </w:p>
    <w:p>
      <w:r>
        <w:t>Power BI Desktop was not installed in the execution environment, so the `.pbix`, live Power BI Service URL, screenshots from the actual dashboard, and tenant publication checks remain manual completion steps.</w:t>
      </w:r>
    </w:p>
    <w:p>
      <w:pPr>
        <w:pStyle w:val="Heading1"/>
      </w:pPr>
      <w:r>
        <w:t>Conclusion</w:t>
      </w:r>
    </w:p>
    <w:p>
      <w:r>
        <w:t>The package is ready for Power BI Desktop authoring using the cleaned workbook, relationship documentation, DAX library, Power Query code, and report-page build guide.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