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Data Analysis and Reporting Using Power BI</w:t>
        <w:br/>
        <w:t>University Academic Analytics</w:t>
      </w:r>
    </w:p>
    <w:p>
      <w:r>
        <w:t>Student Name: S. M. Monowar Kayser</w:t>
      </w:r>
    </w:p>
    <w:p>
      <w:r>
        <w:t>Student ID: 253-25-019</w:t>
      </w:r>
    </w:p>
    <w:p>
      <w:r>
        <w:t>Course Title: Data Visualization</w:t>
      </w:r>
    </w:p>
    <w:p>
      <w:r>
        <w:t>Course Instructor: Sadat Hasan</w:t>
      </w:r>
    </w:p>
    <w:p>
      <w:r>
        <w:t>Designation: Adjunct Faculty</w:t>
      </w:r>
    </w:p>
    <w:p>
      <w:r>
        <w:t>Department: Department of Computer Science and Engineering</w:t>
      </w:r>
    </w:p>
    <w:p>
      <w:r>
        <w:t>University: Daffodil International University</w:t>
      </w:r>
    </w:p>
    <w:p>
      <w:r>
        <w:br w:type="page"/>
      </w:r>
    </w:p>
    <w:p>
      <w:pPr>
        <w:pStyle w:val="Heading1"/>
      </w:pPr>
      <w:r>
        <w:t>Table of Contents</w:t>
      </w:r>
    </w:p>
    <w:p>
      <w:r>
        <w:t>Generated sections: Executive Summary through Appendices. Use Word References &gt; Table of Contents to refresh an automatic TOC if required.</w:t>
      </w:r>
    </w:p>
    <w:p>
      <w:pPr>
        <w:pStyle w:val="Heading1"/>
      </w:pPr>
      <w:r>
        <w:t>List of Figures</w:t>
      </w:r>
    </w:p>
    <w:p>
      <w:r>
        <w:t>Figure 1. Enrollment trend by semester</w:t>
      </w:r>
    </w:p>
    <w:p>
      <w:r>
        <w:t>Figure 2. Students by department</w:t>
      </w:r>
    </w:p>
    <w:p>
      <w:r>
        <w:t>Figure 3. Average final mark by department</w:t>
      </w:r>
    </w:p>
    <w:p>
      <w:r>
        <w:t>Figure 4. Outstanding fees by department</w:t>
      </w:r>
    </w:p>
    <w:p>
      <w:r>
        <w:t>Figure 5. Budget utilization by department</w:t>
      </w:r>
    </w:p>
    <w:p>
      <w:r>
        <w:t>Figure 6. System architecture and publication workflow</w:t>
      </w:r>
    </w:p>
    <w:p>
      <w:r>
        <w:t>Figure 7. Data-processing flowchart</w:t>
      </w:r>
    </w:p>
    <w:p>
      <w:r>
        <w:t>Figure 8. Data model diagram</w:t>
      </w:r>
    </w:p>
    <w:p>
      <w:r>
        <w:t>Figure 9. Published dashboard screenshot</w:t>
      </w:r>
    </w:p>
    <w:p>
      <w:r>
        <w:t>Figure 10. Mobile dashboard screenshot</w:t>
      </w:r>
    </w:p>
    <w:p>
      <w:pPr>
        <w:pStyle w:val="Heading1"/>
      </w:pPr>
      <w:r>
        <w:t>List of Tables</w:t>
      </w:r>
    </w:p>
    <w:p>
      <w:r>
        <w:t>Table 1. Dataset table summary</w:t>
      </w:r>
    </w:p>
    <w:p>
      <w:r>
        <w:t>Table 2. Validation summary</w:t>
      </w:r>
    </w:p>
    <w:p>
      <w:r>
        <w:t>Table 3. Main analytical findings</w:t>
      </w:r>
    </w:p>
    <w:p>
      <w:pPr>
        <w:pStyle w:val="Heading1"/>
      </w:pPr>
      <w:r>
        <w:t>Executive Summary</w:t>
      </w:r>
    </w:p>
    <w:p>
      <w:pPr>
        <w:jc w:val="both"/>
      </w:pPr>
      <w:r>
        <w:t>This project presents a complete university academic analytics solution using synthetic data and Power BI-ready modeling assets. The work includes data generation, raw and cleaned datasets, validation, relationship documentation, DAX and Power Query libraries, a public analytics viewer, a demonstration video, and a GitHub release. The cleaned dataset contains 1,000 students, 10 departments, 70 courses, 50 faculty members, 12,500 enrollment records, 22,577 attendance records, and 5,994 payment records. Power BI Desktop was unavailable, so the report honestly provides build-ready assets and a static analytics publication rather than a fabricated PBIX.</w:t>
      </w:r>
    </w:p>
    <w:p>
      <w:pPr>
        <w:pStyle w:val="Heading1"/>
      </w:pPr>
      <w:r>
        <w:t>Introduction</w:t>
      </w:r>
    </w:p>
    <w:p>
      <w:pPr>
        <w:jc w:val="both"/>
      </w:pPr>
      <w:r>
        <w:t>Data visualization helps academic administrators interpret complex institutional activities such as enrollment, grades, attendance, tuition collection, scholarship distribution, and budget utilization. This project applies a structured data-analysis workflow to a fictional university context and demonstrates how related operational tables can be transformed into a management-ready analytics system.</w:t>
      </w:r>
    </w:p>
    <w:p>
      <w:pPr>
        <w:pStyle w:val="Heading1"/>
      </w:pPr>
      <w:r>
        <w:t>Problem Statement</w:t>
      </w:r>
    </w:p>
    <w:p>
      <w:pPr>
        <w:jc w:val="both"/>
      </w:pPr>
      <w:r>
        <w:t>University decision makers often need to combine information from student records, course registration, attendance, finance, and departmental budgeting. Without a consistent data model, reporting becomes fragmented and difficult to validate. This project addresses that problem through a controlled relational dataset, automated validation, documented transformations, and a published analytics interface.</w:t>
      </w:r>
    </w:p>
    <w:p>
      <w:pPr>
        <w:pStyle w:val="Heading1"/>
      </w:pPr>
      <w:r>
        <w:t>Objectives</w:t>
      </w:r>
    </w:p>
    <w:p>
      <w:pPr>
        <w:jc w:val="both"/>
      </w:pPr>
      <w:r>
        <w:t>The objectives are to generate realistic synthetic data; preserve separate raw and cleaned datasets; demonstrate one-to-one, one-to-many, and bridge-resolved many-to-many relationships; document a Power BI semantic model; define DAX measures and calculated columns; specify dashboard pages; validate data quality; publish a reviewer-friendly analytics viewer; and provide formal academic documentation.</w:t>
      </w:r>
    </w:p>
    <w:p>
      <w:pPr>
        <w:pStyle w:val="Heading1"/>
      </w:pPr>
      <w:r>
        <w:t>Methodology</w:t>
      </w:r>
    </w:p>
    <w:p>
      <w:pPr>
        <w:jc w:val="both"/>
      </w:pPr>
      <w:r>
        <w:t>The project followed a reproducible pipeline: synthetic data generation, controlled raw-data issue injection, cleaning, validation, documentation, analytics publication, testing, and GitHub release management. Python was used for data generation, cleaning, validation, report-support files, and website data preparation. GitHub Pages was used to publish the static analytics viewer.</w:t>
      </w:r>
    </w:p>
    <w:p>
      <w:pPr>
        <w:pStyle w:val="Heading1"/>
      </w:pPr>
      <w:r>
        <w:t>Dataset Description</w:t>
      </w:r>
    </w:p>
    <w:p>
      <w:pPr>
        <w:jc w:val="both"/>
      </w:pPr>
      <w:r>
        <w:t>The dataset covers academic years 2023 to 2026 and uses fictional student, faculty, course, attendance, payment, and budget records. It contains ten required tables: Students, StudentProfile, Departments, Courses, Faculty, Semesters, Enrollment, Attendance, Payments, and DepartmentBudget. No real student or private institutional information is included.</w:t>
      </w:r>
    </w:p>
    <w:p>
      <w:r>
        <w:t>Table 1. Dataset table summary</w:t>
      </w:r>
    </w:p>
    <w:tbl>
      <w:tblPr>
        <w:tblStyle w:val="TableGrid"/>
        <w:tblW w:type="auto" w:w="0"/>
        <w:tblLook w:firstColumn="1" w:firstRow="1" w:lastColumn="0" w:lastRow="0" w:noHBand="0" w:noVBand="1" w:val="04A0"/>
      </w:tblPr>
      <w:tblGrid>
        <w:gridCol w:w="3120"/>
        <w:gridCol w:w="3120"/>
        <w:gridCol w:w="3120"/>
      </w:tblGrid>
      <w:tr>
        <w:tc>
          <w:tcPr>
            <w:tcW w:type="dxa" w:w="3120"/>
          </w:tcPr>
          <w:p>
            <w:r>
              <w:t>Table</w:t>
            </w:r>
          </w:p>
        </w:tc>
        <w:tc>
          <w:tcPr>
            <w:tcW w:type="dxa" w:w="3120"/>
          </w:tcPr>
          <w:p>
            <w:r>
              <w:t>Rows</w:t>
            </w:r>
          </w:p>
        </w:tc>
        <w:tc>
          <w:tcPr>
            <w:tcW w:type="dxa" w:w="3120"/>
          </w:tcPr>
          <w:p>
            <w:r>
              <w:t>Columns</w:t>
            </w:r>
          </w:p>
        </w:tc>
      </w:tr>
      <w:tr>
        <w:tc>
          <w:tcPr>
            <w:tcW w:type="dxa" w:w="3120"/>
          </w:tcPr>
          <w:p>
            <w:r>
              <w:t>Students</w:t>
            </w:r>
          </w:p>
        </w:tc>
        <w:tc>
          <w:tcPr>
            <w:tcW w:type="dxa" w:w="3120"/>
          </w:tcPr>
          <w:p>
            <w:r>
              <w:t>1,000</w:t>
            </w:r>
          </w:p>
        </w:tc>
        <w:tc>
          <w:tcPr>
            <w:tcW w:type="dxa" w:w="3120"/>
          </w:tcPr>
          <w:p>
            <w:r>
              <w:t>12</w:t>
            </w:r>
          </w:p>
        </w:tc>
      </w:tr>
      <w:tr>
        <w:tc>
          <w:tcPr>
            <w:tcW w:type="dxa" w:w="3120"/>
          </w:tcPr>
          <w:p>
            <w:r>
              <w:t>StudentProfile</w:t>
            </w:r>
          </w:p>
        </w:tc>
        <w:tc>
          <w:tcPr>
            <w:tcW w:type="dxa" w:w="3120"/>
          </w:tcPr>
          <w:p>
            <w:r>
              <w:t>1,000</w:t>
            </w:r>
          </w:p>
        </w:tc>
        <w:tc>
          <w:tcPr>
            <w:tcW w:type="dxa" w:w="3120"/>
          </w:tcPr>
          <w:p>
            <w:r>
              <w:t>7</w:t>
            </w:r>
          </w:p>
        </w:tc>
      </w:tr>
      <w:tr>
        <w:tc>
          <w:tcPr>
            <w:tcW w:type="dxa" w:w="3120"/>
          </w:tcPr>
          <w:p>
            <w:r>
              <w:t>Departments</w:t>
            </w:r>
          </w:p>
        </w:tc>
        <w:tc>
          <w:tcPr>
            <w:tcW w:type="dxa" w:w="3120"/>
          </w:tcPr>
          <w:p>
            <w:r>
              <w:t>10</w:t>
            </w:r>
          </w:p>
        </w:tc>
        <w:tc>
          <w:tcPr>
            <w:tcW w:type="dxa" w:w="3120"/>
          </w:tcPr>
          <w:p>
            <w:r>
              <w:t>6</w:t>
            </w:r>
          </w:p>
        </w:tc>
      </w:tr>
      <w:tr>
        <w:tc>
          <w:tcPr>
            <w:tcW w:type="dxa" w:w="3120"/>
          </w:tcPr>
          <w:p>
            <w:r>
              <w:t>Courses</w:t>
            </w:r>
          </w:p>
        </w:tc>
        <w:tc>
          <w:tcPr>
            <w:tcW w:type="dxa" w:w="3120"/>
          </w:tcPr>
          <w:p>
            <w:r>
              <w:t>70</w:t>
            </w:r>
          </w:p>
        </w:tc>
        <w:tc>
          <w:tcPr>
            <w:tcW w:type="dxa" w:w="3120"/>
          </w:tcPr>
          <w:p>
            <w:r>
              <w:t>7</w:t>
            </w:r>
          </w:p>
        </w:tc>
      </w:tr>
      <w:tr>
        <w:tc>
          <w:tcPr>
            <w:tcW w:type="dxa" w:w="3120"/>
          </w:tcPr>
          <w:p>
            <w:r>
              <w:t>Faculty</w:t>
            </w:r>
          </w:p>
        </w:tc>
        <w:tc>
          <w:tcPr>
            <w:tcW w:type="dxa" w:w="3120"/>
          </w:tcPr>
          <w:p>
            <w:r>
              <w:t>50</w:t>
            </w:r>
          </w:p>
        </w:tc>
        <w:tc>
          <w:tcPr>
            <w:tcW w:type="dxa" w:w="3120"/>
          </w:tcPr>
          <w:p>
            <w:r>
              <w:t>7</w:t>
            </w:r>
          </w:p>
        </w:tc>
      </w:tr>
      <w:tr>
        <w:tc>
          <w:tcPr>
            <w:tcW w:type="dxa" w:w="3120"/>
          </w:tcPr>
          <w:p>
            <w:r>
              <w:t>Semesters</w:t>
            </w:r>
          </w:p>
        </w:tc>
        <w:tc>
          <w:tcPr>
            <w:tcW w:type="dxa" w:w="3120"/>
          </w:tcPr>
          <w:p>
            <w:r>
              <w:t>11</w:t>
            </w:r>
          </w:p>
        </w:tc>
        <w:tc>
          <w:tcPr>
            <w:tcW w:type="dxa" w:w="3120"/>
          </w:tcPr>
          <w:p>
            <w:r>
              <w:t>5</w:t>
            </w:r>
          </w:p>
        </w:tc>
      </w:tr>
      <w:tr>
        <w:tc>
          <w:tcPr>
            <w:tcW w:type="dxa" w:w="3120"/>
          </w:tcPr>
          <w:p>
            <w:r>
              <w:t>Enrollment</w:t>
            </w:r>
          </w:p>
        </w:tc>
        <w:tc>
          <w:tcPr>
            <w:tcW w:type="dxa" w:w="3120"/>
          </w:tcPr>
          <w:p>
            <w:r>
              <w:t>12,500</w:t>
            </w:r>
          </w:p>
        </w:tc>
        <w:tc>
          <w:tcPr>
            <w:tcW w:type="dxa" w:w="3120"/>
          </w:tcPr>
          <w:p>
            <w:r>
              <w:t>14</w:t>
            </w:r>
          </w:p>
        </w:tc>
      </w:tr>
      <w:tr>
        <w:tc>
          <w:tcPr>
            <w:tcW w:type="dxa" w:w="3120"/>
          </w:tcPr>
          <w:p>
            <w:r>
              <w:t>Attendance</w:t>
            </w:r>
          </w:p>
        </w:tc>
        <w:tc>
          <w:tcPr>
            <w:tcW w:type="dxa" w:w="3120"/>
          </w:tcPr>
          <w:p>
            <w:r>
              <w:t>22,577</w:t>
            </w:r>
          </w:p>
        </w:tc>
        <w:tc>
          <w:tcPr>
            <w:tcW w:type="dxa" w:w="3120"/>
          </w:tcPr>
          <w:p>
            <w:r>
              <w:t>6</w:t>
            </w:r>
          </w:p>
        </w:tc>
      </w:tr>
      <w:tr>
        <w:tc>
          <w:tcPr>
            <w:tcW w:type="dxa" w:w="3120"/>
          </w:tcPr>
          <w:p>
            <w:r>
              <w:t>Payments</w:t>
            </w:r>
          </w:p>
        </w:tc>
        <w:tc>
          <w:tcPr>
            <w:tcW w:type="dxa" w:w="3120"/>
          </w:tcPr>
          <w:p>
            <w:r>
              <w:t>5,994</w:t>
            </w:r>
          </w:p>
        </w:tc>
        <w:tc>
          <w:tcPr>
            <w:tcW w:type="dxa" w:w="3120"/>
          </w:tcPr>
          <w:p>
            <w:r>
              <w:t>10</w:t>
            </w:r>
          </w:p>
        </w:tc>
      </w:tr>
      <w:tr>
        <w:tc>
          <w:tcPr>
            <w:tcW w:type="dxa" w:w="3120"/>
          </w:tcPr>
          <w:p>
            <w:r>
              <w:t>DepartmentBudget</w:t>
            </w:r>
          </w:p>
        </w:tc>
        <w:tc>
          <w:tcPr>
            <w:tcW w:type="dxa" w:w="3120"/>
          </w:tcPr>
          <w:p>
            <w:r>
              <w:t>40</w:t>
            </w:r>
          </w:p>
        </w:tc>
        <w:tc>
          <w:tcPr>
            <w:tcW w:type="dxa" w:w="3120"/>
          </w:tcPr>
          <w:p>
            <w:r>
              <w:t>11</w:t>
            </w:r>
          </w:p>
        </w:tc>
      </w:tr>
    </w:tbl>
    <w:p>
      <w:pPr>
        <w:pStyle w:val="Heading1"/>
      </w:pPr>
      <w:r>
        <w:t>Data Cleaning and Transformation</w:t>
      </w:r>
    </w:p>
    <w:p>
      <w:pPr>
        <w:jc w:val="both"/>
      </w:pPr>
      <w:r>
        <w:t>The raw dataset intentionally contains duplicates, inconsistent capitalization, leading/trailing spaces, invalid marks, null attendance values, text dates, and inconsistent payment labels. Cleaning standardizes text, removes duplicates, converts dates and numeric fields, clamps marks to valid ranges, recalculates payment balances, fills scholarship status correctly, and creates analytical risk categories.</w:t>
      </w:r>
    </w:p>
    <w:p>
      <w:pPr>
        <w:pStyle w:val="Heading1"/>
      </w:pPr>
      <w:r>
        <w:t>Data Model and Relationships</w:t>
      </w:r>
    </w:p>
    <w:p>
      <w:pPr>
        <w:jc w:val="both"/>
      </w:pPr>
      <w:r>
        <w:t>The design uses dimension-style tables for Students, StudentProfile, Departments, Courses, Faculty, and Semesters. Enrollment acts as both a fact table and bridge table between Students and Courses. Attendance, Payments, and DepartmentBudget are fact tables. Single-direction filtering is recommended where possible to reduce ambiguity.</w:t>
      </w:r>
    </w:p>
    <w:p>
      <w:pPr>
        <w:pStyle w:val="Heading1"/>
      </w:pPr>
      <w:r>
        <w:t>DAX Measures and Calculations</w:t>
      </w:r>
    </w:p>
    <w:p>
      <w:pPr>
        <w:jc w:val="both"/>
      </w:pPr>
      <w:r>
        <w:t>The project includes 40 documented DAX measures covering counts, pass/fail rates, attendance risk, payment collection, outstanding amounts, faculty load, growth rates, budget utilization, scholarship rate, ranking, dynamic titles, TOPN, CONCATENATEX, and USERELATIONSHIP examples. Date table DAX and calculated-column examples are also provided.</w:t>
      </w:r>
    </w:p>
    <w:p>
      <w:pPr>
        <w:pStyle w:val="Heading1"/>
      </w:pPr>
      <w:r>
        <w:t>Dashboard Development</w:t>
      </w:r>
    </w:p>
    <w:p>
      <w:pPr>
        <w:jc w:val="both"/>
      </w:pPr>
      <w:r>
        <w:t>The published interface follows the visual direction of a dark executive dashboard with gold highlights, compact KPI cards, high-contrast panels, and responsive chart containers. The website includes KPI cards, line charts, horizontal bar charts, a doughnut chart, budget table, analytical findings, download links, screenshots, and a demo video.</w:t>
      </w:r>
    </w:p>
    <w:p>
      <w:pPr>
        <w:pStyle w:val="Heading1"/>
      </w:pPr>
      <w:r>
        <w:t>Implementation Process</w:t>
      </w:r>
    </w:p>
    <w:p>
      <w:pPr>
        <w:jc w:val="both"/>
      </w:pPr>
      <w:r>
        <w:t>Implementation was organized into scripts, data folders, documentation folders, report files, presentation files, screenshots, website source, and release assets. The published site in docs/ reads generated JSON analytics data from the cleaned workbook, ensuring that the displayed figures match the validated dataset.</w:t>
      </w:r>
    </w:p>
    <w:p>
      <w:pPr>
        <w:pStyle w:val="Heading1"/>
      </w:pPr>
      <w:r>
        <w:t>Testing and Validation</w:t>
      </w:r>
    </w:p>
    <w:p>
      <w:pPr>
        <w:jc w:val="both"/>
      </w:pPr>
      <w:r>
        <w:t>Automated validation checks tested primary-key uniqueness, foreign-key integrity, marks, grade points, attendance percentages, payment calculations, date logic, duplicate identifiers, orphan records, and required columns. The website was tested through direct HTTP requests, desktop screenshots, mobile screenshots, and download-link verification.</w:t>
      </w:r>
    </w:p>
    <w:p>
      <w:r>
        <w:t>Table 2. Validation summary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Result</w:t>
            </w:r>
          </w:p>
        </w:tc>
        <w:tc>
          <w:tcPr>
            <w:tcW w:type="dxa" w:w="2340"/>
          </w:tcPr>
          <w:p>
            <w:r>
              <w:t>Checks</w:t>
            </w:r>
          </w:p>
        </w:tc>
        <w:tc>
          <w:tcPr>
            <w:tcW w:type="dxa" w:w="2340"/>
          </w:tcPr>
          <w:p>
            <w:r>
              <w:t>Failed Checks</w:t>
            </w:r>
          </w:p>
        </w:tc>
        <w:tc>
          <w:tcPr>
            <w:tcW w:type="dxa" w:w="2340"/>
          </w:tcPr>
          <w:p>
            <w:r>
              <w:t>Evidence</w:t>
            </w:r>
          </w:p>
        </w:tc>
      </w:tr>
      <w:tr>
        <w:tc>
          <w:tcPr>
            <w:tcW w:type="dxa" w:w="2340"/>
          </w:tcPr>
          <w:p>
            <w:r>
              <w:t>Passed</w:t>
            </w:r>
          </w:p>
        </w:tc>
        <w:tc>
          <w:tcPr>
            <w:tcW w:type="dxa" w:w="2340"/>
          </w:tcPr>
          <w:p>
            <w:r>
              <w:t>36</w:t>
            </w:r>
          </w:p>
        </w:tc>
        <w:tc>
          <w:tcPr>
            <w:tcW w:type="dxa" w:w="2340"/>
          </w:tcPr>
          <w:p>
            <w:r>
              <w:t>0</w:t>
            </w:r>
          </w:p>
        </w:tc>
        <w:tc>
          <w:tcPr>
            <w:tcW w:type="dxa" w:w="2340"/>
          </w:tcPr>
          <w:p>
            <w:r>
              <w:t>data/validation/Data_Validation_Results.xlsx</w:t>
            </w:r>
          </w:p>
        </w:tc>
      </w:tr>
    </w:tbl>
    <w:p>
      <w:pPr>
        <w:pStyle w:val="Heading1"/>
      </w:pPr>
      <w:r>
        <w:t>Findings and Interpretation</w:t>
      </w:r>
    </w:p>
    <w:p>
      <w:pPr>
        <w:jc w:val="both"/>
      </w:pPr>
      <w:r>
        <w:t>The analysis shows enrollment concentration by department, high-volume semester patterns, variation in average marks by department, attendance-performance association, outstanding tuition exposure, budget utilization differences, and scholarship distribution. Findings are interpreted as operational indicators, not causal claims.</w:t>
      </w:r>
    </w:p>
    <w:p>
      <w:r>
        <w:t>Table 3. Main analytical findings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Finding</w:t>
            </w:r>
          </w:p>
        </w:tc>
        <w:tc>
          <w:tcPr>
            <w:tcW w:type="dxa" w:w="2340"/>
          </w:tcPr>
          <w:p>
            <w:r>
              <w:t>Observation</w:t>
            </w:r>
          </w:p>
        </w:tc>
        <w:tc>
          <w:tcPr>
            <w:tcW w:type="dxa" w:w="2340"/>
          </w:tcPr>
          <w:p>
            <w:r>
              <w:t>Recommended Action</w:t>
            </w:r>
          </w:p>
        </w:tc>
        <w:tc>
          <w:tcPr>
            <w:tcW w:type="dxa" w:w="2340"/>
          </w:tcPr>
          <w:p>
            <w:r>
              <w:t>Limitation</w:t>
            </w:r>
          </w:p>
        </w:tc>
      </w:tr>
      <w:tr>
        <w:tc>
          <w:tcPr>
            <w:tcW w:type="dxa" w:w="2340"/>
          </w:tcPr>
          <w:p>
            <w:r>
              <w:t>Highest enrollment department</w:t>
            </w:r>
          </w:p>
        </w:tc>
        <w:tc>
          <w:tcPr>
            <w:tcW w:type="dxa" w:w="2340"/>
          </w:tcPr>
          <w:p>
            <w:r>
              <w:t>English has the largest student count.</w:t>
            </w:r>
          </w:p>
        </w:tc>
        <w:tc>
          <w:tcPr>
            <w:tcW w:type="dxa" w:w="2340"/>
          </w:tcPr>
          <w:p>
            <w:r>
              <w:t>Review section sizes and faculty allocation.</w:t>
            </w:r>
          </w:p>
        </w:tc>
        <w:tc>
          <w:tcPr>
            <w:tcW w:type="dxa" w:w="2340"/>
          </w:tcPr>
          <w:p>
            <w:r>
              <w:t>Synthetic dataset only.</w:t>
            </w:r>
          </w:p>
        </w:tc>
      </w:tr>
      <w:tr>
        <w:tc>
          <w:tcPr>
            <w:tcW w:type="dxa" w:w="2340"/>
          </w:tcPr>
          <w:p>
            <w:r>
              <w:t>Highest failure course</w:t>
            </w:r>
          </w:p>
        </w:tc>
        <w:tc>
          <w:tcPr>
            <w:tcW w:type="dxa" w:w="2340"/>
          </w:tcPr>
          <w:p>
            <w:r>
              <w:t>C018 has the highest failure rate.</w:t>
            </w:r>
          </w:p>
        </w:tc>
        <w:tc>
          <w:tcPr>
            <w:tcW w:type="dxa" w:w="2340"/>
          </w:tcPr>
          <w:p>
            <w:r>
              <w:t>Add tutoring and review course design.</w:t>
            </w:r>
          </w:p>
        </w:tc>
        <w:tc>
          <w:tcPr>
            <w:tcW w:type="dxa" w:w="2340"/>
          </w:tcPr>
          <w:p>
            <w:r>
              <w:t>Association only, not causation.</w:t>
            </w:r>
          </w:p>
        </w:tc>
      </w:tr>
      <w:tr>
        <w:tc>
          <w:tcPr>
            <w:tcW w:type="dxa" w:w="2340"/>
          </w:tcPr>
          <w:p>
            <w:r>
              <w:t>Attendance relationship</w:t>
            </w:r>
          </w:p>
        </w:tc>
        <w:tc>
          <w:tcPr>
            <w:tcW w:type="dxa" w:w="2340"/>
          </w:tcPr>
          <w:p>
            <w:r>
              <w:t>Lower attendance bands show lower average final marks.</w:t>
            </w:r>
          </w:p>
        </w:tc>
        <w:tc>
          <w:tcPr>
            <w:tcW w:type="dxa" w:w="2340"/>
          </w:tcPr>
          <w:p>
            <w:r>
              <w:t>Trigger advising below 75% attendance.</w:t>
            </w:r>
          </w:p>
        </w:tc>
        <w:tc>
          <w:tcPr>
            <w:tcW w:type="dxa" w:w="2340"/>
          </w:tcPr>
          <w:p>
            <w:r>
              <w:t>Cannot prove attendance causes marks.</w:t>
            </w:r>
          </w:p>
        </w:tc>
      </w:tr>
      <w:tr>
        <w:tc>
          <w:tcPr>
            <w:tcW w:type="dxa" w:w="2340"/>
          </w:tcPr>
          <w:p>
            <w:r>
              <w:t>Outstanding payments</w:t>
            </w:r>
          </w:p>
        </w:tc>
        <w:tc>
          <w:tcPr>
            <w:tcW w:type="dxa" w:w="2340"/>
          </w:tcPr>
          <w:p>
            <w:r>
              <w:t>Outstanding balance totals 125,733,250.</w:t>
            </w:r>
          </w:p>
        </w:tc>
        <w:tc>
          <w:tcPr>
            <w:tcW w:type="dxa" w:w="2340"/>
          </w:tcPr>
          <w:p>
            <w:r>
              <w:t>Segment outreach by payment risk level.</w:t>
            </w:r>
          </w:p>
        </w:tc>
        <w:tc>
          <w:tcPr>
            <w:tcW w:type="dxa" w:w="2340"/>
          </w:tcPr>
          <w:p>
            <w:r>
              <w:t>Synthetic tuition assumptions.</w:t>
            </w:r>
          </w:p>
        </w:tc>
      </w:tr>
      <w:tr>
        <w:tc>
          <w:tcPr>
            <w:tcW w:type="dxa" w:w="2340"/>
          </w:tcPr>
          <w:p>
            <w:r>
              <w:t>Budget utilization</w:t>
            </w:r>
          </w:p>
        </w:tc>
        <w:tc>
          <w:tcPr>
            <w:tcW w:type="dxa" w:w="2340"/>
          </w:tcPr>
          <w:p>
            <w:r>
              <w:t>D007 has the highest utilization in 2023.</w:t>
            </w:r>
          </w:p>
        </w:tc>
        <w:tc>
          <w:tcPr>
            <w:tcW w:type="dxa" w:w="2340"/>
          </w:tcPr>
          <w:p>
            <w:r>
              <w:t>Review mid-year budget reallocations.</w:t>
            </w:r>
          </w:p>
        </w:tc>
        <w:tc>
          <w:tcPr>
            <w:tcW w:type="dxa" w:w="2340"/>
          </w:tcPr>
          <w:p>
            <w:r>
              <w:t>Budget is generated, not actual finance data.</w:t>
            </w:r>
          </w:p>
        </w:tc>
      </w:tr>
      <w:tr>
        <w:tc>
          <w:tcPr>
            <w:tcW w:type="dxa" w:w="2340"/>
          </w:tcPr>
          <w:p>
            <w:r>
              <w:t>Scholarship distribution</w:t>
            </w:r>
          </w:p>
        </w:tc>
        <w:tc>
          <w:tcPr>
            <w:tcW w:type="dxa" w:w="2340"/>
          </w:tcPr>
          <w:p>
            <w:r>
              <w:t>32.0% of students receive a scholarship.</w:t>
            </w:r>
          </w:p>
        </w:tc>
        <w:tc>
          <w:tcPr>
            <w:tcW w:type="dxa" w:w="2340"/>
          </w:tcPr>
          <w:p>
            <w:r>
              <w:t>Track outcomes by scholarship type.</w:t>
            </w:r>
          </w:p>
        </w:tc>
        <w:tc>
          <w:tcPr>
            <w:tcW w:type="dxa" w:w="2340"/>
          </w:tcPr>
          <w:p>
            <w:r>
              <w:t>No real socioeconomic data.</w:t>
            </w:r>
          </w:p>
        </w:tc>
      </w:tr>
      <w:tr>
        <w:tc>
          <w:tcPr>
            <w:tcW w:type="dxa" w:w="2340"/>
          </w:tcPr>
          <w:p>
            <w:r>
              <w:t>Faculty workload</w:t>
            </w:r>
          </w:p>
        </w:tc>
        <w:tc>
          <w:tcPr>
            <w:tcW w:type="dxa" w:w="2340"/>
          </w:tcPr>
          <w:p>
            <w:r>
              <w:t>Enrollment links faculty to taught courses for workload analysis.</w:t>
            </w:r>
          </w:p>
        </w:tc>
        <w:tc>
          <w:tcPr>
            <w:tcW w:type="dxa" w:w="2340"/>
          </w:tcPr>
          <w:p>
            <w:r>
              <w:t>Monitor distinct courses and enrollments per faculty.</w:t>
            </w:r>
          </w:p>
        </w:tc>
        <w:tc>
          <w:tcPr>
            <w:tcW w:type="dxa" w:w="2340"/>
          </w:tcPr>
          <w:p>
            <w:r>
              <w:t>Workload excludes non-teaching duties.</w:t>
            </w:r>
          </w:p>
        </w:tc>
      </w:tr>
      <w:tr>
        <w:tc>
          <w:tcPr>
            <w:tcW w:type="dxa" w:w="2340"/>
          </w:tcPr>
          <w:p>
            <w:r>
              <w:t>Graduation eligibility</w:t>
            </w:r>
          </w:p>
        </w:tc>
        <w:tc>
          <w:tcPr>
            <w:tcW w:type="dxa" w:w="2340"/>
          </w:tcPr>
          <w:p>
            <w:r>
              <w:t>Credit and GPA measures identify students approaching eligibility.</w:t>
            </w:r>
          </w:p>
        </w:tc>
        <w:tc>
          <w:tcPr>
            <w:tcW w:type="dxa" w:w="2340"/>
          </w:tcPr>
          <w:p>
            <w:r>
              <w:t>Add drill-through student review page.</w:t>
            </w:r>
          </w:p>
        </w:tc>
        <w:tc>
          <w:tcPr>
            <w:tcW w:type="dxa" w:w="2340"/>
          </w:tcPr>
          <w:p>
            <w:r>
              <w:t>Eligibility rule is simplified.</w:t>
            </w:r>
          </w:p>
        </w:tc>
      </w:tr>
      <w:tr>
        <w:tc>
          <w:tcPr>
            <w:tcW w:type="dxa" w:w="2340"/>
          </w:tcPr>
          <w:p>
            <w:r>
              <w:t>Payment status</w:t>
            </w:r>
          </w:p>
        </w:tc>
        <w:tc>
          <w:tcPr>
            <w:tcW w:type="dxa" w:w="2340"/>
          </w:tcPr>
          <w:p>
            <w:r>
              <w:t>Paid, partial, and unpaid categories provide finance risk visibility.</w:t>
            </w:r>
          </w:p>
        </w:tc>
        <w:tc>
          <w:tcPr>
            <w:tcW w:type="dxa" w:w="2340"/>
          </w:tcPr>
          <w:p>
            <w:r>
              <w:t>Use respectful outreach workflows.</w:t>
            </w:r>
          </w:p>
        </w:tc>
        <w:tc>
          <w:tcPr>
            <w:tcW w:type="dxa" w:w="2340"/>
          </w:tcPr>
          <w:p>
            <w:r>
              <w:t>Synthetic data includes fictional profiles.</w:t>
            </w:r>
          </w:p>
        </w:tc>
      </w:tr>
      <w:tr>
        <w:tc>
          <w:tcPr>
            <w:tcW w:type="dxa" w:w="2340"/>
          </w:tcPr>
          <w:p>
            <w:r>
              <w:t>Semester trend</w:t>
            </w:r>
          </w:p>
        </w:tc>
        <w:tc>
          <w:tcPr>
            <w:tcW w:type="dxa" w:w="2340"/>
          </w:tcPr>
          <w:p>
            <w:r>
              <w:t>Semester fields support enrollment and performance trend pages.</w:t>
            </w:r>
          </w:p>
        </w:tc>
        <w:tc>
          <w:tcPr>
            <w:tcW w:type="dxa" w:w="2340"/>
          </w:tcPr>
          <w:p>
            <w:r>
              <w:t>Monitor semester-over-semester growth.</w:t>
            </w:r>
          </w:p>
        </w:tc>
        <w:tc>
          <w:tcPr>
            <w:tcW w:type="dxa" w:w="2340"/>
          </w:tcPr>
          <w:p>
            <w:r>
              <w:t>Trend is generated from random distributions.</w:t>
            </w:r>
          </w:p>
        </w:tc>
      </w:tr>
    </w:tbl>
    <w:p>
      <w:pPr>
        <w:pStyle w:val="Heading1"/>
      </w:pPr>
      <w:r>
        <w:t>Limitations</w:t>
      </w:r>
    </w:p>
    <w:p>
      <w:pPr>
        <w:jc w:val="both"/>
      </w:pPr>
      <w:r>
        <w:t>The dataset is synthetic and cannot be used to infer real university behavior. Power BI Desktop was not installed, so the PBIX file and Power BI Service report were not created. The public analytics viewer is static and does not replace a live Power BI Service report. Further refinement should occur after building the actual PBIX.</w:t>
      </w:r>
    </w:p>
    <w:p>
      <w:pPr>
        <w:pStyle w:val="Heading1"/>
      </w:pPr>
      <w:r>
        <w:t>Recommendations</w:t>
      </w:r>
    </w:p>
    <w:p>
      <w:pPr>
        <w:jc w:val="both"/>
      </w:pPr>
      <w:r>
        <w:t>Future work should build and publish the PBIX in Power BI Desktop, add real Power BI screenshots, configure data refresh, enhance drill-through pages, include accessibility testing with screen readers, and refine measures after stakeholder feedback. Academic teams should use attendance and payment risk categories as early-warning indicators.</w:t>
      </w:r>
    </w:p>
    <w:p>
      <w:pPr>
        <w:pStyle w:val="Heading1"/>
      </w:pPr>
      <w:r>
        <w:t>Conclusion</w:t>
      </w:r>
    </w:p>
    <w:p>
      <w:pPr>
        <w:jc w:val="both"/>
      </w:pPr>
      <w:r>
        <w:t>The final submission provides a comprehensive, validated, and publicly accessible analytics project package. It demonstrates relational modeling, data cleaning, validation, DAX planning, Power Query documentation, reporting design, public deployment, and academic documentation while clearly distinguishing completed artifacts from environment-limited Power BI tasks.</w:t>
      </w:r>
    </w:p>
    <w:p>
      <w:pPr>
        <w:pStyle w:val="Heading1"/>
      </w:pPr>
      <w:r>
        <w:t>References</w:t>
      </w:r>
    </w:p>
    <w:p>
      <w:pPr>
        <w:jc w:val="both"/>
      </w:pPr>
      <w:r>
        <w:t>Microsoft. (2026). Power BI documentation. Microsoft Learn.</w:t>
      </w:r>
    </w:p>
    <w:p>
      <w:pPr>
        <w:jc w:val="both"/>
      </w:pPr>
      <w:r>
        <w:t>Microsoft. (2026). DAX function reference. Microsoft Learn.</w:t>
      </w:r>
    </w:p>
    <w:p>
      <w:pPr>
        <w:jc w:val="both"/>
      </w:pPr>
      <w:r>
        <w:t>Microsoft. (2026). Power Query M language specification. Microsoft Learn.</w:t>
      </w:r>
    </w:p>
    <w:p>
      <w:pPr>
        <w:jc w:val="both"/>
      </w:pPr>
      <w:r>
        <w:t>GitHub. (2026). GitHub Pages documentation. GitHub Docs.</w:t>
      </w:r>
    </w:p>
    <w:p>
      <w:pPr>
        <w:jc w:val="both"/>
      </w:pPr>
      <w:r>
        <w:t>Python Software Foundation. (2026). Python documentation.</w:t>
      </w:r>
    </w:p>
    <w:p>
      <w:pPr>
        <w:jc w:val="both"/>
      </w:pPr>
      <w:r>
        <w:t>Project dataset and visualizations are synthetically generated by the author for academic demonstration.</w:t>
      </w:r>
    </w:p>
    <w:p>
      <w:pPr>
        <w:pStyle w:val="Heading1"/>
      </w:pPr>
      <w:r>
        <w:t>Appendices</w:t>
      </w:r>
    </w:p>
    <w:p>
      <w:pPr>
        <w:jc w:val="both"/>
      </w:pPr>
      <w:r>
        <w:t>Appendix A: DAX_Measures.md. Appendix B: Power_Query_M_Code.md. Appendix C: Date_Table_DAX.md. Appendix D: Relationship_Documentation.md. Appendix E: Prompt_Compliance_Cross_Check.md. Repository: https://github.com/Monokayser/University-PowerBI-Analytics. Published viewer: https://monokayser.github.io/University-PowerBI-Analytics/. Demo: https://monokayser.github.io/University-PowerBI-Analytics/demo.html. Release: https://github.com/Monokayser/University-PowerBI-Analytics/releases/tag/v1.1.0.</w:t>
      </w:r>
    </w:p>
    <w:p>
      <w:pPr>
        <w:pStyle w:val="Heading2"/>
      </w:pPr>
      <w:r>
        <w:t>Figure 1. Enrollment trend by semester</w:t>
      </w:r>
    </w:p>
    <w:p>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figure_01_enrollment_trend.png"/>
                    <pic:cNvPicPr/>
                  </pic:nvPicPr>
                  <pic:blipFill>
                    <a:blip r:embed="rId9"/>
                    <a:stretch>
                      <a:fillRect/>
                    </a:stretch>
                  </pic:blipFill>
                  <pic:spPr>
                    <a:xfrm>
                      <a:off x="0" y="0"/>
                      <a:ext cx="5852160" cy="3511296"/>
                    </a:xfrm>
                    <a:prstGeom prst="rect"/>
                  </pic:spPr>
                </pic:pic>
              </a:graphicData>
            </a:graphic>
          </wp:inline>
        </w:drawing>
      </w:r>
    </w:p>
    <w:p>
      <w:r>
        <w:t>Figure 1. Enrollment trend by semester</w:t>
      </w:r>
    </w:p>
    <w:p>
      <w:pPr>
        <w:pStyle w:val="Heading2"/>
      </w:pPr>
      <w:r>
        <w:t>Figure 2. Students by department</w:t>
      </w:r>
    </w:p>
    <w:p>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figure_02_students_by_department.png"/>
                    <pic:cNvPicPr/>
                  </pic:nvPicPr>
                  <pic:blipFill>
                    <a:blip r:embed="rId10"/>
                    <a:stretch>
                      <a:fillRect/>
                    </a:stretch>
                  </pic:blipFill>
                  <pic:spPr>
                    <a:xfrm>
                      <a:off x="0" y="0"/>
                      <a:ext cx="5852160" cy="3511296"/>
                    </a:xfrm>
                    <a:prstGeom prst="rect"/>
                  </pic:spPr>
                </pic:pic>
              </a:graphicData>
            </a:graphic>
          </wp:inline>
        </w:drawing>
      </w:r>
    </w:p>
    <w:p>
      <w:r>
        <w:t>Figure 2. Students by department</w:t>
      </w:r>
    </w:p>
    <w:p>
      <w:pPr>
        <w:pStyle w:val="Heading2"/>
      </w:pPr>
      <w:r>
        <w:t>Figure 3. Average final mark by department</w:t>
      </w:r>
    </w:p>
    <w:p>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figure_03_average_mark_department.png"/>
                    <pic:cNvPicPr/>
                  </pic:nvPicPr>
                  <pic:blipFill>
                    <a:blip r:embed="rId11"/>
                    <a:stretch>
                      <a:fillRect/>
                    </a:stretch>
                  </pic:blipFill>
                  <pic:spPr>
                    <a:xfrm>
                      <a:off x="0" y="0"/>
                      <a:ext cx="5852160" cy="3511296"/>
                    </a:xfrm>
                    <a:prstGeom prst="rect"/>
                  </pic:spPr>
                </pic:pic>
              </a:graphicData>
            </a:graphic>
          </wp:inline>
        </w:drawing>
      </w:r>
    </w:p>
    <w:p>
      <w:r>
        <w:t>Figure 3. Average final mark by department</w:t>
      </w:r>
    </w:p>
    <w:p>
      <w:pPr>
        <w:pStyle w:val="Heading2"/>
      </w:pPr>
      <w:r>
        <w:t>Figure 4. Outstanding fees by department</w:t>
      </w:r>
    </w:p>
    <w:p>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figure_04_outstanding_by_department.png"/>
                    <pic:cNvPicPr/>
                  </pic:nvPicPr>
                  <pic:blipFill>
                    <a:blip r:embed="rId12"/>
                    <a:stretch>
                      <a:fillRect/>
                    </a:stretch>
                  </pic:blipFill>
                  <pic:spPr>
                    <a:xfrm>
                      <a:off x="0" y="0"/>
                      <a:ext cx="5852160" cy="3511296"/>
                    </a:xfrm>
                    <a:prstGeom prst="rect"/>
                  </pic:spPr>
                </pic:pic>
              </a:graphicData>
            </a:graphic>
          </wp:inline>
        </w:drawing>
      </w:r>
    </w:p>
    <w:p>
      <w:r>
        <w:t>Figure 4. Outstanding fees by department</w:t>
      </w:r>
    </w:p>
    <w:p>
      <w:pPr>
        <w:pStyle w:val="Heading2"/>
      </w:pPr>
      <w:r>
        <w:t>Figure 5. Budget utilization by department</w:t>
      </w:r>
    </w:p>
    <w:p>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figure_05_budget_utilization.png"/>
                    <pic:cNvPicPr/>
                  </pic:nvPicPr>
                  <pic:blipFill>
                    <a:blip r:embed="rId13"/>
                    <a:stretch>
                      <a:fillRect/>
                    </a:stretch>
                  </pic:blipFill>
                  <pic:spPr>
                    <a:xfrm>
                      <a:off x="0" y="0"/>
                      <a:ext cx="5852160" cy="3511296"/>
                    </a:xfrm>
                    <a:prstGeom prst="rect"/>
                  </pic:spPr>
                </pic:pic>
              </a:graphicData>
            </a:graphic>
          </wp:inline>
        </w:drawing>
      </w:r>
    </w:p>
    <w:p>
      <w:r>
        <w:t>Figure 5. Budget utilization by department</w:t>
      </w:r>
    </w:p>
    <w:p>
      <w:pPr>
        <w:pStyle w:val="Heading2"/>
      </w:pPr>
      <w:r>
        <w:t>Figure 6. System architecture and publication workflow</w:t>
      </w:r>
    </w:p>
    <w:p>
      <w:r>
        <w:drawing>
          <wp:inline xmlns:a="http://schemas.openxmlformats.org/drawingml/2006/main" xmlns:pic="http://schemas.openxmlformats.org/drawingml/2006/picture">
            <wp:extent cx="5852160" cy="3176887"/>
            <wp:docPr id="6" name="Picture 6"/>
            <wp:cNvGraphicFramePr>
              <a:graphicFrameLocks noChangeAspect="1"/>
            </wp:cNvGraphicFramePr>
            <a:graphic>
              <a:graphicData uri="http://schemas.openxmlformats.org/drawingml/2006/picture">
                <pic:pic>
                  <pic:nvPicPr>
                    <pic:cNvPr id="0" name="figure_06_system_architecture.png"/>
                    <pic:cNvPicPr/>
                  </pic:nvPicPr>
                  <pic:blipFill>
                    <a:blip r:embed="rId14"/>
                    <a:stretch>
                      <a:fillRect/>
                    </a:stretch>
                  </pic:blipFill>
                  <pic:spPr>
                    <a:xfrm>
                      <a:off x="0" y="0"/>
                      <a:ext cx="5852160" cy="3176887"/>
                    </a:xfrm>
                    <a:prstGeom prst="rect"/>
                  </pic:spPr>
                </pic:pic>
              </a:graphicData>
            </a:graphic>
          </wp:inline>
        </w:drawing>
      </w:r>
    </w:p>
    <w:p>
      <w:r>
        <w:t>Figure 6. System architecture and publication workflow</w:t>
      </w:r>
    </w:p>
    <w:p>
      <w:pPr>
        <w:pStyle w:val="Heading2"/>
      </w:pPr>
      <w:r>
        <w:t>Figure 7. Data-processing flowchart</w:t>
      </w:r>
    </w:p>
    <w:p>
      <w:r>
        <w:drawing>
          <wp:inline xmlns:a="http://schemas.openxmlformats.org/drawingml/2006/main" xmlns:pic="http://schemas.openxmlformats.org/drawingml/2006/picture">
            <wp:extent cx="5852160" cy="3176887"/>
            <wp:docPr id="7" name="Picture 7"/>
            <wp:cNvGraphicFramePr>
              <a:graphicFrameLocks noChangeAspect="1"/>
            </wp:cNvGraphicFramePr>
            <a:graphic>
              <a:graphicData uri="http://schemas.openxmlformats.org/drawingml/2006/picture">
                <pic:pic>
                  <pic:nvPicPr>
                    <pic:cNvPr id="0" name="figure_07_data_processing_flow.png"/>
                    <pic:cNvPicPr/>
                  </pic:nvPicPr>
                  <pic:blipFill>
                    <a:blip r:embed="rId15"/>
                    <a:stretch>
                      <a:fillRect/>
                    </a:stretch>
                  </pic:blipFill>
                  <pic:spPr>
                    <a:xfrm>
                      <a:off x="0" y="0"/>
                      <a:ext cx="5852160" cy="3176887"/>
                    </a:xfrm>
                    <a:prstGeom prst="rect"/>
                  </pic:spPr>
                </pic:pic>
              </a:graphicData>
            </a:graphic>
          </wp:inline>
        </w:drawing>
      </w:r>
    </w:p>
    <w:p>
      <w:r>
        <w:t>Figure 7. Data-processing flowchart</w:t>
      </w:r>
    </w:p>
    <w:p>
      <w:pPr>
        <w:pStyle w:val="Heading2"/>
      </w:pPr>
      <w:r>
        <w:t>Figure 8. Data model diagram</w:t>
      </w:r>
    </w:p>
    <w:p>
      <w:r>
        <w:drawing>
          <wp:inline xmlns:a="http://schemas.openxmlformats.org/drawingml/2006/main" xmlns:pic="http://schemas.openxmlformats.org/drawingml/2006/picture">
            <wp:extent cx="5852160" cy="3762103"/>
            <wp:docPr id="8" name="Picture 8"/>
            <wp:cNvGraphicFramePr>
              <a:graphicFrameLocks noChangeAspect="1"/>
            </wp:cNvGraphicFramePr>
            <a:graphic>
              <a:graphicData uri="http://schemas.openxmlformats.org/drawingml/2006/picture">
                <pic:pic>
                  <pic:nvPicPr>
                    <pic:cNvPr id="0" name="figure_08_data_model_diagram.png"/>
                    <pic:cNvPicPr/>
                  </pic:nvPicPr>
                  <pic:blipFill>
                    <a:blip r:embed="rId16"/>
                    <a:stretch>
                      <a:fillRect/>
                    </a:stretch>
                  </pic:blipFill>
                  <pic:spPr>
                    <a:xfrm>
                      <a:off x="0" y="0"/>
                      <a:ext cx="5852160" cy="3762103"/>
                    </a:xfrm>
                    <a:prstGeom prst="rect"/>
                  </pic:spPr>
                </pic:pic>
              </a:graphicData>
            </a:graphic>
          </wp:inline>
        </w:drawing>
      </w:r>
    </w:p>
    <w:p>
      <w:r>
        <w:t>Figure 8. Data model diagram</w:t>
      </w:r>
    </w:p>
    <w:p>
      <w:pPr>
        <w:pStyle w:val="Heading2"/>
      </w:pPr>
      <w:r>
        <w:t>Figure 9. Published dashboard screenshot</w:t>
      </w:r>
    </w:p>
    <w:p>
      <w:r>
        <w:drawing>
          <wp:inline xmlns:a="http://schemas.openxmlformats.org/drawingml/2006/main" xmlns:pic="http://schemas.openxmlformats.org/drawingml/2006/picture">
            <wp:extent cx="5852160" cy="4876800"/>
            <wp:docPr id="9" name="Picture 9"/>
            <wp:cNvGraphicFramePr>
              <a:graphicFrameLocks noChangeAspect="1"/>
            </wp:cNvGraphicFramePr>
            <a:graphic>
              <a:graphicData uri="http://schemas.openxmlformats.org/drawingml/2006/picture">
                <pic:pic>
                  <pic:nvPicPr>
                    <pic:cNvPr id="0" name="desktop_ui_check.png"/>
                    <pic:cNvPicPr/>
                  </pic:nvPicPr>
                  <pic:blipFill>
                    <a:blip r:embed="rId17"/>
                    <a:stretch>
                      <a:fillRect/>
                    </a:stretch>
                  </pic:blipFill>
                  <pic:spPr>
                    <a:xfrm>
                      <a:off x="0" y="0"/>
                      <a:ext cx="5852160" cy="4876800"/>
                    </a:xfrm>
                    <a:prstGeom prst="rect"/>
                  </pic:spPr>
                </pic:pic>
              </a:graphicData>
            </a:graphic>
          </wp:inline>
        </w:drawing>
      </w:r>
    </w:p>
    <w:p>
      <w:r>
        <w:t>Figure 9. Published dashboard screenshot</w:t>
      </w:r>
    </w:p>
    <w:p>
      <w:pPr>
        <w:pStyle w:val="Heading2"/>
      </w:pPr>
      <w:r>
        <w:t>Figure 10. Mobile dashboard screenshot</w:t>
      </w:r>
    </w:p>
    <w:p>
      <w:r>
        <w:drawing>
          <wp:inline xmlns:a="http://schemas.openxmlformats.org/drawingml/2006/main" xmlns:pic="http://schemas.openxmlformats.org/drawingml/2006/picture">
            <wp:extent cx="5852160" cy="18006646"/>
            <wp:docPr id="10" name="Picture 10"/>
            <wp:cNvGraphicFramePr>
              <a:graphicFrameLocks noChangeAspect="1"/>
            </wp:cNvGraphicFramePr>
            <a:graphic>
              <a:graphicData uri="http://schemas.openxmlformats.org/drawingml/2006/picture">
                <pic:pic>
                  <pic:nvPicPr>
                    <pic:cNvPr id="0" name="mobile_ui_check.png"/>
                    <pic:cNvPicPr/>
                  </pic:nvPicPr>
                  <pic:blipFill>
                    <a:blip r:embed="rId18"/>
                    <a:stretch>
                      <a:fillRect/>
                    </a:stretch>
                  </pic:blipFill>
                  <pic:spPr>
                    <a:xfrm>
                      <a:off x="0" y="0"/>
                      <a:ext cx="5852160" cy="18006646"/>
                    </a:xfrm>
                    <a:prstGeom prst="rect"/>
                  </pic:spPr>
                </pic:pic>
              </a:graphicData>
            </a:graphic>
          </wp:inline>
        </w:drawing>
      </w:r>
    </w:p>
    <w:p>
      <w:r>
        <w:t>Figure 10. Mobile dashboard screenshot</w:t>
      </w:r>
    </w:p>
    <w:p>
      <w:r>
        <w:br w:type="page"/>
      </w:r>
    </w:p>
    <w:p>
      <w:pPr>
        <w:pStyle w:val="Heading1"/>
      </w:pPr>
      <w:r>
        <w:t>Power BI Publication Limitation and Academic Integrity Note</w:t>
      </w:r>
    </w:p>
    <w:p>
      <w:pPr>
        <w:spacing w:after="200"/>
      </w:pPr>
      <w:r>
        <w:t>Power BI Desktop and Power BI Service publishing access were not available in the automated build environment used for this repository update. For this reason, the project does not claim a fabricated .pbix file, Power BI Service URL, app URL, public embed link, or authenticated service screenshot. The repository instead provides the cleaned workbook, DAX measure library, Power Query guidance, relationship documentation, dashboard specifications, a static published analytics viewer, and verification screenshots. These materials allow the report to be reproduced accurately in Power BI Desktop when the required Microsoft Power BI environment is available.</w:t>
      </w:r>
    </w:p>
    <w:p>
      <w:r>
        <w:t>Verification evidence: the static analytics viewer, downloadable report, cleaned dataset, screenshots, demo video, and release package were tested through the local site and GitHub Pages workflow. Dataset validation passed with no failed validation rules.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