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US Housing Affordability Crisis (2000–2024): Buy vs. Rent Dynamics</w:t>
      </w:r>
    </w:p>
    <w:p>
      <w:pPr>
        <w:jc w:val="center"/>
      </w:pPr>
      <w:r>
        <w:rPr>
          <w:b w:val="0"/>
          <w:i w:val="0"/>
        </w:rPr>
        <w:t>Adam Torres, Charlie Tran</w:t>
      </w:r>
    </w:p>
    <w:p>
      <w:pPr>
        <w:pStyle w:val="Heading1"/>
      </w:pPr>
      <w:r>
        <w:rPr>
          <w:rFonts w:ascii="Times New Roman" w:hAnsi="Times New Roman"/>
          <w:color w:val="000000"/>
        </w:rPr>
        <w:t>Abstract</w:t>
      </w:r>
    </w:p>
    <w:p>
      <w:r>
        <w:rPr>
          <w:b w:val="0"/>
          <w:i w:val="0"/>
        </w:rPr>
        <w:t>Between 2000 and 2024 the cost of buying a home in the United States rose far faster than household income, and after 2021 a sharp increase in mortgage rates made the financing of that purchase substantially more expensive. This report measures how the financial balance between owning and renting shifted across the four U.S. census regions over a quarter century. Drawing on county-level Fair Market Rents (FMR), the Federal Housing Finance Agency House Price Index, the Case–Shiller national home price index, 30-year fixed mortgage rates, regional median sale prices, and national median household income, we build a reproducible dataset and a set of derived affordability metrics. Real home prices rose 68% from 2000 to 2024 while real median income rose only 16%, a 52-point gap. A modeled monthly mortgage payment on a representative home roughly doubled between 2021 and 2024. By 2024 the price-to-rent ratio exceeded our estimated breakeven threshold in every region, and the gap was widest in the Northeast and West. Across individual metros, home-price growth ranged from roughly 82% (Detroit) to 425% (Miami), showing that national averages mask very different local realities. The evidence points toward renting as the more affordable choice in the short run for many households, particularly in high-cost regions.</w:t>
      </w:r>
    </w:p>
    <w:p>
      <w:pPr>
        <w:pStyle w:val="Heading1"/>
      </w:pPr>
      <w:r>
        <w:rPr>
          <w:rFonts w:ascii="Times New Roman" w:hAnsi="Times New Roman"/>
          <w:color w:val="000000"/>
        </w:rPr>
        <w:t>List of Figures</w:t>
      </w:r>
    </w:p>
    <w:p>
      <w:pPr>
        <w:pStyle w:val="ListBullet"/>
        <w:spacing w:line="240" w:lineRule="auto"/>
      </w:pPr>
      <w:r>
        <w:t>Figure 1. Real home prices vs. real income (2000 = 100).</w:t>
      </w:r>
    </w:p>
    <w:p>
      <w:pPr>
        <w:pStyle w:val="ListBullet"/>
        <w:spacing w:line="240" w:lineRule="auto"/>
      </w:pPr>
      <w:r>
        <w:t>Figure 2. Mortgage rate vs. Case–Shiller-based modeled monthly P&amp;I.</w:t>
      </w:r>
    </w:p>
    <w:p>
      <w:pPr>
        <w:pStyle w:val="ListBullet"/>
        <w:spacing w:line="240" w:lineRule="auto"/>
      </w:pPr>
      <w:r>
        <w:t>Figure 3. Regional median new-home sale price (2000–2024).</w:t>
      </w:r>
    </w:p>
    <w:p>
      <w:pPr>
        <w:pStyle w:val="ListBullet"/>
        <w:spacing w:line="240" w:lineRule="auto"/>
      </w:pPr>
      <w:r>
        <w:t>Figure 4. Regional average 2-bedroom Fair Market Rent (2000–2024).</w:t>
      </w:r>
    </w:p>
    <w:p>
      <w:pPr>
        <w:pStyle w:val="ListBullet"/>
        <w:spacing w:line="240" w:lineRule="auto"/>
      </w:pPr>
      <w:r>
        <w:t>Figure 5. 2024 price-to-rent ratio by region vs. breakeven.</w:t>
      </w:r>
    </w:p>
    <w:p>
      <w:pPr>
        <w:pStyle w:val="ListBullet"/>
        <w:spacing w:line="240" w:lineRule="auto"/>
      </w:pPr>
      <w:r>
        <w:t>Figure 6. Summary statistics of key variables.</w:t>
      </w:r>
    </w:p>
    <w:p>
      <w:pPr>
        <w:pStyle w:val="ListBullet"/>
        <w:spacing w:line="240" w:lineRule="auto"/>
      </w:pPr>
      <w:r>
        <w:t>Figure 7. Regional price-to-rent ratio over time.</w:t>
      </w:r>
    </w:p>
    <w:p>
      <w:pPr>
        <w:pStyle w:val="ListBullet"/>
        <w:spacing w:line="240" w:lineRule="auto"/>
      </w:pPr>
      <w:r>
        <w:t>Figure 8. Distribution of county 2-bedroom FMR, 2024.</w:t>
      </w:r>
    </w:p>
    <w:p>
      <w:pPr>
        <w:pStyle w:val="ListBullet"/>
        <w:spacing w:line="240" w:lineRule="auto"/>
      </w:pPr>
      <w:r>
        <w:t>Figure 9. Average county 2-bedroom FMR by region, 2024.</w:t>
      </w:r>
    </w:p>
    <w:p>
      <w:pPr>
        <w:pStyle w:val="ListBullet"/>
        <w:spacing w:line="240" w:lineRule="auto"/>
      </w:pPr>
      <w:r>
        <w:t>Figure 10. Number of counties by region and 2024 FMR quartile.</w:t>
      </w:r>
    </w:p>
    <w:p>
      <w:pPr>
        <w:pStyle w:val="ListBullet"/>
        <w:spacing w:line="240" w:lineRule="auto"/>
      </w:pPr>
      <w:r>
        <w:t>Figure 11. Distribution of metro HPI growth (%), 2000–2024.</w:t>
      </w:r>
    </w:p>
    <w:p>
      <w:pPr>
        <w:pStyle w:val="ListBullet"/>
        <w:spacing w:line="240" w:lineRule="auto"/>
      </w:pPr>
      <w:r>
        <w:t>Figure 12. Top and bottom 10 metros by HPI growth, 2000–2024.</w:t>
      </w:r>
    </w:p>
    <w:p>
      <w:pPr>
        <w:pStyle w:val="ListBullet"/>
        <w:spacing w:line="240" w:lineRule="auto"/>
      </w:pPr>
      <w:r>
        <w:t>Figure 13. Home price vs. rent index (2000 = 100).</w:t>
      </w:r>
    </w:p>
    <w:p>
      <w:pPr>
        <w:pStyle w:val="ListBullet"/>
        <w:spacing w:line="240" w:lineRule="auto"/>
      </w:pPr>
      <w:r>
        <w:t>Figure 14a. 2024 average 2-bedroom FMR by state.</w:t>
      </w:r>
    </w:p>
    <w:p>
      <w:pPr>
        <w:pStyle w:val="ListBullet"/>
        <w:spacing w:line="240" w:lineRule="auto"/>
      </w:pPr>
      <w:r>
        <w:t>Figure 14b. Home price growth by state, 2000–2024.</w:t>
      </w:r>
    </w:p>
    <w:p>
      <w:pPr>
        <w:pStyle w:val="Heading1"/>
      </w:pPr>
      <w:r>
        <w:rPr>
          <w:rFonts w:ascii="Times New Roman" w:hAnsi="Times New Roman"/>
          <w:color w:val="000000"/>
        </w:rPr>
        <w:t>1. Introduction</w:t>
      </w:r>
    </w:p>
    <w:p>
      <w:pPr>
        <w:pStyle w:val="Heading2"/>
      </w:pPr>
      <w:r>
        <w:rPr>
          <w:rFonts w:ascii="Times New Roman" w:hAnsi="Times New Roman"/>
          <w:color w:val="000000"/>
        </w:rPr>
        <w:t>1.1 Problem Statement</w:t>
      </w:r>
    </w:p>
    <w:p>
      <w:r>
        <w:rPr>
          <w:b w:val="0"/>
          <w:i w:val="0"/>
        </w:rPr>
        <w:t>Housing affordability in the United States has deteriorated markedly since the pandemic. Two forces drove the deterioration: a surge in home prices and a rapid increase in mortgage rates. Together they raised both the price of a home and the cost of borrowing to buy it, while rents rose more slowly. Households deciding whether to buy or rent face a very different calculation in 2024 than they did in 2000. Understanding this shift is important not only for individual households but also for investors in residential real estate and for local policymakers who must plan housing supply and rental support.</w:t>
      </w:r>
    </w:p>
    <w:p>
      <w:pPr>
        <w:pStyle w:val="Heading2"/>
      </w:pPr>
      <w:r>
        <w:rPr>
          <w:rFonts w:ascii="Times New Roman" w:hAnsi="Times New Roman"/>
          <w:color w:val="000000"/>
        </w:rPr>
        <w:t>1.2 Objective and Research Questions</w:t>
      </w:r>
    </w:p>
    <w:p>
      <w:r>
        <w:rPr>
          <w:b w:val="0"/>
          <w:i w:val="0"/>
        </w:rPr>
        <w:t>Our objective is to quantify how the buy-versus-rent balance shifted across U.S. regions from 2000 to 2024 and to identify which regions became least affordable. We address four questions:</w:t>
      </w:r>
    </w:p>
    <w:p>
      <w:pPr>
        <w:pStyle w:val="ListBullet"/>
      </w:pPr>
      <w:r>
        <w:t>How far did real home prices outrun real household income over the period?</w:t>
      </w:r>
    </w:p>
    <w:p>
      <w:pPr>
        <w:pStyle w:val="ListBullet"/>
      </w:pPr>
      <w:r>
        <w:t>How much did the cost of financing a home rise, in dollars, after 2021?</w:t>
      </w:r>
    </w:p>
    <w:p>
      <w:pPr>
        <w:pStyle w:val="ListBullet"/>
      </w:pPr>
      <w:r>
        <w:t>By 2024, in which regions does buying cost more than our estimated breakeven relative to renting, and by how much?</w:t>
      </w:r>
    </w:p>
    <w:p>
      <w:pPr>
        <w:pStyle w:val="ListBullet"/>
      </w:pPr>
      <w:r>
        <w:t>How much variation exists across individual metros and states beneath the national averages?</w:t>
      </w:r>
    </w:p>
    <w:p>
      <w:pPr>
        <w:pStyle w:val="Heading2"/>
      </w:pPr>
      <w:r>
        <w:rPr>
          <w:rFonts w:ascii="Times New Roman" w:hAnsi="Times New Roman"/>
          <w:color w:val="000000"/>
        </w:rPr>
        <w:t>1.3 Audience</w:t>
      </w:r>
    </w:p>
    <w:p>
      <w:r>
        <w:rPr>
          <w:b w:val="0"/>
          <w:i w:val="0"/>
        </w:rPr>
        <w:t>The intended audience is first-time homebuyers, residential REIT investors, and local housing policy boards. Each group needs the same underlying measurement — the relative cost of owning versus renting — but applies it differently: buyers to time a purchase, investors to anticipate rental demand, and policymakers to target supply and subsidy.</w:t>
      </w:r>
    </w:p>
    <w:p>
      <w:pPr>
        <w:pStyle w:val="Heading2"/>
      </w:pPr>
      <w:r>
        <w:rPr>
          <w:rFonts w:ascii="Times New Roman" w:hAnsi="Times New Roman"/>
          <w:color w:val="000000"/>
        </w:rPr>
        <w:t>1.4 Scope and Data Window</w:t>
      </w:r>
    </w:p>
    <w:p>
      <w:r>
        <w:rPr>
          <w:b w:val="0"/>
          <w:i w:val="0"/>
        </w:rPr>
        <w:t>The analysis covers 2000 through 2024, a window that spans the pre-crisis boom, the 2008 crash, the post-crisis recovery, the pandemic-era price surge, and the 2022–2024 rate shock. Because the report relies on existing public data, no new data collection was performed for this analysis.</w:t>
      </w:r>
    </w:p>
    <w:p>
      <w:pPr>
        <w:pStyle w:val="Heading1"/>
      </w:pPr>
      <w:r>
        <w:rPr>
          <w:rFonts w:ascii="Times New Roman" w:hAnsi="Times New Roman"/>
          <w:color w:val="000000"/>
        </w:rPr>
        <w:t>2. Data Sources and Preparation</w:t>
      </w:r>
    </w:p>
    <w:p>
      <w:pPr>
        <w:pStyle w:val="Heading2"/>
      </w:pPr>
      <w:r>
        <w:rPr>
          <w:rFonts w:ascii="Times New Roman" w:hAnsi="Times New Roman"/>
          <w:color w:val="000000"/>
        </w:rPr>
        <w:t>2.1 Sources</w:t>
      </w:r>
    </w:p>
    <w:p>
      <w:r>
        <w:rPr>
          <w:b w:val="0"/>
          <w:i w:val="0"/>
        </w:rPr>
        <w:t>The analysis combines several public sources into a single tidy dataset: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240" w:lineRule="auto" w:after="0"/>
            </w:pPr>
            <w:r>
              <w:rPr>
                <w:b/>
                <w:sz w:val="20"/>
              </w:rPr>
              <w:t>Variable</w:t>
            </w:r>
          </w:p>
        </w:tc>
        <w:tc>
          <w:tcPr>
            <w:tcW w:type="dxa" w:w="2880"/>
          </w:tcPr>
          <w:p>
            <w:pPr>
              <w:spacing w:line="240" w:lineRule="auto" w:after="0"/>
            </w:pPr>
            <w:r>
              <w:rPr>
                <w:b/>
                <w:sz w:val="20"/>
              </w:rPr>
              <w:t>Source</w:t>
            </w:r>
          </w:p>
        </w:tc>
        <w:tc>
          <w:tcPr>
            <w:tcW w:type="dxa" w:w="2880"/>
          </w:tcPr>
          <w:p>
            <w:pPr>
              <w:spacing w:line="240" w:lineRule="auto" w:after="0"/>
            </w:pPr>
            <w:r>
              <w:rPr>
                <w:b/>
                <w:sz w:val="20"/>
              </w:rPr>
              <w:t>Level / Frequency</w:t>
            </w:r>
          </w:p>
        </w:tc>
      </w:tr>
      <w:tr>
        <w:tc>
          <w:tcPr>
            <w:tcW w:type="dxa" w:w="2880"/>
          </w:tcPr>
          <w:p>
            <w:pPr>
              <w:spacing w:line="240" w:lineRule="auto" w:after="0"/>
            </w:pPr>
            <w:r>
              <w:rPr>
                <w:sz w:val="20"/>
              </w:rPr>
              <w:t>Fair Market Rent, 2-bedroom (fmr_2br)</w:t>
            </w:r>
          </w:p>
        </w:tc>
        <w:tc>
          <w:tcPr>
            <w:tcW w:type="dxa" w:w="2880"/>
          </w:tcPr>
          <w:p>
            <w:pPr>
              <w:spacing w:line="240" w:lineRule="auto" w:after="0"/>
            </w:pPr>
            <w:r>
              <w:rPr>
                <w:sz w:val="20"/>
              </w:rPr>
              <w:t>HUD</w:t>
            </w:r>
          </w:p>
        </w:tc>
        <w:tc>
          <w:tcPr>
            <w:tcW w:type="dxa" w:w="2880"/>
          </w:tcPr>
          <w:p>
            <w:pPr>
              <w:spacing w:line="240" w:lineRule="auto" w:after="0"/>
            </w:pPr>
            <w:r>
              <w:rPr>
                <w:sz w:val="20"/>
              </w:rPr>
              <w:t>County / annual</w:t>
            </w:r>
          </w:p>
        </w:tc>
      </w:tr>
      <w:tr>
        <w:tc>
          <w:tcPr>
            <w:tcW w:type="dxa" w:w="2880"/>
          </w:tcPr>
          <w:p>
            <w:pPr>
              <w:spacing w:line="240" w:lineRule="auto" w:after="0"/>
            </w:pPr>
            <w:r>
              <w:rPr>
                <w:sz w:val="20"/>
              </w:rPr>
              <w:t>FHFA House Price Index (hpi_sa)</w:t>
            </w:r>
          </w:p>
        </w:tc>
        <w:tc>
          <w:tcPr>
            <w:tcW w:type="dxa" w:w="2880"/>
          </w:tcPr>
          <w:p>
            <w:pPr>
              <w:spacing w:line="240" w:lineRule="auto" w:after="0"/>
            </w:pPr>
            <w:r>
              <w:rPr>
                <w:sz w:val="20"/>
              </w:rPr>
              <w:t>FHFA</w:t>
            </w:r>
          </w:p>
        </w:tc>
        <w:tc>
          <w:tcPr>
            <w:tcW w:type="dxa" w:w="2880"/>
          </w:tcPr>
          <w:p>
            <w:pPr>
              <w:spacing w:line="240" w:lineRule="auto" w:after="0"/>
            </w:pPr>
            <w:r>
              <w:rPr>
                <w:sz w:val="20"/>
              </w:rPr>
              <w:t>MSA, State, Division / quarterly</w:t>
            </w:r>
          </w:p>
        </w:tc>
      </w:tr>
      <w:tr>
        <w:tc>
          <w:tcPr>
            <w:tcW w:type="dxa" w:w="2880"/>
          </w:tcPr>
          <w:p>
            <w:pPr>
              <w:spacing w:line="240" w:lineRule="auto" w:after="0"/>
            </w:pPr>
            <w:r>
              <w:rPr>
                <w:sz w:val="20"/>
              </w:rPr>
              <w:t>30-year fixed mortgage rate</w:t>
            </w:r>
          </w:p>
        </w:tc>
        <w:tc>
          <w:tcPr>
            <w:tcW w:type="dxa" w:w="2880"/>
          </w:tcPr>
          <w:p>
            <w:pPr>
              <w:spacing w:line="240" w:lineRule="auto" w:after="0"/>
            </w:pPr>
            <w:r>
              <w:rPr>
                <w:sz w:val="20"/>
              </w:rPr>
              <w:t>FRED MORTGAGE30US</w:t>
            </w:r>
          </w:p>
        </w:tc>
        <w:tc>
          <w:tcPr>
            <w:tcW w:type="dxa" w:w="2880"/>
          </w:tcPr>
          <w:p>
            <w:pPr>
              <w:spacing w:line="240" w:lineRule="auto" w:after="0"/>
            </w:pPr>
            <w:r>
              <w:rPr>
                <w:sz w:val="20"/>
              </w:rPr>
              <w:t>National / weekly</w:t>
            </w:r>
          </w:p>
        </w:tc>
      </w:tr>
      <w:tr>
        <w:tc>
          <w:tcPr>
            <w:tcW w:type="dxa" w:w="2880"/>
          </w:tcPr>
          <w:p>
            <w:pPr>
              <w:spacing w:line="240" w:lineRule="auto" w:after="0"/>
            </w:pPr>
            <w:r>
              <w:rPr>
                <w:sz w:val="20"/>
              </w:rPr>
              <w:t>Median household income (real)</w:t>
            </w:r>
          </w:p>
        </w:tc>
        <w:tc>
          <w:tcPr>
            <w:tcW w:type="dxa" w:w="2880"/>
          </w:tcPr>
          <w:p>
            <w:pPr>
              <w:spacing w:line="240" w:lineRule="auto" w:after="0"/>
            </w:pPr>
            <w:r>
              <w:rPr>
                <w:sz w:val="20"/>
              </w:rPr>
              <w:t>FRED MEHOINUSA672N</w:t>
            </w:r>
          </w:p>
        </w:tc>
        <w:tc>
          <w:tcPr>
            <w:tcW w:type="dxa" w:w="2880"/>
          </w:tcPr>
          <w:p>
            <w:pPr>
              <w:spacing w:line="240" w:lineRule="auto" w:after="0"/>
            </w:pPr>
            <w:r>
              <w:rPr>
                <w:sz w:val="20"/>
              </w:rPr>
              <w:t>National / annual</w:t>
            </w:r>
          </w:p>
        </w:tc>
      </w:tr>
      <w:tr>
        <w:tc>
          <w:tcPr>
            <w:tcW w:type="dxa" w:w="2880"/>
          </w:tcPr>
          <w:p>
            <w:pPr>
              <w:spacing w:line="240" w:lineRule="auto" w:after="0"/>
            </w:pPr>
            <w:r>
              <w:rPr>
                <w:sz w:val="20"/>
              </w:rPr>
              <w:t>Median new-home sale price</w:t>
            </w:r>
          </w:p>
        </w:tc>
        <w:tc>
          <w:tcPr>
            <w:tcW w:type="dxa" w:w="2880"/>
          </w:tcPr>
          <w:p>
            <w:pPr>
              <w:spacing w:line="240" w:lineRule="auto" w:after="0"/>
            </w:pPr>
            <w:r>
              <w:rPr>
                <w:sz w:val="20"/>
              </w:rPr>
              <w:t>FRED MSPNE/MW/S/W</w:t>
            </w:r>
          </w:p>
        </w:tc>
        <w:tc>
          <w:tcPr>
            <w:tcW w:type="dxa" w:w="2880"/>
          </w:tcPr>
          <w:p>
            <w:pPr>
              <w:spacing w:line="240" w:lineRule="auto" w:after="0"/>
            </w:pPr>
            <w:r>
              <w:rPr>
                <w:sz w:val="20"/>
              </w:rPr>
              <w:t>4 Regions / quarterly</w:t>
            </w:r>
          </w:p>
        </w:tc>
      </w:tr>
      <w:tr>
        <w:tc>
          <w:tcPr>
            <w:tcW w:type="dxa" w:w="2880"/>
          </w:tcPr>
          <w:p>
            <w:pPr>
              <w:spacing w:line="240" w:lineRule="auto" w:after="0"/>
            </w:pPr>
            <w:r>
              <w:rPr>
                <w:sz w:val="20"/>
              </w:rPr>
              <w:t>Case–Shiller national HPI</w:t>
            </w:r>
          </w:p>
        </w:tc>
        <w:tc>
          <w:tcPr>
            <w:tcW w:type="dxa" w:w="2880"/>
          </w:tcPr>
          <w:p>
            <w:pPr>
              <w:spacing w:line="240" w:lineRule="auto" w:after="0"/>
            </w:pPr>
            <w:r>
              <w:rPr>
                <w:sz w:val="20"/>
              </w:rPr>
              <w:t>FRED CSUSHPINSA</w:t>
            </w:r>
          </w:p>
        </w:tc>
        <w:tc>
          <w:tcPr>
            <w:tcW w:type="dxa" w:w="2880"/>
          </w:tcPr>
          <w:p>
            <w:pPr>
              <w:spacing w:line="240" w:lineRule="auto" w:after="0"/>
            </w:pPr>
            <w:r>
              <w:rPr>
                <w:sz w:val="20"/>
              </w:rPr>
              <w:t>National / monthly</w:t>
            </w:r>
          </w:p>
        </w:tc>
      </w:tr>
      <w:tr>
        <w:tc>
          <w:tcPr>
            <w:tcW w:type="dxa" w:w="2880"/>
          </w:tcPr>
          <w:p>
            <w:pPr>
              <w:spacing w:line="240" w:lineRule="auto" w:after="0"/>
            </w:pPr>
            <w:r>
              <w:rPr>
                <w:sz w:val="20"/>
              </w:rPr>
              <w:t>CPI-U (derived)</w:t>
            </w:r>
          </w:p>
        </w:tc>
        <w:tc>
          <w:tcPr>
            <w:tcW w:type="dxa" w:w="2880"/>
          </w:tcPr>
          <w:p>
            <w:pPr>
              <w:spacing w:line="240" w:lineRule="auto" w:after="0"/>
            </w:pPr>
            <w:r>
              <w:rPr>
                <w:sz w:val="20"/>
              </w:rPr>
              <w:t>FRED CUUR0000SA0R</w:t>
            </w:r>
          </w:p>
        </w:tc>
        <w:tc>
          <w:tcPr>
            <w:tcW w:type="dxa" w:w="2880"/>
          </w:tcPr>
          <w:p>
            <w:pPr>
              <w:spacing w:line="240" w:lineRule="auto" w:after="0"/>
            </w:pPr>
            <w:r>
              <w:rPr>
                <w:sz w:val="20"/>
              </w:rPr>
              <w:t>National / monthly</w:t>
            </w:r>
          </w:p>
        </w:tc>
      </w:tr>
      <w:tr>
        <w:tc>
          <w:tcPr>
            <w:tcW w:type="dxa" w:w="2880"/>
          </w:tcPr>
          <w:p>
            <w:pPr>
              <w:spacing w:line="240" w:lineRule="auto" w:after="0"/>
            </w:pPr>
            <w:r>
              <w:rPr>
                <w:sz w:val="20"/>
              </w:rPr>
              <w:t>Renter / owner occupied units</w:t>
            </w:r>
          </w:p>
        </w:tc>
        <w:tc>
          <w:tcPr>
            <w:tcW w:type="dxa" w:w="2880"/>
          </w:tcPr>
          <w:p>
            <w:pPr>
              <w:spacing w:line="240" w:lineRule="auto" w:after="0"/>
            </w:pPr>
            <w:r>
              <w:rPr>
                <w:sz w:val="20"/>
              </w:rPr>
              <w:t>FRED ERNTOCCUSQ176N / EOWNOCCUSQ176N</w:t>
            </w:r>
          </w:p>
        </w:tc>
        <w:tc>
          <w:tcPr>
            <w:tcW w:type="dxa" w:w="2880"/>
          </w:tcPr>
          <w:p>
            <w:pPr>
              <w:spacing w:line="240" w:lineRule="auto" w:after="0"/>
            </w:pPr>
            <w:r>
              <w:rPr>
                <w:sz w:val="20"/>
              </w:rPr>
              <w:t>National / quarterly</w:t>
            </w:r>
          </w:p>
        </w:tc>
      </w:tr>
    </w:tbl>
    <w:p>
      <w:pPr>
        <w:pStyle w:val="Heading2"/>
      </w:pPr>
      <w:r>
        <w:rPr>
          <w:rFonts w:ascii="Times New Roman" w:hAnsi="Times New Roman"/>
          <w:color w:val="000000"/>
        </w:rPr>
        <w:t>2.2 Data Corrections and Caveats</w:t>
      </w:r>
    </w:p>
    <w:p>
      <w:r>
        <w:rPr>
          <w:b w:val="0"/>
          <w:i w:val="0"/>
        </w:rPr>
        <w:t>Three issues were identified and corrected during preparation; they materially affect the results and are worth stating explicitly.</w:t>
      </w:r>
    </w:p>
    <w:p>
      <w:pPr>
        <w:pStyle w:val="ListBullet"/>
      </w:pPr>
      <w:r>
        <w:t>The source column labeled “CPI Rent” (CUUR0000SA0R) is not a rent index; it is the Purchasing Power of the Consumer Dollar (1982–84 = 100). The CPI-U used here is recovered as 10000 / value and verified against published CPI-U values (e.g., 2024 = 313.7).</w:t>
      </w:r>
    </w:p>
    <w:p>
      <w:pPr>
        <w:pStyle w:val="ListBullet"/>
      </w:pPr>
      <w:r>
        <w:t>MEHOINUSA672N is already reported in real (constant) dollars. Deflating it again would double-count inflation, so it is used as-is.</w:t>
      </w:r>
    </w:p>
    <w:p>
      <w:pPr>
        <w:pStyle w:val="ListBullet"/>
      </w:pPr>
      <w:r>
        <w:t>Only four census regions exist in the price data (Northeast, Midwest, South, West); regional income is not available, so income-based affordability is national and illustrative.</w:t>
      </w:r>
    </w:p>
    <w:p>
      <w:pPr>
        <w:pStyle w:val="Heading2"/>
      </w:pPr>
      <w:r>
        <w:rPr>
          <w:rFonts w:ascii="Times New Roman" w:hAnsi="Times New Roman"/>
          <w:color w:val="000000"/>
        </w:rPr>
        <w:t>2.3 Assumptions</w:t>
      </w:r>
    </w:p>
    <w:p>
      <w:r>
        <w:rPr>
          <w:b w:val="0"/>
          <w:i w:val="0"/>
        </w:rPr>
        <w:t>All modeled costs use the following assumptions: down payment LTV = 80%; 30-year fixed term; property tax 1.00% of price per year; insurance 0.35% per year; maintenance 1.00% per year; expected appreciation 3.00% per year. The mortgage rate is the national annual mean of the 30-year fixed rate, applied uniformly to all regions.</w:t>
      </w:r>
    </w:p>
    <w:p>
      <w:pPr>
        <w:pStyle w:val="Heading1"/>
      </w:pPr>
      <w:r>
        <w:rPr>
          <w:rFonts w:ascii="Times New Roman" w:hAnsi="Times New Roman"/>
          <w:color w:val="000000"/>
        </w:rPr>
        <w:t>3. Methodology</w:t>
      </w:r>
    </w:p>
    <w:p>
      <w:pPr>
        <w:pStyle w:val="Heading2"/>
      </w:pPr>
      <w:r>
        <w:rPr>
          <w:rFonts w:ascii="Times New Roman" w:hAnsi="Times New Roman"/>
          <w:color w:val="000000"/>
        </w:rPr>
        <w:t>3.1 Pipeline</w:t>
      </w:r>
    </w:p>
    <w:p>
      <w:r>
        <w:rPr>
          <w:b w:val="0"/>
          <w:i w:val="0"/>
        </w:rPr>
        <w:t>We aggregated county-level FMR (3,229 counties, 2000–2024), quarterly FHFA HPI, national macro series, and other data into a single dataset to work from. Nominal prices were deflated to real terms using the derived CPI-U with 2000 as the base year. The pipeline is reproducible: a build step cleans and joins the raw workbook, a derived-metrics step computes models, and a figure step renders the visualizations.</w:t>
      </w:r>
    </w:p>
    <w:p>
      <w:pPr>
        <w:pStyle w:val="Heading2"/>
      </w:pPr>
      <w:r>
        <w:rPr>
          <w:rFonts w:ascii="Times New Roman" w:hAnsi="Times New Roman"/>
          <w:color w:val="000000"/>
        </w:rPr>
        <w:t>3.2 Derived Metrics</w:t>
      </w:r>
    </w:p>
    <w:tbl>
      <w:tblPr>
        <w:tblStyle w:val="LightGrid-Accent1"/>
        <w:tblW w:type="auto" w:w="0"/>
        <w:tblLook w:firstColumn="1" w:firstRow="1" w:lastColumn="0" w:lastRow="0" w:noHBand="0" w:noVBand="1" w:val="04A0"/>
      </w:tblPr>
      <w:tblGrid>
        <w:gridCol w:w="4320"/>
        <w:gridCol w:w="4320"/>
      </w:tblGrid>
      <w:tr>
        <w:tc>
          <w:tcPr>
            <w:tcW w:type="dxa" w:w="4320"/>
          </w:tcPr>
          <w:p>
            <w:pPr>
              <w:spacing w:line="240" w:lineRule="auto" w:after="0"/>
            </w:pPr>
            <w:r>
              <w:rPr>
                <w:b/>
                <w:sz w:val="20"/>
              </w:rPr>
              <w:t>Metric</w:t>
            </w:r>
          </w:p>
        </w:tc>
        <w:tc>
          <w:tcPr>
            <w:tcW w:type="dxa" w:w="4320"/>
          </w:tcPr>
          <w:p>
            <w:pPr>
              <w:spacing w:line="240" w:lineRule="auto" w:after="0"/>
            </w:pPr>
            <w:r>
              <w:rPr>
                <w:b/>
                <w:sz w:val="20"/>
              </w:rPr>
              <w:t>Definition</w:t>
            </w:r>
          </w:p>
        </w:tc>
      </w:tr>
      <w:tr>
        <w:tc>
          <w:tcPr>
            <w:tcW w:type="dxa" w:w="4320"/>
          </w:tcPr>
          <w:p>
            <w:pPr>
              <w:spacing w:line="240" w:lineRule="auto" w:after="0"/>
            </w:pPr>
            <w:r>
              <w:rPr>
                <w:sz w:val="20"/>
              </w:rPr>
              <w:t>Real home price index</w:t>
            </w:r>
          </w:p>
        </w:tc>
        <w:tc>
          <w:tcPr>
            <w:tcW w:type="dxa" w:w="4320"/>
          </w:tcPr>
          <w:p>
            <w:pPr>
              <w:spacing w:line="240" w:lineRule="auto" w:after="0"/>
            </w:pPr>
            <w:r>
              <w:rPr>
                <w:sz w:val="20"/>
              </w:rPr>
              <w:t>Case–Shiller HPI ÷ CPI-U, rebased 2000 = 100</w:t>
            </w:r>
          </w:p>
        </w:tc>
      </w:tr>
      <w:tr>
        <w:tc>
          <w:tcPr>
            <w:tcW w:type="dxa" w:w="4320"/>
          </w:tcPr>
          <w:p>
            <w:pPr>
              <w:spacing w:line="240" w:lineRule="auto" w:after="0"/>
            </w:pPr>
            <w:r>
              <w:rPr>
                <w:sz w:val="20"/>
              </w:rPr>
              <w:t>Real income index</w:t>
            </w:r>
          </w:p>
        </w:tc>
        <w:tc>
          <w:tcPr>
            <w:tcW w:type="dxa" w:w="4320"/>
          </w:tcPr>
          <w:p>
            <w:pPr>
              <w:spacing w:line="240" w:lineRule="auto" w:after="0"/>
            </w:pPr>
            <w:r>
              <w:rPr>
                <w:sz w:val="20"/>
              </w:rPr>
              <w:t>Real median income, rebased 2000 = 100</w:t>
            </w:r>
          </w:p>
        </w:tc>
      </w:tr>
      <w:tr>
        <w:tc>
          <w:tcPr>
            <w:tcW w:type="dxa" w:w="4320"/>
          </w:tcPr>
          <w:p>
            <w:pPr>
              <w:spacing w:line="240" w:lineRule="auto" w:after="0"/>
            </w:pPr>
            <w:r>
              <w:rPr>
                <w:sz w:val="20"/>
              </w:rPr>
              <w:t>Price-to-rent ratio (dollar)</w:t>
            </w:r>
          </w:p>
        </w:tc>
        <w:tc>
          <w:tcPr>
            <w:tcW w:type="dxa" w:w="4320"/>
          </w:tcPr>
          <w:p>
            <w:pPr>
              <w:spacing w:line="240" w:lineRule="auto" w:after="0"/>
            </w:pPr>
            <w:r>
              <w:rPr>
                <w:sz w:val="20"/>
              </w:rPr>
              <w:t>Median sale price ÷ (average FMR × 12)</w:t>
            </w:r>
          </w:p>
        </w:tc>
      </w:tr>
      <w:tr>
        <w:tc>
          <w:tcPr>
            <w:tcW w:type="dxa" w:w="4320"/>
          </w:tcPr>
          <w:p>
            <w:pPr>
              <w:spacing w:line="240" w:lineRule="auto" w:after="0"/>
            </w:pPr>
            <w:r>
              <w:rPr>
                <w:sz w:val="20"/>
              </w:rPr>
              <w:t>Price-to-rent ratio (index)</w:t>
            </w:r>
          </w:p>
        </w:tc>
        <w:tc>
          <w:tcPr>
            <w:tcW w:type="dxa" w:w="4320"/>
          </w:tcPr>
          <w:p>
            <w:pPr>
              <w:spacing w:line="240" w:lineRule="auto" w:after="0"/>
            </w:pPr>
            <w:r>
              <w:rPr>
                <w:sz w:val="20"/>
              </w:rPr>
              <w:t>HPI index ÷ FMR index, both rebased</w:t>
            </w:r>
          </w:p>
        </w:tc>
      </w:tr>
      <w:tr>
        <w:tc>
          <w:tcPr>
            <w:tcW w:type="dxa" w:w="4320"/>
          </w:tcPr>
          <w:p>
            <w:pPr>
              <w:spacing w:line="240" w:lineRule="auto" w:after="0"/>
            </w:pPr>
            <w:r>
              <w:rPr>
                <w:sz w:val="20"/>
              </w:rPr>
              <w:t>Modeled monthly P&amp;I</w:t>
            </w:r>
          </w:p>
        </w:tc>
        <w:tc>
          <w:tcPr>
            <w:tcW w:type="dxa" w:w="4320"/>
          </w:tcPr>
          <w:p>
            <w:pPr>
              <w:spacing w:line="240" w:lineRule="auto" w:after="0"/>
            </w:pPr>
            <w:r>
              <w:rPr>
                <w:sz w:val="20"/>
              </w:rPr>
              <w:t>Payment on an 80% LTV 30-year loan at that year's rate</w:t>
            </w:r>
          </w:p>
        </w:tc>
      </w:tr>
      <w:tr>
        <w:tc>
          <w:tcPr>
            <w:tcW w:type="dxa" w:w="4320"/>
          </w:tcPr>
          <w:p>
            <w:pPr>
              <w:spacing w:line="240" w:lineRule="auto" w:after="0"/>
            </w:pPr>
            <w:r>
              <w:rPr>
                <w:sz w:val="20"/>
              </w:rPr>
              <w:t>PITI</w:t>
            </w:r>
          </w:p>
        </w:tc>
        <w:tc>
          <w:tcPr>
            <w:tcW w:type="dxa" w:w="4320"/>
          </w:tcPr>
          <w:p>
            <w:pPr>
              <w:spacing w:line="240" w:lineRule="auto" w:after="0"/>
            </w:pPr>
            <w:r>
              <w:rPr>
                <w:sz w:val="20"/>
              </w:rPr>
              <w:t>P&amp;I + property tax + insurance</w:t>
            </w:r>
          </w:p>
        </w:tc>
      </w:tr>
      <w:tr>
        <w:tc>
          <w:tcPr>
            <w:tcW w:type="dxa" w:w="4320"/>
          </w:tcPr>
          <w:p>
            <w:pPr>
              <w:spacing w:line="240" w:lineRule="auto" w:after="0"/>
            </w:pPr>
            <w:r>
              <w:rPr>
                <w:sz w:val="20"/>
              </w:rPr>
              <w:t>Breakeven price-to-rent</w:t>
            </w:r>
          </w:p>
        </w:tc>
        <w:tc>
          <w:tcPr>
            <w:tcW w:type="dxa" w:w="4320"/>
          </w:tcPr>
          <w:p>
            <w:pPr>
              <w:spacing w:line="240" w:lineRule="auto" w:after="0"/>
            </w:pPr>
            <w:r>
              <w:rPr>
                <w:sz w:val="20"/>
              </w:rPr>
              <w:t>1 ÷ (rate × LTV + tax + ins + maint − appreciation)</w:t>
            </w:r>
          </w:p>
        </w:tc>
      </w:tr>
    </w:tbl>
    <w:p>
      <w:pPr>
        <w:pStyle w:val="Heading2"/>
      </w:pPr>
      <w:r>
        <w:rPr>
          <w:rFonts w:ascii="Times New Roman" w:hAnsi="Times New Roman"/>
          <w:color w:val="000000"/>
        </w:rPr>
        <w:t>3.3 The Buy-Cost Model</w:t>
      </w:r>
    </w:p>
    <w:p>
      <w:r>
        <w:rPr>
          <w:b w:val="0"/>
          <w:i w:val="0"/>
        </w:rPr>
        <w:t>To translate mortgage rates into a practical dollar amount, we modeled a representative home financed with a fixed-rate loan and computed the monthly payment each year. Because the payment depends on both the size of the loan and the interest rate, the model captures the compounding effect of rising prices and rising rates. The same framework produces the PITI figure once taxes and insurance are added, and the price-to-rent ratio used throughout the report.</w:t>
      </w:r>
    </w:p>
    <w:p>
      <w:pPr>
        <w:pStyle w:val="Heading2"/>
      </w:pPr>
      <w:r>
        <w:rPr>
          <w:rFonts w:ascii="Times New Roman" w:hAnsi="Times New Roman"/>
          <w:color w:val="000000"/>
        </w:rPr>
        <w:t>3.4 Breakeven Analysis</w:t>
      </w:r>
    </w:p>
    <w:p>
      <w:r>
        <w:rPr>
          <w:b w:val="0"/>
          <w:i w:val="0"/>
        </w:rPr>
        <w:t>The breakeven price-to-rent ratio is the level at which, under our assumptions, the annual cost of owning equals the annual cost of renting. When the observed price-to-rent ratio exceeds the breakeven ratio, renting is the cheaper financial choice for a household planning a short holding period. The breakeven ratio falls as mortgage rates rise, because higher financing costs make ownership more expensive relative to rent; the 2024 breakeven was 21.2 for an 80% LTV loan and 16.5 for a fully financed purchase.</w:t>
      </w:r>
    </w:p>
    <w:p>
      <w:pPr>
        <w:pStyle w:val="Heading1"/>
      </w:pPr>
      <w:r>
        <w:rPr>
          <w:rFonts w:ascii="Times New Roman" w:hAnsi="Times New Roman"/>
          <w:color w:val="000000"/>
        </w:rPr>
        <w:t>4. National Trends</w:t>
      </w:r>
    </w:p>
    <w:p>
      <w:pPr>
        <w:spacing w:line="240" w:lineRule="auto" w:before="160" w:after="0"/>
        <w:jc w:val="center"/>
      </w:pPr>
      <w:r>
        <w:drawing>
          <wp:inline xmlns:a="http://schemas.openxmlformats.org/drawingml/2006/main" xmlns:pic="http://schemas.openxmlformats.org/drawingml/2006/picture">
            <wp:extent cx="5760720" cy="2648607"/>
            <wp:docPr id="1" name="Picture 1"/>
            <wp:cNvGraphicFramePr>
              <a:graphicFrameLocks noChangeAspect="1"/>
            </wp:cNvGraphicFramePr>
            <a:graphic>
              <a:graphicData uri="http://schemas.openxmlformats.org/drawingml/2006/picture">
                <pic:pic>
                  <pic:nvPicPr>
                    <pic:cNvPr id="0" name="Fig. 1_ Real Home Prices vs Real Income.png"/>
                    <pic:cNvPicPr/>
                  </pic:nvPicPr>
                  <pic:blipFill>
                    <a:blip r:embed="rId9"/>
                    <a:stretch>
                      <a:fillRect/>
                    </a:stretch>
                  </pic:blipFill>
                  <pic:spPr>
                    <a:xfrm>
                      <a:off x="0" y="0"/>
                      <a:ext cx="5760720" cy="2648607"/>
                    </a:xfrm>
                    <a:prstGeom prst="rect"/>
                  </pic:spPr>
                </pic:pic>
              </a:graphicData>
            </a:graphic>
          </wp:inline>
        </w:drawing>
      </w:r>
    </w:p>
    <w:p>
      <w:pPr>
        <w:spacing w:line="240" w:lineRule="auto" w:after="200"/>
        <w:jc w:val="center"/>
      </w:pPr>
      <w:r>
        <w:rPr>
          <w:i/>
          <w:sz w:val="20"/>
        </w:rPr>
        <w:t>Figure 1. Real home prices vs. real income (2000 = 100).</w:t>
      </w:r>
    </w:p>
    <w:p>
      <w:r>
        <w:rPr>
          <w:b w:val="0"/>
          <w:i w:val="0"/>
        </w:rPr>
        <w:t>From 2000 to 2024 the real home price index rose from 100 to 168.3 (+68.3%) while the real median income index rose from 100 to only 115.8 (+15.8%). By 2024 the two measures were 52.5 index points apart despite starting together in 2000. Housing prices outgrew household purchasing power by a wide margin, meaning the down payment and the price of a home consumed a growing share of a typical household's finances. Notably, real income was essentially flat from 2000 to 2014 and only began to recover after 2015, while real home prices dipped after 2006 and then climbed steeply from 2012 onward.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after="0"/>
            </w:pPr>
            <w:r>
              <w:rPr>
                <w:b/>
                <w:sz w:val="20"/>
              </w:rPr>
              <w:t>Year</w:t>
            </w:r>
          </w:p>
        </w:tc>
        <w:tc>
          <w:tcPr>
            <w:tcW w:type="dxa" w:w="1234"/>
          </w:tcPr>
          <w:p>
            <w:pPr>
              <w:spacing w:line="240" w:lineRule="auto" w:after="0"/>
            </w:pPr>
            <w:r>
              <w:rPr>
                <w:b/>
                <w:sz w:val="20"/>
              </w:rPr>
              <w:t>Mortgage rate (%)</w:t>
            </w:r>
          </w:p>
        </w:tc>
        <w:tc>
          <w:tcPr>
            <w:tcW w:type="dxa" w:w="1234"/>
          </w:tcPr>
          <w:p>
            <w:pPr>
              <w:spacing w:line="240" w:lineRule="auto" w:after="0"/>
            </w:pPr>
            <w:r>
              <w:rPr>
                <w:b/>
                <w:sz w:val="20"/>
              </w:rPr>
              <w:t>Real price idx</w:t>
            </w:r>
          </w:p>
        </w:tc>
        <w:tc>
          <w:tcPr>
            <w:tcW w:type="dxa" w:w="1234"/>
          </w:tcPr>
          <w:p>
            <w:pPr>
              <w:spacing w:line="240" w:lineRule="auto" w:after="0"/>
            </w:pPr>
            <w:r>
              <w:rPr>
                <w:b/>
                <w:sz w:val="20"/>
              </w:rPr>
              <w:t>Real income idx</w:t>
            </w:r>
          </w:p>
        </w:tc>
        <w:tc>
          <w:tcPr>
            <w:tcW w:type="dxa" w:w="1234"/>
          </w:tcPr>
          <w:p>
            <w:pPr>
              <w:spacing w:line="240" w:lineRule="auto" w:after="0"/>
            </w:pPr>
            <w:r>
              <w:rPr>
                <w:b/>
                <w:sz w:val="20"/>
              </w:rPr>
              <w:t>HPI idx</w:t>
            </w:r>
          </w:p>
        </w:tc>
        <w:tc>
          <w:tcPr>
            <w:tcW w:type="dxa" w:w="1234"/>
          </w:tcPr>
          <w:p>
            <w:pPr>
              <w:spacing w:line="240" w:lineRule="auto" w:after="0"/>
            </w:pPr>
            <w:r>
              <w:rPr>
                <w:b/>
                <w:sz w:val="20"/>
              </w:rPr>
              <w:t>FMR idx</w:t>
            </w:r>
          </w:p>
        </w:tc>
        <w:tc>
          <w:tcPr>
            <w:tcW w:type="dxa" w:w="1234"/>
          </w:tcPr>
          <w:p>
            <w:pPr>
              <w:spacing w:line="240" w:lineRule="auto" w:after="0"/>
            </w:pPr>
            <w:r>
              <w:rPr>
                <w:b/>
                <w:sz w:val="20"/>
              </w:rPr>
              <w:t>Avg FMR ($)</w:t>
            </w:r>
          </w:p>
        </w:tc>
      </w:tr>
      <w:tr>
        <w:tc>
          <w:tcPr>
            <w:tcW w:type="dxa" w:w="1234"/>
          </w:tcPr>
          <w:p>
            <w:pPr>
              <w:spacing w:line="240" w:lineRule="auto" w:after="0"/>
            </w:pPr>
            <w:r>
              <w:rPr>
                <w:sz w:val="20"/>
              </w:rPr>
              <w:t>2000</w:t>
            </w:r>
          </w:p>
        </w:tc>
        <w:tc>
          <w:tcPr>
            <w:tcW w:type="dxa" w:w="1234"/>
          </w:tcPr>
          <w:p>
            <w:pPr>
              <w:spacing w:line="240" w:lineRule="auto" w:after="0"/>
            </w:pPr>
            <w:r>
              <w:rPr>
                <w:sz w:val="20"/>
              </w:rPr>
              <w:t>8.05</w:t>
            </w:r>
          </w:p>
        </w:tc>
        <w:tc>
          <w:tcPr>
            <w:tcW w:type="dxa" w:w="1234"/>
          </w:tcPr>
          <w:p>
            <w:pPr>
              <w:spacing w:line="240" w:lineRule="auto" w:after="0"/>
            </w:pPr>
            <w:r>
              <w:rPr>
                <w:sz w:val="20"/>
              </w:rPr>
              <w:t>100.0</w:t>
            </w:r>
          </w:p>
        </w:tc>
        <w:tc>
          <w:tcPr>
            <w:tcW w:type="dxa" w:w="1234"/>
          </w:tcPr>
          <w:p>
            <w:pPr>
              <w:spacing w:line="240" w:lineRule="auto" w:after="0"/>
            </w:pPr>
            <w:r>
              <w:rPr>
                <w:sz w:val="20"/>
              </w:rPr>
              <w:t>100.0</w:t>
            </w:r>
          </w:p>
        </w:tc>
        <w:tc>
          <w:tcPr>
            <w:tcW w:type="dxa" w:w="1234"/>
          </w:tcPr>
          <w:p>
            <w:pPr>
              <w:spacing w:line="240" w:lineRule="auto" w:after="0"/>
            </w:pPr>
            <w:r>
              <w:rPr>
                <w:sz w:val="20"/>
              </w:rPr>
              <w:t>100.0</w:t>
            </w:r>
          </w:p>
        </w:tc>
        <w:tc>
          <w:tcPr>
            <w:tcW w:type="dxa" w:w="1234"/>
          </w:tcPr>
          <w:p>
            <w:pPr>
              <w:spacing w:line="240" w:lineRule="auto" w:after="0"/>
            </w:pPr>
            <w:r>
              <w:rPr>
                <w:sz w:val="20"/>
              </w:rPr>
              <w:t>100.0</w:t>
            </w:r>
          </w:p>
        </w:tc>
        <w:tc>
          <w:tcPr>
            <w:tcW w:type="dxa" w:w="1234"/>
          </w:tcPr>
          <w:p>
            <w:pPr>
              <w:spacing w:line="240" w:lineRule="auto" w:after="0"/>
            </w:pPr>
            <w:r>
              <w:rPr>
                <w:sz w:val="20"/>
              </w:rPr>
              <w:t>519.0</w:t>
            </w:r>
          </w:p>
        </w:tc>
      </w:tr>
      <w:tr>
        <w:tc>
          <w:tcPr>
            <w:tcW w:type="dxa" w:w="1234"/>
          </w:tcPr>
          <w:p>
            <w:pPr>
              <w:spacing w:line="240" w:lineRule="auto" w:after="0"/>
            </w:pPr>
            <w:r>
              <w:rPr>
                <w:sz w:val="20"/>
              </w:rPr>
              <w:t>2005</w:t>
            </w:r>
          </w:p>
        </w:tc>
        <w:tc>
          <w:tcPr>
            <w:tcW w:type="dxa" w:w="1234"/>
          </w:tcPr>
          <w:p>
            <w:pPr>
              <w:spacing w:line="240" w:lineRule="auto" w:after="0"/>
            </w:pPr>
            <w:r>
              <w:rPr>
                <w:sz w:val="20"/>
              </w:rPr>
              <w:t>5.87</w:t>
            </w:r>
          </w:p>
        </w:tc>
        <w:tc>
          <w:tcPr>
            <w:tcW w:type="dxa" w:w="1234"/>
          </w:tcPr>
          <w:p>
            <w:pPr>
              <w:spacing w:line="240" w:lineRule="auto" w:after="0"/>
            </w:pPr>
            <w:r>
              <w:rPr>
                <w:sz w:val="20"/>
              </w:rPr>
              <w:t>144.5</w:t>
            </w:r>
          </w:p>
        </w:tc>
        <w:tc>
          <w:tcPr>
            <w:tcW w:type="dxa" w:w="1234"/>
          </w:tcPr>
          <w:p>
            <w:pPr>
              <w:spacing w:line="240" w:lineRule="auto" w:after="0"/>
            </w:pPr>
            <w:r>
              <w:rPr>
                <w:sz w:val="20"/>
              </w:rPr>
              <w:t>99.0</w:t>
            </w:r>
          </w:p>
        </w:tc>
        <w:tc>
          <w:tcPr>
            <w:tcW w:type="dxa" w:w="1234"/>
          </w:tcPr>
          <w:p>
            <w:pPr>
              <w:spacing w:line="240" w:lineRule="auto" w:after="0"/>
            </w:pPr>
            <w:r>
              <w:rPr>
                <w:sz w:val="20"/>
              </w:rPr>
              <w:t>163.9</w:t>
            </w:r>
          </w:p>
        </w:tc>
        <w:tc>
          <w:tcPr>
            <w:tcW w:type="dxa" w:w="1234"/>
          </w:tcPr>
          <w:p>
            <w:pPr>
              <w:spacing w:line="240" w:lineRule="auto" w:after="0"/>
            </w:pPr>
            <w:r>
              <w:rPr>
                <w:sz w:val="20"/>
              </w:rPr>
              <w:t>117.2</w:t>
            </w:r>
          </w:p>
        </w:tc>
        <w:tc>
          <w:tcPr>
            <w:tcW w:type="dxa" w:w="1234"/>
          </w:tcPr>
          <w:p>
            <w:pPr>
              <w:spacing w:line="240" w:lineRule="auto" w:after="0"/>
            </w:pPr>
            <w:r>
              <w:rPr>
                <w:sz w:val="20"/>
              </w:rPr>
              <w:t>609.0</w:t>
            </w:r>
          </w:p>
        </w:tc>
      </w:tr>
      <w:tr>
        <w:tc>
          <w:tcPr>
            <w:tcW w:type="dxa" w:w="1234"/>
          </w:tcPr>
          <w:p>
            <w:pPr>
              <w:spacing w:line="240" w:lineRule="auto" w:after="0"/>
            </w:pPr>
            <w:r>
              <w:rPr>
                <w:sz w:val="20"/>
              </w:rPr>
              <w:t>2010</w:t>
            </w:r>
          </w:p>
        </w:tc>
        <w:tc>
          <w:tcPr>
            <w:tcW w:type="dxa" w:w="1234"/>
          </w:tcPr>
          <w:p>
            <w:pPr>
              <w:spacing w:line="240" w:lineRule="auto" w:after="0"/>
            </w:pPr>
            <w:r>
              <w:rPr>
                <w:sz w:val="20"/>
              </w:rPr>
              <w:t>4.69</w:t>
            </w:r>
          </w:p>
        </w:tc>
        <w:tc>
          <w:tcPr>
            <w:tcW w:type="dxa" w:w="1234"/>
          </w:tcPr>
          <w:p>
            <w:pPr>
              <w:spacing w:line="240" w:lineRule="auto" w:after="0"/>
            </w:pPr>
            <w:r>
              <w:rPr>
                <w:sz w:val="20"/>
              </w:rPr>
              <w:t>109.0</w:t>
            </w:r>
          </w:p>
        </w:tc>
        <w:tc>
          <w:tcPr>
            <w:tcW w:type="dxa" w:w="1234"/>
          </w:tcPr>
          <w:p>
            <w:pPr>
              <w:spacing w:line="240" w:lineRule="auto" w:after="0"/>
            </w:pPr>
            <w:r>
              <w:rPr>
                <w:sz w:val="20"/>
              </w:rPr>
              <w:t>95.3</w:t>
            </w:r>
          </w:p>
        </w:tc>
        <w:tc>
          <w:tcPr>
            <w:tcW w:type="dxa" w:w="1234"/>
          </w:tcPr>
          <w:p>
            <w:pPr>
              <w:spacing w:line="240" w:lineRule="auto" w:after="0"/>
            </w:pPr>
            <w:r>
              <w:rPr>
                <w:sz w:val="20"/>
              </w:rPr>
              <w:t>138.1</w:t>
            </w:r>
          </w:p>
        </w:tc>
        <w:tc>
          <w:tcPr>
            <w:tcW w:type="dxa" w:w="1234"/>
          </w:tcPr>
          <w:p>
            <w:pPr>
              <w:spacing w:line="240" w:lineRule="auto" w:after="0"/>
            </w:pPr>
            <w:r>
              <w:rPr>
                <w:sz w:val="20"/>
              </w:rPr>
              <w:t>144.3</w:t>
            </w:r>
          </w:p>
        </w:tc>
        <w:tc>
          <w:tcPr>
            <w:tcW w:type="dxa" w:w="1234"/>
          </w:tcPr>
          <w:p>
            <w:pPr>
              <w:spacing w:line="240" w:lineRule="auto" w:after="0"/>
            </w:pPr>
            <w:r>
              <w:rPr>
                <w:sz w:val="20"/>
              </w:rPr>
              <w:t>750.0</w:t>
            </w:r>
          </w:p>
        </w:tc>
      </w:tr>
      <w:tr>
        <w:tc>
          <w:tcPr>
            <w:tcW w:type="dxa" w:w="1234"/>
          </w:tcPr>
          <w:p>
            <w:pPr>
              <w:spacing w:line="240" w:lineRule="auto" w:after="0"/>
            </w:pPr>
            <w:r>
              <w:rPr>
                <w:sz w:val="20"/>
              </w:rPr>
              <w:t>2015</w:t>
            </w:r>
          </w:p>
        </w:tc>
        <w:tc>
          <w:tcPr>
            <w:tcW w:type="dxa" w:w="1234"/>
          </w:tcPr>
          <w:p>
            <w:pPr>
              <w:spacing w:line="240" w:lineRule="auto" w:after="0"/>
            </w:pPr>
            <w:r>
              <w:rPr>
                <w:sz w:val="20"/>
              </w:rPr>
              <w:t>3.85</w:t>
            </w:r>
          </w:p>
        </w:tc>
        <w:tc>
          <w:tcPr>
            <w:tcW w:type="dxa" w:w="1234"/>
          </w:tcPr>
          <w:p>
            <w:pPr>
              <w:spacing w:line="240" w:lineRule="auto" w:after="0"/>
            </w:pPr>
            <w:r>
              <w:rPr>
                <w:sz w:val="20"/>
              </w:rPr>
              <w:t>119.4</w:t>
            </w:r>
          </w:p>
        </w:tc>
        <w:tc>
          <w:tcPr>
            <w:tcW w:type="dxa" w:w="1234"/>
          </w:tcPr>
          <w:p>
            <w:pPr>
              <w:spacing w:line="240" w:lineRule="auto" w:after="0"/>
            </w:pPr>
            <w:r>
              <w:rPr>
                <w:sz w:val="20"/>
              </w:rPr>
              <w:t>101.4</w:t>
            </w:r>
          </w:p>
        </w:tc>
        <w:tc>
          <w:tcPr>
            <w:tcW w:type="dxa" w:w="1234"/>
          </w:tcPr>
          <w:p>
            <w:pPr>
              <w:spacing w:line="240" w:lineRule="auto" w:after="0"/>
            </w:pPr>
            <w:r>
              <w:rPr>
                <w:sz w:val="20"/>
              </w:rPr>
              <w:t>164.3</w:t>
            </w:r>
          </w:p>
        </w:tc>
        <w:tc>
          <w:tcPr>
            <w:tcW w:type="dxa" w:w="1234"/>
          </w:tcPr>
          <w:p>
            <w:pPr>
              <w:spacing w:line="240" w:lineRule="auto" w:after="0"/>
            </w:pPr>
            <w:r>
              <w:rPr>
                <w:sz w:val="20"/>
              </w:rPr>
              <w:t>155.3</w:t>
            </w:r>
          </w:p>
        </w:tc>
        <w:tc>
          <w:tcPr>
            <w:tcW w:type="dxa" w:w="1234"/>
          </w:tcPr>
          <w:p>
            <w:pPr>
              <w:spacing w:line="240" w:lineRule="auto" w:after="0"/>
            </w:pPr>
            <w:r>
              <w:rPr>
                <w:sz w:val="20"/>
              </w:rPr>
              <w:t>807.0</w:t>
            </w:r>
          </w:p>
        </w:tc>
      </w:tr>
      <w:tr>
        <w:tc>
          <w:tcPr>
            <w:tcW w:type="dxa" w:w="1234"/>
          </w:tcPr>
          <w:p>
            <w:pPr>
              <w:spacing w:line="240" w:lineRule="auto" w:after="0"/>
            </w:pPr>
            <w:r>
              <w:rPr>
                <w:sz w:val="20"/>
              </w:rPr>
              <w:t>2020</w:t>
            </w:r>
          </w:p>
        </w:tc>
        <w:tc>
          <w:tcPr>
            <w:tcW w:type="dxa" w:w="1234"/>
          </w:tcPr>
          <w:p>
            <w:pPr>
              <w:spacing w:line="240" w:lineRule="auto" w:after="0"/>
            </w:pPr>
            <w:r>
              <w:rPr>
                <w:sz w:val="20"/>
              </w:rPr>
              <w:t>3.11</w:t>
            </w:r>
          </w:p>
        </w:tc>
        <w:tc>
          <w:tcPr>
            <w:tcW w:type="dxa" w:w="1234"/>
          </w:tcPr>
          <w:p>
            <w:pPr>
              <w:spacing w:line="240" w:lineRule="auto" w:after="0"/>
            </w:pPr>
            <w:r>
              <w:rPr>
                <w:sz w:val="20"/>
              </w:rPr>
              <w:t>141.0</w:t>
            </w:r>
          </w:p>
        </w:tc>
        <w:tc>
          <w:tcPr>
            <w:tcW w:type="dxa" w:w="1234"/>
          </w:tcPr>
          <w:p>
            <w:pPr>
              <w:spacing w:line="240" w:lineRule="auto" w:after="0"/>
            </w:pPr>
            <w:r>
              <w:rPr>
                <w:sz w:val="20"/>
              </w:rPr>
              <w:t>113.6</w:t>
            </w:r>
          </w:p>
        </w:tc>
        <w:tc>
          <w:tcPr>
            <w:tcW w:type="dxa" w:w="1234"/>
          </w:tcPr>
          <w:p>
            <w:pPr>
              <w:spacing w:line="240" w:lineRule="auto" w:after="0"/>
            </w:pPr>
            <w:r>
              <w:rPr>
                <w:sz w:val="20"/>
              </w:rPr>
              <w:t>211.9</w:t>
            </w:r>
          </w:p>
        </w:tc>
        <w:tc>
          <w:tcPr>
            <w:tcW w:type="dxa" w:w="1234"/>
          </w:tcPr>
          <w:p>
            <w:pPr>
              <w:spacing w:line="240" w:lineRule="auto" w:after="0"/>
            </w:pPr>
            <w:r>
              <w:rPr>
                <w:sz w:val="20"/>
              </w:rPr>
              <w:t>178.0</w:t>
            </w:r>
          </w:p>
        </w:tc>
        <w:tc>
          <w:tcPr>
            <w:tcW w:type="dxa" w:w="1234"/>
          </w:tcPr>
          <w:p>
            <w:pPr>
              <w:spacing w:line="240" w:lineRule="auto" w:after="0"/>
            </w:pPr>
            <w:r>
              <w:rPr>
                <w:sz w:val="20"/>
              </w:rPr>
              <w:t>924.0</w:t>
            </w:r>
          </w:p>
        </w:tc>
      </w:tr>
      <w:tr>
        <w:tc>
          <w:tcPr>
            <w:tcW w:type="dxa" w:w="1234"/>
          </w:tcPr>
          <w:p>
            <w:pPr>
              <w:spacing w:line="240" w:lineRule="auto" w:after="0"/>
            </w:pPr>
            <w:r>
              <w:rPr>
                <w:sz w:val="20"/>
              </w:rPr>
              <w:t>2021</w:t>
            </w:r>
          </w:p>
        </w:tc>
        <w:tc>
          <w:tcPr>
            <w:tcW w:type="dxa" w:w="1234"/>
          </w:tcPr>
          <w:p>
            <w:pPr>
              <w:spacing w:line="240" w:lineRule="auto" w:after="0"/>
            </w:pPr>
            <w:r>
              <w:rPr>
                <w:sz w:val="20"/>
              </w:rPr>
              <w:t>2.96</w:t>
            </w:r>
          </w:p>
        </w:tc>
        <w:tc>
          <w:tcPr>
            <w:tcW w:type="dxa" w:w="1234"/>
          </w:tcPr>
          <w:p>
            <w:pPr>
              <w:spacing w:line="240" w:lineRule="auto" w:after="0"/>
            </w:pPr>
            <w:r>
              <w:rPr>
                <w:sz w:val="20"/>
              </w:rPr>
              <w:t>157.7</w:t>
            </w:r>
          </w:p>
        </w:tc>
        <w:tc>
          <w:tcPr>
            <w:tcW w:type="dxa" w:w="1234"/>
          </w:tcPr>
          <w:p>
            <w:pPr>
              <w:spacing w:line="240" w:lineRule="auto" w:after="0"/>
            </w:pPr>
            <w:r>
              <w:rPr>
                <w:sz w:val="20"/>
              </w:rPr>
              <w:t>113.2</w:t>
            </w:r>
          </w:p>
        </w:tc>
        <w:tc>
          <w:tcPr>
            <w:tcW w:type="dxa" w:w="1234"/>
          </w:tcPr>
          <w:p>
            <w:pPr>
              <w:spacing w:line="240" w:lineRule="auto" w:after="0"/>
            </w:pPr>
            <w:r>
              <w:rPr>
                <w:sz w:val="20"/>
              </w:rPr>
              <w:t>248.1</w:t>
            </w:r>
          </w:p>
        </w:tc>
        <w:tc>
          <w:tcPr>
            <w:tcW w:type="dxa" w:w="1234"/>
          </w:tcPr>
          <w:p>
            <w:pPr>
              <w:spacing w:line="240" w:lineRule="auto" w:after="0"/>
            </w:pPr>
            <w:r>
              <w:rPr>
                <w:sz w:val="20"/>
              </w:rPr>
              <w:t>184.8</w:t>
            </w:r>
          </w:p>
        </w:tc>
        <w:tc>
          <w:tcPr>
            <w:tcW w:type="dxa" w:w="1234"/>
          </w:tcPr>
          <w:p>
            <w:pPr>
              <w:spacing w:line="240" w:lineRule="auto" w:after="0"/>
            </w:pPr>
            <w:r>
              <w:rPr>
                <w:sz w:val="20"/>
              </w:rPr>
              <w:t>960.0</w:t>
            </w:r>
          </w:p>
        </w:tc>
      </w:tr>
      <w:tr>
        <w:tc>
          <w:tcPr>
            <w:tcW w:type="dxa" w:w="1234"/>
          </w:tcPr>
          <w:p>
            <w:pPr>
              <w:spacing w:line="240" w:lineRule="auto" w:after="0"/>
            </w:pPr>
            <w:r>
              <w:rPr>
                <w:sz w:val="20"/>
              </w:rPr>
              <w:t>2022</w:t>
            </w:r>
          </w:p>
        </w:tc>
        <w:tc>
          <w:tcPr>
            <w:tcW w:type="dxa" w:w="1234"/>
          </w:tcPr>
          <w:p>
            <w:pPr>
              <w:spacing w:line="240" w:lineRule="auto" w:after="0"/>
            </w:pPr>
            <w:r>
              <w:rPr>
                <w:sz w:val="20"/>
              </w:rPr>
              <w:t>5.34</w:t>
            </w:r>
          </w:p>
        </w:tc>
        <w:tc>
          <w:tcPr>
            <w:tcW w:type="dxa" w:w="1234"/>
          </w:tcPr>
          <w:p>
            <w:pPr>
              <w:spacing w:line="240" w:lineRule="auto" w:after="0"/>
            </w:pPr>
            <w:r>
              <w:rPr>
                <w:sz w:val="20"/>
              </w:rPr>
              <w:t>167.6</w:t>
            </w:r>
          </w:p>
        </w:tc>
        <w:tc>
          <w:tcPr>
            <w:tcW w:type="dxa" w:w="1234"/>
          </w:tcPr>
          <w:p>
            <w:pPr>
              <w:spacing w:line="240" w:lineRule="auto" w:after="0"/>
            </w:pPr>
            <w:r>
              <w:rPr>
                <w:sz w:val="20"/>
              </w:rPr>
              <w:t>110.7</w:t>
            </w:r>
          </w:p>
        </w:tc>
        <w:tc>
          <w:tcPr>
            <w:tcW w:type="dxa" w:w="1234"/>
          </w:tcPr>
          <w:p>
            <w:pPr>
              <w:spacing w:line="240" w:lineRule="auto" w:after="0"/>
            </w:pPr>
            <w:r>
              <w:rPr>
                <w:sz w:val="20"/>
              </w:rPr>
              <w:t>284.7</w:t>
            </w:r>
          </w:p>
        </w:tc>
        <w:tc>
          <w:tcPr>
            <w:tcW w:type="dxa" w:w="1234"/>
          </w:tcPr>
          <w:p>
            <w:pPr>
              <w:spacing w:line="240" w:lineRule="auto" w:after="0"/>
            </w:pPr>
            <w:r>
              <w:rPr>
                <w:sz w:val="20"/>
              </w:rPr>
              <w:t>192.0</w:t>
            </w:r>
          </w:p>
        </w:tc>
        <w:tc>
          <w:tcPr>
            <w:tcW w:type="dxa" w:w="1234"/>
          </w:tcPr>
          <w:p>
            <w:pPr>
              <w:spacing w:line="240" w:lineRule="auto" w:after="0"/>
            </w:pPr>
            <w:r>
              <w:rPr>
                <w:sz w:val="20"/>
              </w:rPr>
              <w:t>998.0</w:t>
            </w:r>
          </w:p>
        </w:tc>
      </w:tr>
      <w:tr>
        <w:tc>
          <w:tcPr>
            <w:tcW w:type="dxa" w:w="1234"/>
          </w:tcPr>
          <w:p>
            <w:pPr>
              <w:spacing w:line="240" w:lineRule="auto" w:after="0"/>
            </w:pPr>
            <w:r>
              <w:rPr>
                <w:sz w:val="20"/>
              </w:rPr>
              <w:t>2023</w:t>
            </w:r>
          </w:p>
        </w:tc>
        <w:tc>
          <w:tcPr>
            <w:tcW w:type="dxa" w:w="1234"/>
          </w:tcPr>
          <w:p>
            <w:pPr>
              <w:spacing w:line="240" w:lineRule="auto" w:after="0"/>
            </w:pPr>
            <w:r>
              <w:rPr>
                <w:sz w:val="20"/>
              </w:rPr>
              <w:t>6.81</w:t>
            </w:r>
          </w:p>
        </w:tc>
        <w:tc>
          <w:tcPr>
            <w:tcW w:type="dxa" w:w="1234"/>
          </w:tcPr>
          <w:p>
            <w:pPr>
              <w:spacing w:line="240" w:lineRule="auto" w:after="0"/>
            </w:pPr>
            <w:r>
              <w:rPr>
                <w:sz w:val="20"/>
              </w:rPr>
              <w:t>164.9</w:t>
            </w:r>
          </w:p>
        </w:tc>
        <w:tc>
          <w:tcPr>
            <w:tcW w:type="dxa" w:w="1234"/>
          </w:tcPr>
          <w:p>
            <w:pPr>
              <w:spacing w:line="240" w:lineRule="auto" w:after="0"/>
            </w:pPr>
            <w:r>
              <w:rPr>
                <w:sz w:val="20"/>
              </w:rPr>
              <w:t>115.2</w:t>
            </w:r>
          </w:p>
        </w:tc>
        <w:tc>
          <w:tcPr>
            <w:tcW w:type="dxa" w:w="1234"/>
          </w:tcPr>
          <w:p>
            <w:pPr>
              <w:spacing w:line="240" w:lineRule="auto" w:after="0"/>
            </w:pPr>
            <w:r>
              <w:rPr>
                <w:sz w:val="20"/>
              </w:rPr>
              <w:t>291.8</w:t>
            </w:r>
          </w:p>
        </w:tc>
        <w:tc>
          <w:tcPr>
            <w:tcW w:type="dxa" w:w="1234"/>
          </w:tcPr>
          <w:p>
            <w:pPr>
              <w:spacing w:line="240" w:lineRule="auto" w:after="0"/>
            </w:pPr>
            <w:r>
              <w:rPr>
                <w:sz w:val="20"/>
              </w:rPr>
              <w:t>211.0</w:t>
            </w:r>
          </w:p>
        </w:tc>
        <w:tc>
          <w:tcPr>
            <w:tcW w:type="dxa" w:w="1234"/>
          </w:tcPr>
          <w:p>
            <w:pPr>
              <w:spacing w:line="240" w:lineRule="auto" w:after="0"/>
            </w:pPr>
            <w:r>
              <w:rPr>
                <w:sz w:val="20"/>
              </w:rPr>
              <w:t>1096.0</w:t>
            </w:r>
          </w:p>
        </w:tc>
      </w:tr>
      <w:tr>
        <w:tc>
          <w:tcPr>
            <w:tcW w:type="dxa" w:w="1234"/>
          </w:tcPr>
          <w:p>
            <w:pPr>
              <w:spacing w:line="240" w:lineRule="auto" w:after="0"/>
            </w:pPr>
            <w:r>
              <w:rPr>
                <w:sz w:val="20"/>
              </w:rPr>
              <w:t>2024</w:t>
            </w:r>
          </w:p>
        </w:tc>
        <w:tc>
          <w:tcPr>
            <w:tcW w:type="dxa" w:w="1234"/>
          </w:tcPr>
          <w:p>
            <w:pPr>
              <w:spacing w:line="240" w:lineRule="auto" w:after="0"/>
            </w:pPr>
            <w:r>
              <w:rPr>
                <w:sz w:val="20"/>
              </w:rPr>
              <w:t>6.72</w:t>
            </w:r>
          </w:p>
        </w:tc>
        <w:tc>
          <w:tcPr>
            <w:tcW w:type="dxa" w:w="1234"/>
          </w:tcPr>
          <w:p>
            <w:pPr>
              <w:spacing w:line="240" w:lineRule="auto" w:after="0"/>
            </w:pPr>
            <w:r>
              <w:rPr>
                <w:sz w:val="20"/>
              </w:rPr>
              <w:t>168.3</w:t>
            </w:r>
          </w:p>
        </w:tc>
        <w:tc>
          <w:tcPr>
            <w:tcW w:type="dxa" w:w="1234"/>
          </w:tcPr>
          <w:p>
            <w:pPr>
              <w:spacing w:line="240" w:lineRule="auto" w:after="0"/>
            </w:pPr>
            <w:r>
              <w:rPr>
                <w:sz w:val="20"/>
              </w:rPr>
              <w:t>115.8</w:t>
            </w:r>
          </w:p>
        </w:tc>
        <w:tc>
          <w:tcPr>
            <w:tcW w:type="dxa" w:w="1234"/>
          </w:tcPr>
          <w:p>
            <w:pPr>
              <w:spacing w:line="240" w:lineRule="auto" w:after="0"/>
            </w:pPr>
            <w:r>
              <w:rPr>
                <w:sz w:val="20"/>
              </w:rPr>
              <w:t>306.7</w:t>
            </w:r>
          </w:p>
        </w:tc>
        <w:tc>
          <w:tcPr>
            <w:tcW w:type="dxa" w:w="1234"/>
          </w:tcPr>
          <w:p>
            <w:pPr>
              <w:spacing w:line="240" w:lineRule="auto" w:after="0"/>
            </w:pPr>
            <w:r>
              <w:rPr>
                <w:sz w:val="20"/>
              </w:rPr>
              <w:t>232.6</w:t>
            </w:r>
          </w:p>
        </w:tc>
        <w:tc>
          <w:tcPr>
            <w:tcW w:type="dxa" w:w="1234"/>
          </w:tcPr>
          <w:p>
            <w:pPr>
              <w:spacing w:line="240" w:lineRule="auto" w:after="0"/>
            </w:pPr>
            <w:r>
              <w:rPr>
                <w:sz w:val="20"/>
              </w:rPr>
              <w:t>1208.0</w:t>
            </w:r>
          </w:p>
        </w:tc>
      </w:tr>
    </w:tbl>
    <w:p>
      <w:r>
        <w:rPr>
          <w:b w:val="0"/>
          <w:i/>
        </w:rPr>
        <w:t>Table 1. Selected national indicators, 2000–2024 (indices rebased 2000 = 100).</w:t>
      </w:r>
    </w:p>
    <w:p>
      <w:pPr>
        <w:spacing w:line="240" w:lineRule="auto" w:before="160" w:after="0"/>
        <w:jc w:val="center"/>
      </w:pPr>
      <w:r>
        <w:drawing>
          <wp:inline xmlns:a="http://schemas.openxmlformats.org/drawingml/2006/main" xmlns:pic="http://schemas.openxmlformats.org/drawingml/2006/picture">
            <wp:extent cx="5760720" cy="2635624"/>
            <wp:docPr id="2" name="Picture 2"/>
            <wp:cNvGraphicFramePr>
              <a:graphicFrameLocks noChangeAspect="1"/>
            </wp:cNvGraphicFramePr>
            <a:graphic>
              <a:graphicData uri="http://schemas.openxmlformats.org/drawingml/2006/picture">
                <pic:pic>
                  <pic:nvPicPr>
                    <pic:cNvPr id="0" name="Fig. 2_ Mortgage Rate vs. Modeled Monthly P&amp;I.png"/>
                    <pic:cNvPicPr/>
                  </pic:nvPicPr>
                  <pic:blipFill>
                    <a:blip r:embed="rId10"/>
                    <a:stretch>
                      <a:fillRect/>
                    </a:stretch>
                  </pic:blipFill>
                  <pic:spPr>
                    <a:xfrm>
                      <a:off x="0" y="0"/>
                      <a:ext cx="5760720" cy="2635624"/>
                    </a:xfrm>
                    <a:prstGeom prst="rect"/>
                  </pic:spPr>
                </pic:pic>
              </a:graphicData>
            </a:graphic>
          </wp:inline>
        </w:drawing>
      </w:r>
    </w:p>
    <w:p>
      <w:pPr>
        <w:spacing w:line="240" w:lineRule="auto" w:after="200"/>
        <w:jc w:val="center"/>
      </w:pPr>
      <w:r>
        <w:rPr>
          <w:i/>
          <w:sz w:val="20"/>
        </w:rPr>
        <w:t>Figure 2. Mortgage rate vs. Case–Shiller-based modeled monthly P&amp;I.</w:t>
      </w:r>
    </w:p>
    <w:p>
      <w:r>
        <w:rPr>
          <w:b w:val="0"/>
          <w:i w:val="0"/>
        </w:rPr>
        <w:t>The annual average 30-year fixed rate fell to a low of 2.96% in 2021 and rose to 6.72% by 2024 — its highest level of the period outside the 2000 start. To translate these rates into a practical dollar amount, we created an illustrative model of a $200,000 home in 2000, assumed its value changed with the national Case–Shiller index, and calculated the payment on a new 30-year mortgage each year with a 20% down payment. Under these assumptions, the estimated monthly principal-and-interest payment increased from about $1,665 in 2021 to $3,173 in 2024 — approximately $1,508 more per month, or a 91% increase. The combination of larger loan balances and more expensive borrowing reduces the purchasing power of a given monthly housing budget and may make renting more practical for households that are not prepared for the upfront and recurring costs of buying.</w:t>
      </w:r>
    </w:p>
    <w:p>
      <w:pPr>
        <w:pStyle w:val="Heading1"/>
      </w:pPr>
      <w:r>
        <w:rPr>
          <w:rFonts w:ascii="Times New Roman" w:hAnsi="Times New Roman"/>
          <w:color w:val="000000"/>
        </w:rPr>
        <w:t>5. Buy-versus-Rent Analysis</w:t>
      </w:r>
    </w:p>
    <w:p>
      <w:pPr>
        <w:spacing w:line="240" w:lineRule="auto" w:before="160" w:after="0"/>
        <w:jc w:val="center"/>
      </w:pPr>
      <w:r>
        <w:drawing>
          <wp:inline xmlns:a="http://schemas.openxmlformats.org/drawingml/2006/main" xmlns:pic="http://schemas.openxmlformats.org/drawingml/2006/picture">
            <wp:extent cx="5760720" cy="2641378"/>
            <wp:docPr id="3" name="Picture 3"/>
            <wp:cNvGraphicFramePr>
              <a:graphicFrameLocks noChangeAspect="1"/>
            </wp:cNvGraphicFramePr>
            <a:graphic>
              <a:graphicData uri="http://schemas.openxmlformats.org/drawingml/2006/picture">
                <pic:pic>
                  <pic:nvPicPr>
                    <pic:cNvPr id="0" name="Fig. 3_ Regional Median New-Home Sale Price.png"/>
                    <pic:cNvPicPr/>
                  </pic:nvPicPr>
                  <pic:blipFill>
                    <a:blip r:embed="rId11"/>
                    <a:stretch>
                      <a:fillRect/>
                    </a:stretch>
                  </pic:blipFill>
                  <pic:spPr>
                    <a:xfrm>
                      <a:off x="0" y="0"/>
                      <a:ext cx="5760720" cy="2641378"/>
                    </a:xfrm>
                    <a:prstGeom prst="rect"/>
                  </pic:spPr>
                </pic:pic>
              </a:graphicData>
            </a:graphic>
          </wp:inline>
        </w:drawing>
      </w:r>
    </w:p>
    <w:p>
      <w:pPr>
        <w:spacing w:line="240" w:lineRule="auto" w:after="200"/>
        <w:jc w:val="center"/>
      </w:pPr>
      <w:r>
        <w:rPr>
          <w:i/>
          <w:sz w:val="20"/>
        </w:rPr>
        <w:t>Figure 3. Regional median new-home sale price (2000–2024).</w:t>
      </w:r>
    </w:p>
    <w:p>
      <w:r>
        <w:rPr>
          <w:b w:val="0"/>
          <w:i w:val="0"/>
        </w:rPr>
        <w:t>Median new-home sale prices rose in every region, but unevenly. From 2000 to 2024 median sale prices increased 218% in the Northeast, 180% in the West, 153% in the South, and 128% in the Midwest. The Northeast entered the period at the highest level and remained there throughout, while the South and Midwest remained the most affordable by price.</w:t>
      </w:r>
    </w:p>
    <w:p>
      <w:pPr>
        <w:spacing w:line="240" w:lineRule="auto" w:before="160" w:after="0"/>
        <w:jc w:val="center"/>
      </w:pPr>
      <w:r>
        <w:drawing>
          <wp:inline xmlns:a="http://schemas.openxmlformats.org/drawingml/2006/main" xmlns:pic="http://schemas.openxmlformats.org/drawingml/2006/picture">
            <wp:extent cx="5760720" cy="2641378"/>
            <wp:docPr id="4" name="Picture 4"/>
            <wp:cNvGraphicFramePr>
              <a:graphicFrameLocks noChangeAspect="1"/>
            </wp:cNvGraphicFramePr>
            <a:graphic>
              <a:graphicData uri="http://schemas.openxmlformats.org/drawingml/2006/picture">
                <pic:pic>
                  <pic:nvPicPr>
                    <pic:cNvPr id="0" name="Fig 4_ Regional Average 2-Bedroom FMR.png"/>
                    <pic:cNvPicPr/>
                  </pic:nvPicPr>
                  <pic:blipFill>
                    <a:blip r:embed="rId12"/>
                    <a:stretch>
                      <a:fillRect/>
                    </a:stretch>
                  </pic:blipFill>
                  <pic:spPr>
                    <a:xfrm>
                      <a:off x="0" y="0"/>
                      <a:ext cx="5760720" cy="2641378"/>
                    </a:xfrm>
                    <a:prstGeom prst="rect"/>
                  </pic:spPr>
                </pic:pic>
              </a:graphicData>
            </a:graphic>
          </wp:inline>
        </w:drawing>
      </w:r>
    </w:p>
    <w:p>
      <w:pPr>
        <w:spacing w:line="240" w:lineRule="auto" w:after="200"/>
        <w:jc w:val="center"/>
      </w:pPr>
      <w:r>
        <w:rPr>
          <w:i/>
          <w:sz w:val="20"/>
        </w:rPr>
        <w:t>Figure 4. Regional average 2-bedroom Fair Market Rent (2000–2024).</w:t>
      </w:r>
    </w:p>
    <w:p>
      <w:r>
        <w:rPr>
          <w:b w:val="0"/>
          <w:i w:val="0"/>
        </w:rPr>
        <w:t>Rents rose too, but much more slowly and more evenly: 133% in the Northeast, 137% in the West, 140% in the South, and 119% in the Midwest over the same period. The divergence between the price and rent series is the core of the affordability problem — purchase prices ran away from rents, especially after 2020.</w:t>
      </w:r>
    </w:p>
    <w:p>
      <w:pPr>
        <w:spacing w:line="240" w:lineRule="auto" w:before="160" w:after="0"/>
        <w:jc w:val="center"/>
      </w:pPr>
      <w:r>
        <w:drawing>
          <wp:inline xmlns:a="http://schemas.openxmlformats.org/drawingml/2006/main" xmlns:pic="http://schemas.openxmlformats.org/drawingml/2006/picture">
            <wp:extent cx="5760720" cy="3976175"/>
            <wp:docPr id="5" name="Picture 5"/>
            <wp:cNvGraphicFramePr>
              <a:graphicFrameLocks noChangeAspect="1"/>
            </wp:cNvGraphicFramePr>
            <a:graphic>
              <a:graphicData uri="http://schemas.openxmlformats.org/drawingml/2006/picture">
                <pic:pic>
                  <pic:nvPicPr>
                    <pic:cNvPr id="0" name="Fig 5_ 2024 Price-to-Rent Ratio by Region vs. Breakeven.png"/>
                    <pic:cNvPicPr/>
                  </pic:nvPicPr>
                  <pic:blipFill>
                    <a:blip r:embed="rId13"/>
                    <a:stretch>
                      <a:fillRect/>
                    </a:stretch>
                  </pic:blipFill>
                  <pic:spPr>
                    <a:xfrm>
                      <a:off x="0" y="0"/>
                      <a:ext cx="5760720" cy="3976175"/>
                    </a:xfrm>
                    <a:prstGeom prst="rect"/>
                  </pic:spPr>
                </pic:pic>
              </a:graphicData>
            </a:graphic>
          </wp:inline>
        </w:drawing>
      </w:r>
    </w:p>
    <w:p>
      <w:pPr>
        <w:spacing w:line="240" w:lineRule="auto" w:after="200"/>
        <w:jc w:val="center"/>
      </w:pPr>
      <w:r>
        <w:rPr>
          <w:i/>
          <w:sz w:val="20"/>
        </w:rPr>
        <w:t>Figure 5. 2024 price-to-rent ratio by region vs. breakeven.</w:t>
      </w:r>
    </w:p>
    <w:p>
      <w:r>
        <w:rPr>
          <w:b w:val="0"/>
          <w:i w:val="0"/>
        </w:rPr>
        <w:t>In 2024 the dollar price-to-rent ratio was 41.5 in the Northeast, 34.9 in the West, 33.5 in the Midwest, and 29.7 in the South. Our estimated breakeven ratio for 2024 — the point at which owning and renting cost the same under our assumptions — is 21.2. Every region exceeds the breakeven, and all but the South exceed it by a wide margin, indicating that renting is the cheaper financial choice under our assumptions. As a ratio of monthly payments, PITI was 3.14× FMR in the Northeast, 2.64× in the West, 2.53× in the Midwest, and 2.25× in the South in 2024.</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line="240" w:lineRule="auto" w:after="0"/>
            </w:pPr>
            <w:r>
              <w:rPr>
                <w:b/>
                <w:sz w:val="20"/>
              </w:rPr>
              <w:t>Region (2024)</w:t>
            </w:r>
          </w:p>
        </w:tc>
        <w:tc>
          <w:tcPr>
            <w:tcW w:type="dxa" w:w="960"/>
          </w:tcPr>
          <w:p>
            <w:pPr>
              <w:spacing w:line="240" w:lineRule="auto" w:after="0"/>
            </w:pPr>
            <w:r>
              <w:rPr>
                <w:b/>
                <w:sz w:val="20"/>
              </w:rPr>
              <w:t>Median price ($)</w:t>
            </w:r>
          </w:p>
        </w:tc>
        <w:tc>
          <w:tcPr>
            <w:tcW w:type="dxa" w:w="960"/>
          </w:tcPr>
          <w:p>
            <w:pPr>
              <w:spacing w:line="240" w:lineRule="auto" w:after="0"/>
            </w:pPr>
            <w:r>
              <w:rPr>
                <w:b/>
                <w:sz w:val="20"/>
              </w:rPr>
              <w:t>Loan ($)</w:t>
            </w:r>
          </w:p>
        </w:tc>
        <w:tc>
          <w:tcPr>
            <w:tcW w:type="dxa" w:w="960"/>
          </w:tcPr>
          <w:p>
            <w:pPr>
              <w:spacing w:line="240" w:lineRule="auto" w:after="0"/>
            </w:pPr>
            <w:r>
              <w:rPr>
                <w:b/>
                <w:sz w:val="20"/>
              </w:rPr>
              <w:t>P&amp;I ($)</w:t>
            </w:r>
          </w:p>
        </w:tc>
        <w:tc>
          <w:tcPr>
            <w:tcW w:type="dxa" w:w="960"/>
          </w:tcPr>
          <w:p>
            <w:pPr>
              <w:spacing w:line="240" w:lineRule="auto" w:after="0"/>
            </w:pPr>
            <w:r>
              <w:rPr>
                <w:b/>
                <w:sz w:val="20"/>
              </w:rPr>
              <w:t>PITI ($)</w:t>
            </w:r>
          </w:p>
        </w:tc>
        <w:tc>
          <w:tcPr>
            <w:tcW w:type="dxa" w:w="960"/>
          </w:tcPr>
          <w:p>
            <w:pPr>
              <w:spacing w:line="240" w:lineRule="auto" w:after="0"/>
            </w:pPr>
            <w:r>
              <w:rPr>
                <w:b/>
                <w:sz w:val="20"/>
              </w:rPr>
              <w:t>Avg FMR ($)</w:t>
            </w:r>
          </w:p>
        </w:tc>
        <w:tc>
          <w:tcPr>
            <w:tcW w:type="dxa" w:w="960"/>
          </w:tcPr>
          <w:p>
            <w:pPr>
              <w:spacing w:line="240" w:lineRule="auto" w:after="0"/>
            </w:pPr>
            <w:r>
              <w:rPr>
                <w:b/>
                <w:sz w:val="20"/>
              </w:rPr>
              <w:t>PITI/FMR</w:t>
            </w:r>
          </w:p>
        </w:tc>
        <w:tc>
          <w:tcPr>
            <w:tcW w:type="dxa" w:w="960"/>
          </w:tcPr>
          <w:p>
            <w:pPr>
              <w:spacing w:line="240" w:lineRule="auto" w:after="0"/>
            </w:pPr>
            <w:r>
              <w:rPr>
                <w:b/>
                <w:sz w:val="20"/>
              </w:rPr>
              <w:t>P/R ratio</w:t>
            </w:r>
          </w:p>
        </w:tc>
        <w:tc>
          <w:tcPr>
            <w:tcW w:type="dxa" w:w="960"/>
          </w:tcPr>
          <w:p>
            <w:pPr>
              <w:spacing w:line="240" w:lineRule="auto" w:after="0"/>
            </w:pPr>
            <w:r>
              <w:rPr>
                <w:b/>
                <w:sz w:val="20"/>
              </w:rPr>
              <w:t>Tier</w:t>
            </w:r>
          </w:p>
        </w:tc>
      </w:tr>
      <w:tr>
        <w:tc>
          <w:tcPr>
            <w:tcW w:type="dxa" w:w="960"/>
          </w:tcPr>
          <w:p>
            <w:pPr>
              <w:spacing w:line="240" w:lineRule="auto" w:after="0"/>
            </w:pPr>
            <w:r>
              <w:rPr>
                <w:sz w:val="20"/>
              </w:rPr>
              <w:t>Northeast</w:t>
            </w:r>
          </w:p>
        </w:tc>
        <w:tc>
          <w:tcPr>
            <w:tcW w:type="dxa" w:w="960"/>
          </w:tcPr>
          <w:p>
            <w:pPr>
              <w:spacing w:line="240" w:lineRule="auto" w:after="0"/>
            </w:pPr>
            <w:r>
              <w:rPr>
                <w:sz w:val="20"/>
              </w:rPr>
              <w:t>733,750</w:t>
            </w:r>
          </w:p>
        </w:tc>
        <w:tc>
          <w:tcPr>
            <w:tcW w:type="dxa" w:w="960"/>
          </w:tcPr>
          <w:p>
            <w:pPr>
              <w:spacing w:line="240" w:lineRule="auto" w:after="0"/>
            </w:pPr>
            <w:r>
              <w:rPr>
                <w:sz w:val="20"/>
              </w:rPr>
              <w:t>587,000</w:t>
            </w:r>
          </w:p>
        </w:tc>
        <w:tc>
          <w:tcPr>
            <w:tcW w:type="dxa" w:w="960"/>
          </w:tcPr>
          <w:p>
            <w:pPr>
              <w:spacing w:line="240" w:lineRule="auto" w:after="0"/>
            </w:pPr>
            <w:r>
              <w:rPr>
                <w:sz w:val="20"/>
              </w:rPr>
              <w:t>3,796</w:t>
            </w:r>
          </w:p>
        </w:tc>
        <w:tc>
          <w:tcPr>
            <w:tcW w:type="dxa" w:w="960"/>
          </w:tcPr>
          <w:p>
            <w:pPr>
              <w:spacing w:line="240" w:lineRule="auto" w:after="0"/>
            </w:pPr>
            <w:r>
              <w:rPr>
                <w:sz w:val="20"/>
              </w:rPr>
              <w:t>4,621</w:t>
            </w:r>
          </w:p>
        </w:tc>
        <w:tc>
          <w:tcPr>
            <w:tcW w:type="dxa" w:w="960"/>
          </w:tcPr>
          <w:p>
            <w:pPr>
              <w:spacing w:line="240" w:lineRule="auto" w:after="0"/>
            </w:pPr>
            <w:r>
              <w:rPr>
                <w:sz w:val="20"/>
              </w:rPr>
              <w:t>1,472</w:t>
            </w:r>
          </w:p>
        </w:tc>
        <w:tc>
          <w:tcPr>
            <w:tcW w:type="dxa" w:w="960"/>
          </w:tcPr>
          <w:p>
            <w:pPr>
              <w:spacing w:line="240" w:lineRule="auto" w:after="0"/>
            </w:pPr>
            <w:r>
              <w:rPr>
                <w:sz w:val="20"/>
              </w:rPr>
              <w:t>3.14</w:t>
            </w:r>
          </w:p>
        </w:tc>
        <w:tc>
          <w:tcPr>
            <w:tcW w:type="dxa" w:w="960"/>
          </w:tcPr>
          <w:p>
            <w:pPr>
              <w:spacing w:line="240" w:lineRule="auto" w:after="0"/>
            </w:pPr>
            <w:r>
              <w:rPr>
                <w:sz w:val="20"/>
              </w:rPr>
              <w:t>41.5</w:t>
            </w:r>
          </w:p>
        </w:tc>
        <w:tc>
          <w:tcPr>
            <w:tcW w:type="dxa" w:w="960"/>
          </w:tcPr>
          <w:p>
            <w:pPr>
              <w:spacing w:line="240" w:lineRule="auto" w:after="0"/>
            </w:pPr>
            <w:r>
              <w:rPr>
                <w:sz w:val="20"/>
              </w:rPr>
              <w:t>Severe (&gt;30)</w:t>
            </w:r>
          </w:p>
        </w:tc>
      </w:tr>
      <w:tr>
        <w:tc>
          <w:tcPr>
            <w:tcW w:type="dxa" w:w="960"/>
          </w:tcPr>
          <w:p>
            <w:pPr>
              <w:spacing w:line="240" w:lineRule="auto" w:after="0"/>
            </w:pPr>
            <w:r>
              <w:rPr>
                <w:sz w:val="20"/>
              </w:rPr>
              <w:t>Midwest</w:t>
            </w:r>
          </w:p>
        </w:tc>
        <w:tc>
          <w:tcPr>
            <w:tcW w:type="dxa" w:w="960"/>
          </w:tcPr>
          <w:p>
            <w:pPr>
              <w:spacing w:line="240" w:lineRule="auto" w:after="0"/>
            </w:pPr>
            <w:r>
              <w:rPr>
                <w:sz w:val="20"/>
              </w:rPr>
              <w:t>383,950</w:t>
            </w:r>
          </w:p>
        </w:tc>
        <w:tc>
          <w:tcPr>
            <w:tcW w:type="dxa" w:w="960"/>
          </w:tcPr>
          <w:p>
            <w:pPr>
              <w:spacing w:line="240" w:lineRule="auto" w:after="0"/>
            </w:pPr>
            <w:r>
              <w:rPr>
                <w:sz w:val="20"/>
              </w:rPr>
              <w:t>307,160</w:t>
            </w:r>
          </w:p>
        </w:tc>
        <w:tc>
          <w:tcPr>
            <w:tcW w:type="dxa" w:w="960"/>
          </w:tcPr>
          <w:p>
            <w:pPr>
              <w:spacing w:line="240" w:lineRule="auto" w:after="0"/>
            </w:pPr>
            <w:r>
              <w:rPr>
                <w:sz w:val="20"/>
              </w:rPr>
              <w:t>1,986</w:t>
            </w:r>
          </w:p>
        </w:tc>
        <w:tc>
          <w:tcPr>
            <w:tcW w:type="dxa" w:w="960"/>
          </w:tcPr>
          <w:p>
            <w:pPr>
              <w:spacing w:line="240" w:lineRule="auto" w:after="0"/>
            </w:pPr>
            <w:r>
              <w:rPr>
                <w:sz w:val="20"/>
              </w:rPr>
              <w:t>2,418</w:t>
            </w:r>
          </w:p>
        </w:tc>
        <w:tc>
          <w:tcPr>
            <w:tcW w:type="dxa" w:w="960"/>
          </w:tcPr>
          <w:p>
            <w:pPr>
              <w:spacing w:line="240" w:lineRule="auto" w:after="0"/>
            </w:pPr>
            <w:r>
              <w:rPr>
                <w:sz w:val="20"/>
              </w:rPr>
              <w:t>956</w:t>
            </w:r>
          </w:p>
        </w:tc>
        <w:tc>
          <w:tcPr>
            <w:tcW w:type="dxa" w:w="960"/>
          </w:tcPr>
          <w:p>
            <w:pPr>
              <w:spacing w:line="240" w:lineRule="auto" w:after="0"/>
            </w:pPr>
            <w:r>
              <w:rPr>
                <w:sz w:val="20"/>
              </w:rPr>
              <w:t>2.53</w:t>
            </w:r>
          </w:p>
        </w:tc>
        <w:tc>
          <w:tcPr>
            <w:tcW w:type="dxa" w:w="960"/>
          </w:tcPr>
          <w:p>
            <w:pPr>
              <w:spacing w:line="240" w:lineRule="auto" w:after="0"/>
            </w:pPr>
            <w:r>
              <w:rPr>
                <w:sz w:val="20"/>
              </w:rPr>
              <w:t>33.5</w:t>
            </w:r>
          </w:p>
        </w:tc>
        <w:tc>
          <w:tcPr>
            <w:tcW w:type="dxa" w:w="960"/>
          </w:tcPr>
          <w:p>
            <w:pPr>
              <w:spacing w:line="240" w:lineRule="auto" w:after="0"/>
            </w:pPr>
            <w:r>
              <w:rPr>
                <w:sz w:val="20"/>
              </w:rPr>
              <w:t>Severe (&gt;30)</w:t>
            </w:r>
          </w:p>
        </w:tc>
      </w:tr>
      <w:tr>
        <w:tc>
          <w:tcPr>
            <w:tcW w:type="dxa" w:w="960"/>
          </w:tcPr>
          <w:p>
            <w:pPr>
              <w:spacing w:line="240" w:lineRule="auto" w:after="0"/>
            </w:pPr>
            <w:r>
              <w:rPr>
                <w:sz w:val="20"/>
              </w:rPr>
              <w:t>South</w:t>
            </w:r>
          </w:p>
        </w:tc>
        <w:tc>
          <w:tcPr>
            <w:tcW w:type="dxa" w:w="960"/>
          </w:tcPr>
          <w:p>
            <w:pPr>
              <w:spacing w:line="240" w:lineRule="auto" w:after="0"/>
            </w:pPr>
            <w:r>
              <w:rPr>
                <w:sz w:val="20"/>
              </w:rPr>
              <w:t>373,600</w:t>
            </w:r>
          </w:p>
        </w:tc>
        <w:tc>
          <w:tcPr>
            <w:tcW w:type="dxa" w:w="960"/>
          </w:tcPr>
          <w:p>
            <w:pPr>
              <w:spacing w:line="240" w:lineRule="auto" w:after="0"/>
            </w:pPr>
            <w:r>
              <w:rPr>
                <w:sz w:val="20"/>
              </w:rPr>
              <w:t>298,880</w:t>
            </w:r>
          </w:p>
        </w:tc>
        <w:tc>
          <w:tcPr>
            <w:tcW w:type="dxa" w:w="960"/>
          </w:tcPr>
          <w:p>
            <w:pPr>
              <w:spacing w:line="240" w:lineRule="auto" w:after="0"/>
            </w:pPr>
            <w:r>
              <w:rPr>
                <w:sz w:val="20"/>
              </w:rPr>
              <w:t>1,933</w:t>
            </w:r>
          </w:p>
        </w:tc>
        <w:tc>
          <w:tcPr>
            <w:tcW w:type="dxa" w:w="960"/>
          </w:tcPr>
          <w:p>
            <w:pPr>
              <w:spacing w:line="240" w:lineRule="auto" w:after="0"/>
            </w:pPr>
            <w:r>
              <w:rPr>
                <w:sz w:val="20"/>
              </w:rPr>
              <w:t>2,353</w:t>
            </w:r>
          </w:p>
        </w:tc>
        <w:tc>
          <w:tcPr>
            <w:tcW w:type="dxa" w:w="960"/>
          </w:tcPr>
          <w:p>
            <w:pPr>
              <w:spacing w:line="240" w:lineRule="auto" w:after="0"/>
            </w:pPr>
            <w:r>
              <w:rPr>
                <w:sz w:val="20"/>
              </w:rPr>
              <w:t>1,048</w:t>
            </w:r>
          </w:p>
        </w:tc>
        <w:tc>
          <w:tcPr>
            <w:tcW w:type="dxa" w:w="960"/>
          </w:tcPr>
          <w:p>
            <w:pPr>
              <w:spacing w:line="240" w:lineRule="auto" w:after="0"/>
            </w:pPr>
            <w:r>
              <w:rPr>
                <w:sz w:val="20"/>
              </w:rPr>
              <w:t>2.25</w:t>
            </w:r>
          </w:p>
        </w:tc>
        <w:tc>
          <w:tcPr>
            <w:tcW w:type="dxa" w:w="960"/>
          </w:tcPr>
          <w:p>
            <w:pPr>
              <w:spacing w:line="240" w:lineRule="auto" w:after="0"/>
            </w:pPr>
            <w:r>
              <w:rPr>
                <w:sz w:val="20"/>
              </w:rPr>
              <w:t>29.7</w:t>
            </w:r>
          </w:p>
        </w:tc>
        <w:tc>
          <w:tcPr>
            <w:tcW w:type="dxa" w:w="960"/>
          </w:tcPr>
          <w:p>
            <w:pPr>
              <w:spacing w:line="240" w:lineRule="auto" w:after="0"/>
            </w:pPr>
            <w:r>
              <w:rPr>
                <w:sz w:val="20"/>
              </w:rPr>
              <w:t>Moderate (20-30)</w:t>
            </w:r>
          </w:p>
        </w:tc>
      </w:tr>
      <w:tr>
        <w:tc>
          <w:tcPr>
            <w:tcW w:type="dxa" w:w="960"/>
          </w:tcPr>
          <w:p>
            <w:pPr>
              <w:spacing w:line="240" w:lineRule="auto" w:after="0"/>
            </w:pPr>
            <w:r>
              <w:rPr>
                <w:sz w:val="20"/>
              </w:rPr>
              <w:t>West</w:t>
            </w:r>
          </w:p>
        </w:tc>
        <w:tc>
          <w:tcPr>
            <w:tcW w:type="dxa" w:w="960"/>
          </w:tcPr>
          <w:p>
            <w:pPr>
              <w:spacing w:line="240" w:lineRule="auto" w:after="0"/>
            </w:pPr>
            <w:r>
              <w:rPr>
                <w:sz w:val="20"/>
              </w:rPr>
              <w:t>548,700</w:t>
            </w:r>
          </w:p>
        </w:tc>
        <w:tc>
          <w:tcPr>
            <w:tcW w:type="dxa" w:w="960"/>
          </w:tcPr>
          <w:p>
            <w:pPr>
              <w:spacing w:line="240" w:lineRule="auto" w:after="0"/>
            </w:pPr>
            <w:r>
              <w:rPr>
                <w:sz w:val="20"/>
              </w:rPr>
              <w:t>438,960</w:t>
            </w:r>
          </w:p>
        </w:tc>
        <w:tc>
          <w:tcPr>
            <w:tcW w:type="dxa" w:w="960"/>
          </w:tcPr>
          <w:p>
            <w:pPr>
              <w:spacing w:line="240" w:lineRule="auto" w:after="0"/>
            </w:pPr>
            <w:r>
              <w:rPr>
                <w:sz w:val="20"/>
              </w:rPr>
              <w:t>2,839</w:t>
            </w:r>
          </w:p>
        </w:tc>
        <w:tc>
          <w:tcPr>
            <w:tcW w:type="dxa" w:w="960"/>
          </w:tcPr>
          <w:p>
            <w:pPr>
              <w:spacing w:line="240" w:lineRule="auto" w:after="0"/>
            </w:pPr>
            <w:r>
              <w:rPr>
                <w:sz w:val="20"/>
              </w:rPr>
              <w:t>3,456</w:t>
            </w:r>
          </w:p>
        </w:tc>
        <w:tc>
          <w:tcPr>
            <w:tcW w:type="dxa" w:w="960"/>
          </w:tcPr>
          <w:p>
            <w:pPr>
              <w:spacing w:line="240" w:lineRule="auto" w:after="0"/>
            </w:pPr>
            <w:r>
              <w:rPr>
                <w:sz w:val="20"/>
              </w:rPr>
              <w:t>1,311</w:t>
            </w:r>
          </w:p>
        </w:tc>
        <w:tc>
          <w:tcPr>
            <w:tcW w:type="dxa" w:w="960"/>
          </w:tcPr>
          <w:p>
            <w:pPr>
              <w:spacing w:line="240" w:lineRule="auto" w:after="0"/>
            </w:pPr>
            <w:r>
              <w:rPr>
                <w:sz w:val="20"/>
              </w:rPr>
              <w:t>2.64</w:t>
            </w:r>
          </w:p>
        </w:tc>
        <w:tc>
          <w:tcPr>
            <w:tcW w:type="dxa" w:w="960"/>
          </w:tcPr>
          <w:p>
            <w:pPr>
              <w:spacing w:line="240" w:lineRule="auto" w:after="0"/>
            </w:pPr>
            <w:r>
              <w:rPr>
                <w:sz w:val="20"/>
              </w:rPr>
              <w:t>34.9</w:t>
            </w:r>
          </w:p>
        </w:tc>
        <w:tc>
          <w:tcPr>
            <w:tcW w:type="dxa" w:w="960"/>
          </w:tcPr>
          <w:p>
            <w:pPr>
              <w:spacing w:line="240" w:lineRule="auto" w:after="0"/>
            </w:pPr>
            <w:r>
              <w:rPr>
                <w:sz w:val="20"/>
              </w:rPr>
              <w:t>Severe (&gt;30)</w:t>
            </w:r>
          </w:p>
        </w:tc>
      </w:tr>
    </w:tbl>
    <w:p>
      <w:r>
        <w:rPr>
          <w:b w:val="0"/>
          <w:i/>
        </w:rPr>
        <w:t>Table 2. Modeled 2024 buy costs by region versus rent, under 80% LTV assumptions.</w:t>
      </w:r>
    </w:p>
    <w:p>
      <w:pPr>
        <w:spacing w:line="240" w:lineRule="auto" w:before="160" w:after="0"/>
        <w:jc w:val="center"/>
      </w:pPr>
      <w:r>
        <w:drawing>
          <wp:inline xmlns:a="http://schemas.openxmlformats.org/drawingml/2006/main" xmlns:pic="http://schemas.openxmlformats.org/drawingml/2006/picture">
            <wp:extent cx="5760720" cy="1018971"/>
            <wp:docPr id="6" name="Picture 6"/>
            <wp:cNvGraphicFramePr>
              <a:graphicFrameLocks noChangeAspect="1"/>
            </wp:cNvGraphicFramePr>
            <a:graphic>
              <a:graphicData uri="http://schemas.openxmlformats.org/drawingml/2006/picture">
                <pic:pic>
                  <pic:nvPicPr>
                    <pic:cNvPr id="0" name="Fig 6_ Summary Statistics Table.png"/>
                    <pic:cNvPicPr/>
                  </pic:nvPicPr>
                  <pic:blipFill>
                    <a:blip r:embed="rId14"/>
                    <a:stretch>
                      <a:fillRect/>
                    </a:stretch>
                  </pic:blipFill>
                  <pic:spPr>
                    <a:xfrm>
                      <a:off x="0" y="0"/>
                      <a:ext cx="5760720" cy="1018971"/>
                    </a:xfrm>
                    <a:prstGeom prst="rect"/>
                  </pic:spPr>
                </pic:pic>
              </a:graphicData>
            </a:graphic>
          </wp:inline>
        </w:drawing>
      </w:r>
    </w:p>
    <w:p>
      <w:pPr>
        <w:spacing w:line="240" w:lineRule="auto" w:after="200"/>
        <w:jc w:val="center"/>
      </w:pPr>
      <w:r>
        <w:rPr>
          <w:i/>
          <w:sz w:val="20"/>
        </w:rPr>
        <w:t>Figure 6. Summary statistics of key variables.</w:t>
      </w:r>
    </w:p>
    <w:p>
      <w:r>
        <w:rPr>
          <w:b w:val="0"/>
          <w:i w:val="0"/>
        </w:rPr>
        <w:t>Figure 6 reports descriptive statistics. County 2-bedroom FMR averages $778 per month (median $700) with a standard deviation of $318, ranging from $289 to $4,054. The FHFA HPI averages 254. The 30-year mortgage rate averaged 5.15% over the period, ranging from 2.96% to 8.05%. Real median household income averaged roughly $75,600 and the median sale price averaged about $313,700 across region-years.</w:t>
      </w:r>
    </w:p>
    <w:p>
      <w:pPr>
        <w:pStyle w:val="Heading1"/>
      </w:pPr>
      <w:r>
        <w:rPr>
          <w:rFonts w:ascii="Times New Roman" w:hAnsi="Times New Roman"/>
          <w:color w:val="000000"/>
        </w:rPr>
        <w:t>6. Regional Structure and Distribution</w:t>
      </w:r>
    </w:p>
    <w:p>
      <w:pPr>
        <w:spacing w:line="240" w:lineRule="auto" w:before="160" w:after="0"/>
        <w:jc w:val="center"/>
      </w:pPr>
      <w:r>
        <w:drawing>
          <wp:inline xmlns:a="http://schemas.openxmlformats.org/drawingml/2006/main" xmlns:pic="http://schemas.openxmlformats.org/drawingml/2006/picture">
            <wp:extent cx="5760720" cy="2641378"/>
            <wp:docPr id="7" name="Picture 7"/>
            <wp:cNvGraphicFramePr>
              <a:graphicFrameLocks noChangeAspect="1"/>
            </wp:cNvGraphicFramePr>
            <a:graphic>
              <a:graphicData uri="http://schemas.openxmlformats.org/drawingml/2006/picture">
                <pic:pic>
                  <pic:nvPicPr>
                    <pic:cNvPr id="0" name="Fig 7_ Regional Price-to-Rent Ratio Over Time.png"/>
                    <pic:cNvPicPr/>
                  </pic:nvPicPr>
                  <pic:blipFill>
                    <a:blip r:embed="rId15"/>
                    <a:stretch>
                      <a:fillRect/>
                    </a:stretch>
                  </pic:blipFill>
                  <pic:spPr>
                    <a:xfrm>
                      <a:off x="0" y="0"/>
                      <a:ext cx="5760720" cy="2641378"/>
                    </a:xfrm>
                    <a:prstGeom prst="rect"/>
                  </pic:spPr>
                </pic:pic>
              </a:graphicData>
            </a:graphic>
          </wp:inline>
        </w:drawing>
      </w:r>
    </w:p>
    <w:p>
      <w:pPr>
        <w:spacing w:line="240" w:lineRule="auto" w:after="200"/>
        <w:jc w:val="center"/>
      </w:pPr>
      <w:r>
        <w:rPr>
          <w:i/>
          <w:sz w:val="20"/>
        </w:rPr>
        <w:t>Figure 7. Regional price-to-rent ratio over time.</w:t>
      </w:r>
    </w:p>
    <w:p>
      <w:r>
        <w:rPr>
          <w:b w:val="0"/>
          <w:i w:val="0"/>
        </w:rPr>
        <w:t>The price-to-rent ratio rose in all regions, but the West climbed fastest, overtaking the Northeast in the post-2021 period, and the upward break after 2021 is visible in every region. This confirms that the affordability deterioration was national in scope rather than confined to a single region.</w:t>
      </w:r>
    </w:p>
    <w:p>
      <w:pPr>
        <w:spacing w:line="240" w:lineRule="auto" w:before="160" w:after="0"/>
        <w:jc w:val="center"/>
      </w:pPr>
      <w:r>
        <w:drawing>
          <wp:inline xmlns:a="http://schemas.openxmlformats.org/drawingml/2006/main" xmlns:pic="http://schemas.openxmlformats.org/drawingml/2006/picture">
            <wp:extent cx="5760720" cy="2670532"/>
            <wp:docPr id="8" name="Picture 8"/>
            <wp:cNvGraphicFramePr>
              <a:graphicFrameLocks noChangeAspect="1"/>
            </wp:cNvGraphicFramePr>
            <a:graphic>
              <a:graphicData uri="http://schemas.openxmlformats.org/drawingml/2006/picture">
                <pic:pic>
                  <pic:nvPicPr>
                    <pic:cNvPr id="0" name="Fig 8_ Distribution of County 2-Bedroom FMR, 2024.png"/>
                    <pic:cNvPicPr/>
                  </pic:nvPicPr>
                  <pic:blipFill>
                    <a:blip r:embed="rId16"/>
                    <a:stretch>
                      <a:fillRect/>
                    </a:stretch>
                  </pic:blipFill>
                  <pic:spPr>
                    <a:xfrm>
                      <a:off x="0" y="0"/>
                      <a:ext cx="5760720" cy="2670532"/>
                    </a:xfrm>
                    <a:prstGeom prst="rect"/>
                  </pic:spPr>
                </pic:pic>
              </a:graphicData>
            </a:graphic>
          </wp:inline>
        </w:drawing>
      </w:r>
    </w:p>
    <w:p>
      <w:pPr>
        <w:spacing w:line="240" w:lineRule="auto" w:after="200"/>
        <w:jc w:val="center"/>
      </w:pPr>
      <w:r>
        <w:rPr>
          <w:i/>
          <w:sz w:val="20"/>
        </w:rPr>
        <w:t>Figure 8. Distribution of county 2-bedroom FMR, 2024.</w:t>
      </w:r>
    </w:p>
    <w:p>
      <w:r>
        <w:rPr>
          <w:b w:val="0"/>
          <w:i w:val="0"/>
        </w:rPr>
        <w:t>The distribution of county rents is strongly right-skewed: most counties cluster between $700 and $1,200 per month, with a long tail of high-cost counties above $2,000. A small number of coastal and resort counties pull the mean above the median, which is why the mean ($778) exceeds the median ($700).</w:t>
      </w:r>
    </w:p>
    <w:p>
      <w:pPr>
        <w:spacing w:line="240" w:lineRule="auto" w:before="160" w:after="0"/>
        <w:jc w:val="center"/>
      </w:pPr>
      <w:r>
        <w:drawing>
          <wp:inline xmlns:a="http://schemas.openxmlformats.org/drawingml/2006/main" xmlns:pic="http://schemas.openxmlformats.org/drawingml/2006/picture">
            <wp:extent cx="5760720" cy="4912695"/>
            <wp:docPr id="9" name="Picture 9"/>
            <wp:cNvGraphicFramePr>
              <a:graphicFrameLocks noChangeAspect="1"/>
            </wp:cNvGraphicFramePr>
            <a:graphic>
              <a:graphicData uri="http://schemas.openxmlformats.org/drawingml/2006/picture">
                <pic:pic>
                  <pic:nvPicPr>
                    <pic:cNvPr id="0" name="Fig 9_ Average County 2-Bedroom FMR by Region, 2024.png"/>
                    <pic:cNvPicPr/>
                  </pic:nvPicPr>
                  <pic:blipFill>
                    <a:blip r:embed="rId17"/>
                    <a:stretch>
                      <a:fillRect/>
                    </a:stretch>
                  </pic:blipFill>
                  <pic:spPr>
                    <a:xfrm>
                      <a:off x="0" y="0"/>
                      <a:ext cx="5760720" cy="4912695"/>
                    </a:xfrm>
                    <a:prstGeom prst="rect"/>
                  </pic:spPr>
                </pic:pic>
              </a:graphicData>
            </a:graphic>
          </wp:inline>
        </w:drawing>
      </w:r>
    </w:p>
    <w:p>
      <w:pPr>
        <w:spacing w:line="240" w:lineRule="auto" w:after="200"/>
        <w:jc w:val="center"/>
      </w:pPr>
      <w:r>
        <w:rPr>
          <w:i/>
          <w:sz w:val="20"/>
        </w:rPr>
        <w:t>Figure 9. Average county 2-bedroom FMR by region, 2024.</w:t>
      </w:r>
    </w:p>
    <w:p>
      <w:r>
        <w:rPr>
          <w:b w:val="0"/>
          <w:i w:val="0"/>
        </w:rPr>
        <w:t>Average 2-bedroom FMR was highest in the Northeast ($1,472) and lowest in the Midwest ($956), with the West ($1,311) and South ($1,048) in between. The Northeast thus combines the highest purchase prices and the highest rents, while the South combines moderate prices with the lowest relative gap to rents.</w:t>
      </w:r>
    </w:p>
    <w:p>
      <w:pPr>
        <w:spacing w:line="240" w:lineRule="auto" w:before="160" w:after="0"/>
        <w:jc w:val="center"/>
      </w:pPr>
      <w:r>
        <w:drawing>
          <wp:inline xmlns:a="http://schemas.openxmlformats.org/drawingml/2006/main" xmlns:pic="http://schemas.openxmlformats.org/drawingml/2006/picture">
            <wp:extent cx="5760720" cy="2361537"/>
            <wp:docPr id="10" name="Picture 10"/>
            <wp:cNvGraphicFramePr>
              <a:graphicFrameLocks noChangeAspect="1"/>
            </wp:cNvGraphicFramePr>
            <a:graphic>
              <a:graphicData uri="http://schemas.openxmlformats.org/drawingml/2006/picture">
                <pic:pic>
                  <pic:nvPicPr>
                    <pic:cNvPr id="0" name="F10_ Number of Counties by Region and 2024 FMR Quartile.png"/>
                    <pic:cNvPicPr/>
                  </pic:nvPicPr>
                  <pic:blipFill>
                    <a:blip r:embed="rId18"/>
                    <a:stretch>
                      <a:fillRect/>
                    </a:stretch>
                  </pic:blipFill>
                  <pic:spPr>
                    <a:xfrm>
                      <a:off x="0" y="0"/>
                      <a:ext cx="5760720" cy="2361537"/>
                    </a:xfrm>
                    <a:prstGeom prst="rect"/>
                  </pic:spPr>
                </pic:pic>
              </a:graphicData>
            </a:graphic>
          </wp:inline>
        </w:drawing>
      </w:r>
    </w:p>
    <w:p>
      <w:pPr>
        <w:spacing w:line="240" w:lineRule="auto" w:after="200"/>
        <w:jc w:val="center"/>
      </w:pPr>
      <w:r>
        <w:rPr>
          <w:i/>
          <w:sz w:val="20"/>
        </w:rPr>
        <w:t>Figure 10. Number of counties by region and 2024 FMR quartile.</w:t>
      </w:r>
    </w:p>
    <w:p>
      <w:r>
        <w:rPr>
          <w:b w:val="0"/>
          <w:i w:val="0"/>
        </w:rPr>
        <w:t>The contingency table shows stark regional structure. The Midwest is dominated by the lowest-cost quartile (614 counties), whereas the Northeast is dominated by the highest-cost quartile (846 counties). The South is the most evenly spread region, which is consistent with its more moderate price-to-rent ratio.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0"/>
            </w:pPr>
            <w:r>
              <w:rPr>
                <w:b/>
                <w:sz w:val="20"/>
              </w:rPr>
              <w:t>Region</w:t>
            </w:r>
          </w:p>
        </w:tc>
        <w:tc>
          <w:tcPr>
            <w:tcW w:type="dxa" w:w="1440"/>
          </w:tcPr>
          <w:p>
            <w:pPr>
              <w:spacing w:line="240" w:lineRule="auto" w:after="0"/>
            </w:pPr>
            <w:r>
              <w:rPr>
                <w:b/>
                <w:sz w:val="20"/>
              </w:rPr>
              <w:t>Q1 lowest</w:t>
            </w:r>
          </w:p>
        </w:tc>
        <w:tc>
          <w:tcPr>
            <w:tcW w:type="dxa" w:w="1440"/>
          </w:tcPr>
          <w:p>
            <w:pPr>
              <w:spacing w:line="240" w:lineRule="auto" w:after="0"/>
            </w:pPr>
            <w:r>
              <w:rPr>
                <w:b/>
                <w:sz w:val="20"/>
              </w:rPr>
              <w:t>Q2</w:t>
            </w:r>
          </w:p>
        </w:tc>
        <w:tc>
          <w:tcPr>
            <w:tcW w:type="dxa" w:w="1440"/>
          </w:tcPr>
          <w:p>
            <w:pPr>
              <w:spacing w:line="240" w:lineRule="auto" w:after="0"/>
            </w:pPr>
            <w:r>
              <w:rPr>
                <w:b/>
                <w:sz w:val="20"/>
              </w:rPr>
              <w:t>Q3</w:t>
            </w:r>
          </w:p>
        </w:tc>
        <w:tc>
          <w:tcPr>
            <w:tcW w:type="dxa" w:w="1440"/>
          </w:tcPr>
          <w:p>
            <w:pPr>
              <w:spacing w:line="240" w:lineRule="auto" w:after="0"/>
            </w:pPr>
            <w:r>
              <w:rPr>
                <w:b/>
                <w:sz w:val="20"/>
              </w:rPr>
              <w:t>Q4 highest</w:t>
            </w:r>
          </w:p>
        </w:tc>
        <w:tc>
          <w:tcPr>
            <w:tcW w:type="dxa" w:w="1440"/>
          </w:tcPr>
          <w:p>
            <w:pPr>
              <w:spacing w:line="240" w:lineRule="auto" w:after="0"/>
            </w:pPr>
            <w:r>
              <w:rPr>
                <w:b/>
                <w:sz w:val="20"/>
              </w:rPr>
              <w:t>Total</w:t>
            </w:r>
          </w:p>
        </w:tc>
      </w:tr>
      <w:tr>
        <w:tc>
          <w:tcPr>
            <w:tcW w:type="dxa" w:w="1440"/>
          </w:tcPr>
          <w:p>
            <w:pPr>
              <w:spacing w:line="240" w:lineRule="auto" w:after="0"/>
            </w:pPr>
            <w:r>
              <w:rPr>
                <w:sz w:val="20"/>
              </w:rPr>
              <w:t>Midwest</w:t>
            </w:r>
          </w:p>
        </w:tc>
        <w:tc>
          <w:tcPr>
            <w:tcW w:type="dxa" w:w="1440"/>
          </w:tcPr>
          <w:p>
            <w:pPr>
              <w:spacing w:line="240" w:lineRule="auto" w:after="0"/>
            </w:pPr>
            <w:r>
              <w:rPr>
                <w:sz w:val="20"/>
              </w:rPr>
              <w:t>614</w:t>
            </w:r>
          </w:p>
        </w:tc>
        <w:tc>
          <w:tcPr>
            <w:tcW w:type="dxa" w:w="1440"/>
          </w:tcPr>
          <w:p>
            <w:pPr>
              <w:spacing w:line="240" w:lineRule="auto" w:after="0"/>
            </w:pPr>
            <w:r>
              <w:rPr>
                <w:sz w:val="20"/>
              </w:rPr>
              <w:t>258</w:t>
            </w:r>
          </w:p>
        </w:tc>
        <w:tc>
          <w:tcPr>
            <w:tcW w:type="dxa" w:w="1440"/>
          </w:tcPr>
          <w:p>
            <w:pPr>
              <w:spacing w:line="240" w:lineRule="auto" w:after="0"/>
            </w:pPr>
            <w:r>
              <w:rPr>
                <w:sz w:val="20"/>
              </w:rPr>
              <w:t>160</w:t>
            </w:r>
          </w:p>
        </w:tc>
        <w:tc>
          <w:tcPr>
            <w:tcW w:type="dxa" w:w="1440"/>
          </w:tcPr>
          <w:p>
            <w:pPr>
              <w:spacing w:line="240" w:lineRule="auto" w:after="0"/>
            </w:pPr>
            <w:r>
              <w:rPr>
                <w:sz w:val="20"/>
              </w:rPr>
              <w:t>24</w:t>
            </w:r>
          </w:p>
        </w:tc>
        <w:tc>
          <w:tcPr>
            <w:tcW w:type="dxa" w:w="1440"/>
          </w:tcPr>
          <w:p>
            <w:pPr>
              <w:spacing w:line="240" w:lineRule="auto" w:after="0"/>
            </w:pPr>
            <w:r>
              <w:rPr>
                <w:sz w:val="20"/>
              </w:rPr>
              <w:t>1056</w:t>
            </w:r>
          </w:p>
        </w:tc>
      </w:tr>
      <w:tr>
        <w:tc>
          <w:tcPr>
            <w:tcW w:type="dxa" w:w="1440"/>
          </w:tcPr>
          <w:p>
            <w:pPr>
              <w:spacing w:line="240" w:lineRule="auto" w:after="0"/>
            </w:pPr>
            <w:r>
              <w:rPr>
                <w:sz w:val="20"/>
              </w:rPr>
              <w:t>Northeast</w:t>
            </w:r>
          </w:p>
        </w:tc>
        <w:tc>
          <w:tcPr>
            <w:tcW w:type="dxa" w:w="1440"/>
          </w:tcPr>
          <w:p>
            <w:pPr>
              <w:spacing w:line="240" w:lineRule="auto" w:after="0"/>
            </w:pPr>
            <w:r>
              <w:rPr>
                <w:sz w:val="20"/>
              </w:rPr>
              <w:t>37</w:t>
            </w:r>
          </w:p>
        </w:tc>
        <w:tc>
          <w:tcPr>
            <w:tcW w:type="dxa" w:w="1440"/>
          </w:tcPr>
          <w:p>
            <w:pPr>
              <w:spacing w:line="240" w:lineRule="auto" w:after="0"/>
            </w:pPr>
            <w:r>
              <w:rPr>
                <w:sz w:val="20"/>
              </w:rPr>
              <w:t>315</w:t>
            </w:r>
          </w:p>
        </w:tc>
        <w:tc>
          <w:tcPr>
            <w:tcW w:type="dxa" w:w="1440"/>
          </w:tcPr>
          <w:p>
            <w:pPr>
              <w:spacing w:line="240" w:lineRule="auto" w:after="0"/>
            </w:pPr>
            <w:r>
              <w:rPr>
                <w:sz w:val="20"/>
              </w:rPr>
              <w:t>547</w:t>
            </w:r>
          </w:p>
        </w:tc>
        <w:tc>
          <w:tcPr>
            <w:tcW w:type="dxa" w:w="1440"/>
          </w:tcPr>
          <w:p>
            <w:pPr>
              <w:spacing w:line="240" w:lineRule="auto" w:after="0"/>
            </w:pPr>
            <w:r>
              <w:rPr>
                <w:sz w:val="20"/>
              </w:rPr>
              <w:t>846</w:t>
            </w:r>
          </w:p>
        </w:tc>
        <w:tc>
          <w:tcPr>
            <w:tcW w:type="dxa" w:w="1440"/>
          </w:tcPr>
          <w:p>
            <w:pPr>
              <w:spacing w:line="240" w:lineRule="auto" w:after="0"/>
            </w:pPr>
            <w:r>
              <w:rPr>
                <w:sz w:val="20"/>
              </w:rPr>
              <w:t>1745</w:t>
            </w:r>
          </w:p>
        </w:tc>
      </w:tr>
      <w:tr>
        <w:tc>
          <w:tcPr>
            <w:tcW w:type="dxa" w:w="1440"/>
          </w:tcPr>
          <w:p>
            <w:pPr>
              <w:spacing w:line="240" w:lineRule="auto" w:after="0"/>
            </w:pPr>
            <w:r>
              <w:rPr>
                <w:sz w:val="20"/>
              </w:rPr>
              <w:t>South</w:t>
            </w:r>
          </w:p>
        </w:tc>
        <w:tc>
          <w:tcPr>
            <w:tcW w:type="dxa" w:w="1440"/>
          </w:tcPr>
          <w:p>
            <w:pPr>
              <w:spacing w:line="240" w:lineRule="auto" w:after="0"/>
            </w:pPr>
            <w:r>
              <w:rPr>
                <w:sz w:val="20"/>
              </w:rPr>
              <w:t>663</w:t>
            </w:r>
          </w:p>
        </w:tc>
        <w:tc>
          <w:tcPr>
            <w:tcW w:type="dxa" w:w="1440"/>
          </w:tcPr>
          <w:p>
            <w:pPr>
              <w:spacing w:line="240" w:lineRule="auto" w:after="0"/>
            </w:pPr>
            <w:r>
              <w:rPr>
                <w:sz w:val="20"/>
              </w:rPr>
              <w:t>322</w:t>
            </w:r>
          </w:p>
        </w:tc>
        <w:tc>
          <w:tcPr>
            <w:tcW w:type="dxa" w:w="1440"/>
          </w:tcPr>
          <w:p>
            <w:pPr>
              <w:spacing w:line="240" w:lineRule="auto" w:after="0"/>
            </w:pPr>
            <w:r>
              <w:rPr>
                <w:sz w:val="20"/>
              </w:rPr>
              <w:t>334</w:t>
            </w:r>
          </w:p>
        </w:tc>
        <w:tc>
          <w:tcPr>
            <w:tcW w:type="dxa" w:w="1440"/>
          </w:tcPr>
          <w:p>
            <w:pPr>
              <w:spacing w:line="240" w:lineRule="auto" w:after="0"/>
            </w:pPr>
            <w:r>
              <w:rPr>
                <w:sz w:val="20"/>
              </w:rPr>
              <w:t>184</w:t>
            </w:r>
          </w:p>
        </w:tc>
        <w:tc>
          <w:tcPr>
            <w:tcW w:type="dxa" w:w="1440"/>
          </w:tcPr>
          <w:p>
            <w:pPr>
              <w:spacing w:line="240" w:lineRule="auto" w:after="0"/>
            </w:pPr>
            <w:r>
              <w:rPr>
                <w:sz w:val="20"/>
              </w:rPr>
              <w:t>1503</w:t>
            </w:r>
          </w:p>
        </w:tc>
      </w:tr>
      <w:tr>
        <w:tc>
          <w:tcPr>
            <w:tcW w:type="dxa" w:w="1440"/>
          </w:tcPr>
          <w:p>
            <w:pPr>
              <w:spacing w:line="240" w:lineRule="auto" w:after="0"/>
            </w:pPr>
            <w:r>
              <w:rPr>
                <w:sz w:val="20"/>
              </w:rPr>
              <w:t>West</w:t>
            </w:r>
          </w:p>
        </w:tc>
        <w:tc>
          <w:tcPr>
            <w:tcW w:type="dxa" w:w="1440"/>
          </w:tcPr>
          <w:p>
            <w:pPr>
              <w:spacing w:line="240" w:lineRule="auto" w:after="0"/>
            </w:pPr>
            <w:r>
              <w:rPr>
                <w:sz w:val="20"/>
              </w:rPr>
              <w:t>77</w:t>
            </w:r>
          </w:p>
        </w:tc>
        <w:tc>
          <w:tcPr>
            <w:tcW w:type="dxa" w:w="1440"/>
          </w:tcPr>
          <w:p>
            <w:pPr>
              <w:spacing w:line="240" w:lineRule="auto" w:after="0"/>
            </w:pPr>
            <w:r>
              <w:rPr>
                <w:sz w:val="20"/>
              </w:rPr>
              <w:t>93</w:t>
            </w:r>
          </w:p>
        </w:tc>
        <w:tc>
          <w:tcPr>
            <w:tcW w:type="dxa" w:w="1440"/>
          </w:tcPr>
          <w:p>
            <w:pPr>
              <w:spacing w:line="240" w:lineRule="auto" w:after="0"/>
            </w:pPr>
            <w:r>
              <w:rPr>
                <w:sz w:val="20"/>
              </w:rPr>
              <w:t>148</w:t>
            </w:r>
          </w:p>
        </w:tc>
        <w:tc>
          <w:tcPr>
            <w:tcW w:type="dxa" w:w="1440"/>
          </w:tcPr>
          <w:p>
            <w:pPr>
              <w:spacing w:line="240" w:lineRule="auto" w:after="0"/>
            </w:pPr>
            <w:r>
              <w:rPr>
                <w:sz w:val="20"/>
              </w:rPr>
              <w:t>132</w:t>
            </w:r>
          </w:p>
        </w:tc>
        <w:tc>
          <w:tcPr>
            <w:tcW w:type="dxa" w:w="1440"/>
          </w:tcPr>
          <w:p>
            <w:pPr>
              <w:spacing w:line="240" w:lineRule="auto" w:after="0"/>
            </w:pPr>
            <w:r>
              <w:rPr>
                <w:sz w:val="20"/>
              </w:rPr>
              <w:t>450</w:t>
            </w:r>
          </w:p>
        </w:tc>
      </w:tr>
    </w:tbl>
    <w:p>
      <w:r>
        <w:rPr>
          <w:b w:val="0"/>
          <w:i/>
        </w:rPr>
        <w:t>Table 3. Counties by census region and 2024 FMR quartile.</w:t>
      </w:r>
    </w:p>
    <w:p>
      <w:pPr>
        <w:pStyle w:val="Heading1"/>
      </w:pPr>
      <w:r>
        <w:rPr>
          <w:rFonts w:ascii="Times New Roman" w:hAnsi="Times New Roman"/>
          <w:color w:val="000000"/>
        </w:rPr>
        <w:t>7. Metro and State Dispersion</w:t>
      </w:r>
    </w:p>
    <w:p>
      <w:pPr>
        <w:spacing w:line="240" w:lineRule="auto" w:before="160" w:after="0"/>
        <w:jc w:val="center"/>
      </w:pPr>
      <w:r>
        <w:drawing>
          <wp:inline xmlns:a="http://schemas.openxmlformats.org/drawingml/2006/main" xmlns:pic="http://schemas.openxmlformats.org/drawingml/2006/picture">
            <wp:extent cx="5760720" cy="3861935"/>
            <wp:docPr id="11" name="Picture 11"/>
            <wp:cNvGraphicFramePr>
              <a:graphicFrameLocks noChangeAspect="1"/>
            </wp:cNvGraphicFramePr>
            <a:graphic>
              <a:graphicData uri="http://schemas.openxmlformats.org/drawingml/2006/picture">
                <pic:pic>
                  <pic:nvPicPr>
                    <pic:cNvPr id="0" name="F11_ Distribution of Metro HPI Growth (%), 2000-2024.png"/>
                    <pic:cNvPicPr/>
                  </pic:nvPicPr>
                  <pic:blipFill>
                    <a:blip r:embed="rId19"/>
                    <a:stretch>
                      <a:fillRect/>
                    </a:stretch>
                  </pic:blipFill>
                  <pic:spPr>
                    <a:xfrm>
                      <a:off x="0" y="0"/>
                      <a:ext cx="5760720" cy="3861935"/>
                    </a:xfrm>
                    <a:prstGeom prst="rect"/>
                  </pic:spPr>
                </pic:pic>
              </a:graphicData>
            </a:graphic>
          </wp:inline>
        </w:drawing>
      </w:r>
    </w:p>
    <w:p>
      <w:pPr>
        <w:spacing w:line="240" w:lineRule="auto" w:after="200"/>
        <w:jc w:val="center"/>
      </w:pPr>
      <w:r>
        <w:rPr>
          <w:i/>
          <w:sz w:val="20"/>
        </w:rPr>
        <w:t>Figure 11. Distribution of metro HPI growth (%), 2000–2024.</w:t>
      </w:r>
    </w:p>
    <w:p>
      <w:r>
        <w:rPr>
          <w:b w:val="0"/>
          <w:i w:val="0"/>
        </w:rPr>
        <w:t>Metro home-price growth varies enormously, with a median of about 212% and a long right tail. The fastest-appreciating metros roughly quadrupled prices, while the slowest roughly doubled them — a spread of more than 340 percentage points. The national averages therefore hide very different local experiences.</w:t>
      </w:r>
    </w:p>
    <w:p>
      <w:pPr>
        <w:spacing w:line="240" w:lineRule="auto" w:before="160" w:after="0"/>
        <w:jc w:val="center"/>
      </w:pPr>
      <w:r>
        <w:drawing>
          <wp:inline xmlns:a="http://schemas.openxmlformats.org/drawingml/2006/main" xmlns:pic="http://schemas.openxmlformats.org/drawingml/2006/picture">
            <wp:extent cx="5760720" cy="4415271"/>
            <wp:docPr id="12" name="Picture 12"/>
            <wp:cNvGraphicFramePr>
              <a:graphicFrameLocks noChangeAspect="1"/>
            </wp:cNvGraphicFramePr>
            <a:graphic>
              <a:graphicData uri="http://schemas.openxmlformats.org/drawingml/2006/picture">
                <pic:pic>
                  <pic:nvPicPr>
                    <pic:cNvPr id="0" name="F12_ Top _ Bottom 10 Metros by HPI Growth, 2000 - 2024.png"/>
                    <pic:cNvPicPr/>
                  </pic:nvPicPr>
                  <pic:blipFill>
                    <a:blip r:embed="rId20"/>
                    <a:stretch>
                      <a:fillRect/>
                    </a:stretch>
                  </pic:blipFill>
                  <pic:spPr>
                    <a:xfrm>
                      <a:off x="0" y="0"/>
                      <a:ext cx="5760720" cy="4415271"/>
                    </a:xfrm>
                    <a:prstGeom prst="rect"/>
                  </pic:spPr>
                </pic:pic>
              </a:graphicData>
            </a:graphic>
          </wp:inline>
        </w:drawing>
      </w:r>
    </w:p>
    <w:p>
      <w:pPr>
        <w:spacing w:line="240" w:lineRule="auto" w:after="200"/>
        <w:jc w:val="center"/>
      </w:pPr>
      <w:r>
        <w:rPr>
          <w:i/>
          <w:sz w:val="20"/>
        </w:rPr>
        <w:t>Figure 12. Top and bottom 10 metros by HPI growth, 2000–2024.</w:t>
      </w:r>
    </w:p>
    <w:p>
      <w:r>
        <w:rPr>
          <w:b w:val="0"/>
          <w:i w:val="0"/>
        </w:rPr>
        <w:t>The fastest-appreciating metros were concentrated in Florida (Miami, West Palm Beach, St. Petersburg, Fort Lauderdale) and the Mountain West (Boise, up about 336%). The slowest were in the industrial Midwest (Detroit, Cleveland, Chicago). A buyer in Miami faced a fundamentally different market than a buyer in Detroit, even though both faced the same national mortgage rate.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after="0"/>
            </w:pPr>
            <w:r>
              <w:rPr>
                <w:b/>
                <w:sz w:val="18"/>
              </w:rPr>
              <w:t>Top 10 metros</w:t>
            </w:r>
          </w:p>
        </w:tc>
        <w:tc>
          <w:tcPr>
            <w:tcW w:type="dxa" w:w="2160"/>
          </w:tcPr>
          <w:p>
            <w:pPr>
              <w:spacing w:line="240" w:lineRule="auto" w:after="0"/>
            </w:pPr>
            <w:r>
              <w:rPr>
                <w:b/>
                <w:sz w:val="18"/>
              </w:rPr>
              <w:t>Growth (%)</w:t>
            </w:r>
          </w:p>
        </w:tc>
        <w:tc>
          <w:tcPr>
            <w:tcW w:type="dxa" w:w="2160"/>
          </w:tcPr>
          <w:p>
            <w:pPr>
              <w:spacing w:line="240" w:lineRule="auto" w:after="0"/>
            </w:pPr>
            <w:r>
              <w:rPr>
                <w:b/>
                <w:sz w:val="18"/>
              </w:rPr>
              <w:t>Bottom 10 metros</w:t>
            </w:r>
          </w:p>
        </w:tc>
        <w:tc>
          <w:tcPr>
            <w:tcW w:type="dxa" w:w="2160"/>
          </w:tcPr>
          <w:p>
            <w:pPr>
              <w:spacing w:line="240" w:lineRule="auto" w:after="0"/>
            </w:pPr>
            <w:r>
              <w:rPr>
                <w:b/>
                <w:sz w:val="18"/>
              </w:rPr>
              <w:t>Growth (%)</w:t>
            </w:r>
          </w:p>
        </w:tc>
      </w:tr>
      <w:tr>
        <w:tc>
          <w:tcPr>
            <w:tcW w:type="dxa" w:w="2160"/>
          </w:tcPr>
          <w:p>
            <w:pPr>
              <w:spacing w:line="240" w:lineRule="auto" w:after="0"/>
            </w:pPr>
            <w:r>
              <w:rPr>
                <w:sz w:val="18"/>
              </w:rPr>
              <w:t>Miami-Miami Beach-Kendall, FL (MSAD)</w:t>
            </w:r>
          </w:p>
        </w:tc>
        <w:tc>
          <w:tcPr>
            <w:tcW w:type="dxa" w:w="2160"/>
          </w:tcPr>
          <w:p>
            <w:pPr>
              <w:spacing w:line="240" w:lineRule="auto" w:after="0"/>
            </w:pPr>
            <w:r>
              <w:rPr>
                <w:sz w:val="18"/>
              </w:rPr>
              <w:t>424.9</w:t>
            </w:r>
          </w:p>
        </w:tc>
        <w:tc>
          <w:tcPr>
            <w:tcW w:type="dxa" w:w="2160"/>
          </w:tcPr>
          <w:p>
            <w:pPr>
              <w:spacing w:line="240" w:lineRule="auto" w:after="0"/>
            </w:pPr>
            <w:r>
              <w:rPr>
                <w:sz w:val="18"/>
              </w:rPr>
              <w:t>Detroit-Dearborn-Livonia, MI (MSAD)</w:t>
            </w:r>
          </w:p>
        </w:tc>
        <w:tc>
          <w:tcPr>
            <w:tcW w:type="dxa" w:w="2160"/>
          </w:tcPr>
          <w:p>
            <w:pPr>
              <w:spacing w:line="240" w:lineRule="auto" w:after="0"/>
            </w:pPr>
            <w:r>
              <w:rPr>
                <w:sz w:val="18"/>
              </w:rPr>
              <w:t>82.4</w:t>
            </w:r>
          </w:p>
        </w:tc>
      </w:tr>
      <w:tr>
        <w:tc>
          <w:tcPr>
            <w:tcW w:type="dxa" w:w="2160"/>
          </w:tcPr>
          <w:p>
            <w:pPr>
              <w:spacing w:line="240" w:lineRule="auto" w:after="0"/>
            </w:pPr>
            <w:r>
              <w:rPr>
                <w:sz w:val="18"/>
              </w:rPr>
              <w:t>West Palm Beach-Boca Raton-Delray Beach, FL (MSAD)</w:t>
            </w:r>
          </w:p>
        </w:tc>
        <w:tc>
          <w:tcPr>
            <w:tcW w:type="dxa" w:w="2160"/>
          </w:tcPr>
          <w:p>
            <w:pPr>
              <w:spacing w:line="240" w:lineRule="auto" w:after="0"/>
            </w:pPr>
            <w:r>
              <w:rPr>
                <w:sz w:val="18"/>
              </w:rPr>
              <w:t>379.4</w:t>
            </w:r>
          </w:p>
        </w:tc>
        <w:tc>
          <w:tcPr>
            <w:tcW w:type="dxa" w:w="2160"/>
          </w:tcPr>
          <w:p>
            <w:pPr>
              <w:spacing w:line="240" w:lineRule="auto" w:after="0"/>
            </w:pPr>
            <w:r>
              <w:rPr>
                <w:sz w:val="18"/>
              </w:rPr>
              <w:t>Warren-Troy-Farmington Hills, MI (MSAD)</w:t>
            </w:r>
          </w:p>
        </w:tc>
        <w:tc>
          <w:tcPr>
            <w:tcW w:type="dxa" w:w="2160"/>
          </w:tcPr>
          <w:p>
            <w:pPr>
              <w:spacing w:line="240" w:lineRule="auto" w:after="0"/>
            </w:pPr>
            <w:r>
              <w:rPr>
                <w:sz w:val="18"/>
              </w:rPr>
              <w:t>97.6</w:t>
            </w:r>
          </w:p>
        </w:tc>
      </w:tr>
      <w:tr>
        <w:tc>
          <w:tcPr>
            <w:tcW w:type="dxa" w:w="2160"/>
          </w:tcPr>
          <w:p>
            <w:pPr>
              <w:spacing w:line="240" w:lineRule="auto" w:after="0"/>
            </w:pPr>
            <w:r>
              <w:rPr>
                <w:sz w:val="18"/>
              </w:rPr>
              <w:t>St. Petersburg-Clearwater-Largo, FL (MSAD)</w:t>
            </w:r>
          </w:p>
        </w:tc>
        <w:tc>
          <w:tcPr>
            <w:tcW w:type="dxa" w:w="2160"/>
          </w:tcPr>
          <w:p>
            <w:pPr>
              <w:spacing w:line="240" w:lineRule="auto" w:after="0"/>
            </w:pPr>
            <w:r>
              <w:rPr>
                <w:sz w:val="18"/>
              </w:rPr>
              <w:t>372.4</w:t>
            </w:r>
          </w:p>
        </w:tc>
        <w:tc>
          <w:tcPr>
            <w:tcW w:type="dxa" w:w="2160"/>
          </w:tcPr>
          <w:p>
            <w:pPr>
              <w:spacing w:line="240" w:lineRule="auto" w:after="0"/>
            </w:pPr>
            <w:r>
              <w:rPr>
                <w:sz w:val="18"/>
              </w:rPr>
              <w:t>Cleveland, OH</w:t>
            </w:r>
          </w:p>
        </w:tc>
        <w:tc>
          <w:tcPr>
            <w:tcW w:type="dxa" w:w="2160"/>
          </w:tcPr>
          <w:p>
            <w:pPr>
              <w:spacing w:line="240" w:lineRule="auto" w:after="0"/>
            </w:pPr>
            <w:r>
              <w:rPr>
                <w:sz w:val="18"/>
              </w:rPr>
              <w:t>101.5</w:t>
            </w:r>
          </w:p>
        </w:tc>
      </w:tr>
      <w:tr>
        <w:tc>
          <w:tcPr>
            <w:tcW w:type="dxa" w:w="2160"/>
          </w:tcPr>
          <w:p>
            <w:pPr>
              <w:spacing w:line="240" w:lineRule="auto" w:after="0"/>
            </w:pPr>
            <w:r>
              <w:rPr>
                <w:sz w:val="18"/>
              </w:rPr>
              <w:t>Fort Lauderdale-Pompano Beach-Sunrise, FL (MSAD)</w:t>
            </w:r>
          </w:p>
        </w:tc>
        <w:tc>
          <w:tcPr>
            <w:tcW w:type="dxa" w:w="2160"/>
          </w:tcPr>
          <w:p>
            <w:pPr>
              <w:spacing w:line="240" w:lineRule="auto" w:after="0"/>
            </w:pPr>
            <w:r>
              <w:rPr>
                <w:sz w:val="18"/>
              </w:rPr>
              <w:t>350.8</w:t>
            </w:r>
          </w:p>
        </w:tc>
        <w:tc>
          <w:tcPr>
            <w:tcW w:type="dxa" w:w="2160"/>
          </w:tcPr>
          <w:p>
            <w:pPr>
              <w:spacing w:line="240" w:lineRule="auto" w:after="0"/>
            </w:pPr>
            <w:r>
              <w:rPr>
                <w:sz w:val="18"/>
              </w:rPr>
              <w:t>Elgin, IL (MSAD)</w:t>
            </w:r>
          </w:p>
        </w:tc>
        <w:tc>
          <w:tcPr>
            <w:tcW w:type="dxa" w:w="2160"/>
          </w:tcPr>
          <w:p>
            <w:pPr>
              <w:spacing w:line="240" w:lineRule="auto" w:after="0"/>
            </w:pPr>
            <w:r>
              <w:rPr>
                <w:sz w:val="18"/>
              </w:rPr>
              <w:t>105.2</w:t>
            </w:r>
          </w:p>
        </w:tc>
      </w:tr>
      <w:tr>
        <w:tc>
          <w:tcPr>
            <w:tcW w:type="dxa" w:w="2160"/>
          </w:tcPr>
          <w:p>
            <w:pPr>
              <w:spacing w:line="240" w:lineRule="auto" w:after="0"/>
            </w:pPr>
            <w:r>
              <w:rPr>
                <w:sz w:val="18"/>
              </w:rPr>
              <w:t>Boise City, ID</w:t>
            </w:r>
          </w:p>
        </w:tc>
        <w:tc>
          <w:tcPr>
            <w:tcW w:type="dxa" w:w="2160"/>
          </w:tcPr>
          <w:p>
            <w:pPr>
              <w:spacing w:line="240" w:lineRule="auto" w:after="0"/>
            </w:pPr>
            <w:r>
              <w:rPr>
                <w:sz w:val="18"/>
              </w:rPr>
              <w:t>336.5</w:t>
            </w:r>
          </w:p>
        </w:tc>
        <w:tc>
          <w:tcPr>
            <w:tcW w:type="dxa" w:w="2160"/>
          </w:tcPr>
          <w:p>
            <w:pPr>
              <w:spacing w:line="240" w:lineRule="auto" w:after="0"/>
            </w:pPr>
            <w:r>
              <w:rPr>
                <w:sz w:val="18"/>
              </w:rPr>
              <w:t>Chicago-Naperville-Schaumburg, IL (MSAD)</w:t>
            </w:r>
          </w:p>
        </w:tc>
        <w:tc>
          <w:tcPr>
            <w:tcW w:type="dxa" w:w="2160"/>
          </w:tcPr>
          <w:p>
            <w:pPr>
              <w:spacing w:line="240" w:lineRule="auto" w:after="0"/>
            </w:pPr>
            <w:r>
              <w:rPr>
                <w:sz w:val="18"/>
              </w:rPr>
              <w:t>117.2</w:t>
            </w:r>
          </w:p>
        </w:tc>
      </w:tr>
      <w:tr>
        <w:tc>
          <w:tcPr>
            <w:tcW w:type="dxa" w:w="2160"/>
          </w:tcPr>
          <w:p>
            <w:pPr>
              <w:spacing w:line="240" w:lineRule="auto" w:after="0"/>
            </w:pPr>
            <w:r>
              <w:rPr>
                <w:sz w:val="18"/>
              </w:rPr>
              <w:t>Los Angeles-Long Beach-Glendale, CA (MSAD)</w:t>
            </w:r>
          </w:p>
        </w:tc>
        <w:tc>
          <w:tcPr>
            <w:tcW w:type="dxa" w:w="2160"/>
          </w:tcPr>
          <w:p>
            <w:pPr>
              <w:spacing w:line="240" w:lineRule="auto" w:after="0"/>
            </w:pPr>
            <w:r>
              <w:rPr>
                <w:sz w:val="18"/>
              </w:rPr>
              <w:t>334.0</w:t>
            </w:r>
          </w:p>
        </w:tc>
        <w:tc>
          <w:tcPr>
            <w:tcW w:type="dxa" w:w="2160"/>
          </w:tcPr>
          <w:p>
            <w:pPr>
              <w:spacing w:line="240" w:lineRule="auto" w:after="0"/>
            </w:pPr>
            <w:r>
              <w:rPr>
                <w:sz w:val="18"/>
              </w:rPr>
              <w:t>Dayton-Kettering-Beavercreek, OH</w:t>
            </w:r>
          </w:p>
        </w:tc>
        <w:tc>
          <w:tcPr>
            <w:tcW w:type="dxa" w:w="2160"/>
          </w:tcPr>
          <w:p>
            <w:pPr>
              <w:spacing w:line="240" w:lineRule="auto" w:after="0"/>
            </w:pPr>
            <w:r>
              <w:rPr>
                <w:sz w:val="18"/>
              </w:rPr>
              <w:t>121.6</w:t>
            </w:r>
          </w:p>
        </w:tc>
      </w:tr>
      <w:tr>
        <w:tc>
          <w:tcPr>
            <w:tcW w:type="dxa" w:w="2160"/>
          </w:tcPr>
          <w:p>
            <w:pPr>
              <w:spacing w:line="240" w:lineRule="auto" w:after="0"/>
            </w:pPr>
            <w:r>
              <w:rPr>
                <w:sz w:val="18"/>
              </w:rPr>
              <w:t>Anaheim-Santa Ana-Irvine, CA (MSAD)</w:t>
            </w:r>
          </w:p>
        </w:tc>
        <w:tc>
          <w:tcPr>
            <w:tcW w:type="dxa" w:w="2160"/>
          </w:tcPr>
          <w:p>
            <w:pPr>
              <w:spacing w:line="240" w:lineRule="auto" w:after="0"/>
            </w:pPr>
            <w:r>
              <w:rPr>
                <w:sz w:val="18"/>
              </w:rPr>
              <w:t>321.1</w:t>
            </w:r>
          </w:p>
        </w:tc>
        <w:tc>
          <w:tcPr>
            <w:tcW w:type="dxa" w:w="2160"/>
          </w:tcPr>
          <w:p>
            <w:pPr>
              <w:spacing w:line="240" w:lineRule="auto" w:after="0"/>
            </w:pPr>
            <w:r>
              <w:rPr>
                <w:sz w:val="18"/>
              </w:rPr>
              <w:t>Memphis, TN-MS-AR</w:t>
            </w:r>
          </w:p>
        </w:tc>
        <w:tc>
          <w:tcPr>
            <w:tcW w:type="dxa" w:w="2160"/>
          </w:tcPr>
          <w:p>
            <w:pPr>
              <w:spacing w:line="240" w:lineRule="auto" w:after="0"/>
            </w:pPr>
            <w:r>
              <w:rPr>
                <w:sz w:val="18"/>
              </w:rPr>
              <w:t>122.5</w:t>
            </w:r>
          </w:p>
        </w:tc>
      </w:tr>
      <w:tr>
        <w:tc>
          <w:tcPr>
            <w:tcW w:type="dxa" w:w="2160"/>
          </w:tcPr>
          <w:p>
            <w:pPr>
              <w:spacing w:line="240" w:lineRule="auto" w:after="0"/>
            </w:pPr>
            <w:r>
              <w:rPr>
                <w:sz w:val="18"/>
              </w:rPr>
              <w:t>Charleston-North Charleston, SC</w:t>
            </w:r>
          </w:p>
        </w:tc>
        <w:tc>
          <w:tcPr>
            <w:tcW w:type="dxa" w:w="2160"/>
          </w:tcPr>
          <w:p>
            <w:pPr>
              <w:spacing w:line="240" w:lineRule="auto" w:after="0"/>
            </w:pPr>
            <w:r>
              <w:rPr>
                <w:sz w:val="18"/>
              </w:rPr>
              <w:t>317.0</w:t>
            </w:r>
          </w:p>
        </w:tc>
        <w:tc>
          <w:tcPr>
            <w:tcW w:type="dxa" w:w="2160"/>
          </w:tcPr>
          <w:p>
            <w:pPr>
              <w:spacing w:line="240" w:lineRule="auto" w:after="0"/>
            </w:pPr>
            <w:r>
              <w:rPr>
                <w:sz w:val="18"/>
              </w:rPr>
              <w:t>Baton Rouge, LA</w:t>
            </w:r>
          </w:p>
        </w:tc>
        <w:tc>
          <w:tcPr>
            <w:tcW w:type="dxa" w:w="2160"/>
          </w:tcPr>
          <w:p>
            <w:pPr>
              <w:spacing w:line="240" w:lineRule="auto" w:after="0"/>
            </w:pPr>
            <w:r>
              <w:rPr>
                <w:sz w:val="18"/>
              </w:rPr>
              <w:t>127.5</w:t>
            </w:r>
          </w:p>
        </w:tc>
      </w:tr>
      <w:tr>
        <w:tc>
          <w:tcPr>
            <w:tcW w:type="dxa" w:w="2160"/>
          </w:tcPr>
          <w:p>
            <w:pPr>
              <w:spacing w:line="240" w:lineRule="auto" w:after="0"/>
            </w:pPr>
            <w:r>
              <w:rPr>
                <w:sz w:val="18"/>
              </w:rPr>
              <w:t>Tampa, FL (MSAD)</w:t>
            </w:r>
          </w:p>
        </w:tc>
        <w:tc>
          <w:tcPr>
            <w:tcW w:type="dxa" w:w="2160"/>
          </w:tcPr>
          <w:p>
            <w:pPr>
              <w:spacing w:line="240" w:lineRule="auto" w:after="0"/>
            </w:pPr>
            <w:r>
              <w:rPr>
                <w:sz w:val="18"/>
              </w:rPr>
              <w:t>315.2</w:t>
            </w:r>
          </w:p>
        </w:tc>
        <w:tc>
          <w:tcPr>
            <w:tcW w:type="dxa" w:w="2160"/>
          </w:tcPr>
          <w:p>
            <w:pPr>
              <w:spacing w:line="240" w:lineRule="auto" w:after="0"/>
            </w:pPr>
            <w:r>
              <w:rPr>
                <w:sz w:val="18"/>
              </w:rPr>
              <w:t>Little Rock-North Little Rock-Conway, AR</w:t>
            </w:r>
          </w:p>
        </w:tc>
        <w:tc>
          <w:tcPr>
            <w:tcW w:type="dxa" w:w="2160"/>
          </w:tcPr>
          <w:p>
            <w:pPr>
              <w:spacing w:line="240" w:lineRule="auto" w:after="0"/>
            </w:pPr>
            <w:r>
              <w:rPr>
                <w:sz w:val="18"/>
              </w:rPr>
              <w:t>128.4</w:t>
            </w:r>
          </w:p>
        </w:tc>
      </w:tr>
      <w:tr>
        <w:tc>
          <w:tcPr>
            <w:tcW w:type="dxa" w:w="2160"/>
          </w:tcPr>
          <w:p>
            <w:pPr>
              <w:spacing w:line="240" w:lineRule="auto" w:after="0"/>
            </w:pPr>
            <w:r>
              <w:rPr>
                <w:sz w:val="18"/>
              </w:rPr>
              <w:t>San Diego-Chula Vista-Carlsbad, CA</w:t>
            </w:r>
          </w:p>
        </w:tc>
        <w:tc>
          <w:tcPr>
            <w:tcW w:type="dxa" w:w="2160"/>
          </w:tcPr>
          <w:p>
            <w:pPr>
              <w:spacing w:line="240" w:lineRule="auto" w:after="0"/>
            </w:pPr>
            <w:r>
              <w:rPr>
                <w:sz w:val="18"/>
              </w:rPr>
              <w:t>306.8</w:t>
            </w:r>
          </w:p>
        </w:tc>
        <w:tc>
          <w:tcPr>
            <w:tcW w:type="dxa" w:w="2160"/>
          </w:tcPr>
          <w:p>
            <w:pPr>
              <w:spacing w:line="240" w:lineRule="auto" w:after="0"/>
            </w:pPr>
            <w:r>
              <w:rPr>
                <w:sz w:val="18"/>
              </w:rPr>
              <w:t>Des Moines-West Des Moines, IA</w:t>
            </w:r>
          </w:p>
        </w:tc>
        <w:tc>
          <w:tcPr>
            <w:tcW w:type="dxa" w:w="2160"/>
          </w:tcPr>
          <w:p>
            <w:pPr>
              <w:spacing w:line="240" w:lineRule="auto" w:after="0"/>
            </w:pPr>
            <w:r>
              <w:rPr>
                <w:sz w:val="18"/>
              </w:rPr>
              <w:t>130.5</w:t>
            </w:r>
          </w:p>
        </w:tc>
      </w:tr>
    </w:tbl>
    <w:p>
      <w:r>
        <w:rPr>
          <w:b w:val="0"/>
          <w:i/>
        </w:rPr>
        <w:t>Table 4. Top and bottom 10 metropolitan areas by home-price growth, 2000–2024.</w:t>
      </w:r>
    </w:p>
    <w:p>
      <w:pPr>
        <w:spacing w:line="240" w:lineRule="auto" w:before="160" w:after="0"/>
        <w:jc w:val="center"/>
      </w:pPr>
      <w:r>
        <w:drawing>
          <wp:inline xmlns:a="http://schemas.openxmlformats.org/drawingml/2006/main" xmlns:pic="http://schemas.openxmlformats.org/drawingml/2006/picture">
            <wp:extent cx="5760720" cy="2694323"/>
            <wp:docPr id="13" name="Picture 13"/>
            <wp:cNvGraphicFramePr>
              <a:graphicFrameLocks noChangeAspect="1"/>
            </wp:cNvGraphicFramePr>
            <a:graphic>
              <a:graphicData uri="http://schemas.openxmlformats.org/drawingml/2006/picture">
                <pic:pic>
                  <pic:nvPicPr>
                    <pic:cNvPr id="0" name="F13_ Home Price vs Rent Index (2000 = 100).png"/>
                    <pic:cNvPicPr/>
                  </pic:nvPicPr>
                  <pic:blipFill>
                    <a:blip r:embed="rId21"/>
                    <a:stretch>
                      <a:fillRect/>
                    </a:stretch>
                  </pic:blipFill>
                  <pic:spPr>
                    <a:xfrm>
                      <a:off x="0" y="0"/>
                      <a:ext cx="5760720" cy="2694323"/>
                    </a:xfrm>
                    <a:prstGeom prst="rect"/>
                  </pic:spPr>
                </pic:pic>
              </a:graphicData>
            </a:graphic>
          </wp:inline>
        </w:drawing>
      </w:r>
    </w:p>
    <w:p>
      <w:pPr>
        <w:spacing w:line="240" w:lineRule="auto" w:after="200"/>
        <w:jc w:val="center"/>
      </w:pPr>
      <w:r>
        <w:rPr>
          <w:i/>
          <w:sz w:val="20"/>
        </w:rPr>
        <w:t>Figure 13. Home price vs. rent index (2000 = 100).</w:t>
      </w:r>
    </w:p>
    <w:p>
      <w:r>
        <w:rPr>
          <w:b w:val="0"/>
          <w:i w:val="0"/>
        </w:rPr>
        <w:t>Nationally, the home-price index roughly tripled (100 to about 307) while the national rent index roughly doubled (100 to about 233). The widening wedge between the two lines is the visual signature of the affordability crisis: ownership costs outran renting costs throughout the period, and the gap accelerated after 2020.</w:t>
      </w:r>
    </w:p>
    <w:p>
      <w:pPr>
        <w:pStyle w:val="Heading1"/>
      </w:pPr>
      <w:r>
        <w:rPr>
          <w:rFonts w:ascii="Times New Roman" w:hAnsi="Times New Roman"/>
          <w:color w:val="000000"/>
        </w:rPr>
        <w:t>8. Geographic Patterns</w:t>
      </w:r>
    </w:p>
    <w:p>
      <w:pPr>
        <w:spacing w:line="240" w:lineRule="auto" w:before="160" w:after="0"/>
        <w:jc w:val="center"/>
      </w:pPr>
      <w:r>
        <w:drawing>
          <wp:inline xmlns:a="http://schemas.openxmlformats.org/drawingml/2006/main" xmlns:pic="http://schemas.openxmlformats.org/drawingml/2006/picture">
            <wp:extent cx="5760720" cy="2639937"/>
            <wp:docPr id="14" name="Picture 14"/>
            <wp:cNvGraphicFramePr>
              <a:graphicFrameLocks noChangeAspect="1"/>
            </wp:cNvGraphicFramePr>
            <a:graphic>
              <a:graphicData uri="http://schemas.openxmlformats.org/drawingml/2006/picture">
                <pic:pic>
                  <pic:nvPicPr>
                    <pic:cNvPr id="0" name="F14a_ 2024 Average 2-Bedroom FMR by State.png"/>
                    <pic:cNvPicPr/>
                  </pic:nvPicPr>
                  <pic:blipFill>
                    <a:blip r:embed="rId22"/>
                    <a:stretch>
                      <a:fillRect/>
                    </a:stretch>
                  </pic:blipFill>
                  <pic:spPr>
                    <a:xfrm>
                      <a:off x="0" y="0"/>
                      <a:ext cx="5760720" cy="2639937"/>
                    </a:xfrm>
                    <a:prstGeom prst="rect"/>
                  </pic:spPr>
                </pic:pic>
              </a:graphicData>
            </a:graphic>
          </wp:inline>
        </w:drawing>
      </w:r>
    </w:p>
    <w:p>
      <w:pPr>
        <w:spacing w:line="240" w:lineRule="auto" w:after="200"/>
        <w:jc w:val="center"/>
      </w:pPr>
      <w:r>
        <w:rPr>
          <w:i/>
          <w:sz w:val="20"/>
        </w:rPr>
        <w:t>Figure 14a. 2024 average 2-bedroom FMR by state.</w:t>
      </w:r>
    </w:p>
    <w:p>
      <w:r>
        <w:rPr>
          <w:b w:val="0"/>
          <w:i w:val="0"/>
        </w:rPr>
        <w:t>The state map shows high 2024 rents concentrated on the coasts and in Hawaii. Hawaii ($2,122), the District of Columbia ($2,045), Massachusetts ($2,026), New Jersey ($1,889), and California ($1,864) had the highest average 2-bedroom rents, while Arkansas ($875), Missouri ($887), Nebraska ($902), Iowa ($909), and West Virginia ($909) were the lowest.</w:t>
      </w:r>
    </w:p>
    <w:p>
      <w:pPr>
        <w:spacing w:line="240" w:lineRule="auto" w:before="160" w:after="0"/>
        <w:jc w:val="center"/>
      </w:pPr>
      <w:r>
        <w:drawing>
          <wp:inline xmlns:a="http://schemas.openxmlformats.org/drawingml/2006/main" xmlns:pic="http://schemas.openxmlformats.org/drawingml/2006/picture">
            <wp:extent cx="5760720" cy="2639937"/>
            <wp:docPr id="15" name="Picture 15"/>
            <wp:cNvGraphicFramePr>
              <a:graphicFrameLocks noChangeAspect="1"/>
            </wp:cNvGraphicFramePr>
            <a:graphic>
              <a:graphicData uri="http://schemas.openxmlformats.org/drawingml/2006/picture">
                <pic:pic>
                  <pic:nvPicPr>
                    <pic:cNvPr id="0" name="F14b_ Home Price Growth by State, 2000-2024.png"/>
                    <pic:cNvPicPr/>
                  </pic:nvPicPr>
                  <pic:blipFill>
                    <a:blip r:embed="rId23"/>
                    <a:stretch>
                      <a:fillRect/>
                    </a:stretch>
                  </pic:blipFill>
                  <pic:spPr>
                    <a:xfrm>
                      <a:off x="0" y="0"/>
                      <a:ext cx="5760720" cy="2639937"/>
                    </a:xfrm>
                    <a:prstGeom prst="rect"/>
                  </pic:spPr>
                </pic:pic>
              </a:graphicData>
            </a:graphic>
          </wp:inline>
        </w:drawing>
      </w:r>
    </w:p>
    <w:p>
      <w:pPr>
        <w:spacing w:line="240" w:lineRule="auto" w:after="200"/>
        <w:jc w:val="center"/>
      </w:pPr>
      <w:r>
        <w:rPr>
          <w:i/>
          <w:sz w:val="20"/>
        </w:rPr>
        <w:t>Figure 14b. Home price growth by state, 2000–2024.</w:t>
      </w:r>
    </w:p>
    <w:p>
      <w:r>
        <w:rPr>
          <w:b w:val="0"/>
          <w:i w:val="0"/>
        </w:rPr>
        <w:t>The price-growth map shows the largest gains in the District of Columbia (+384%), Hawaii (+338%), Idaho (+312%), Florida (+310%), and Montana (+305%), and the smallest in Illinois (+111%), Michigan (+115%), Mississippi (+117%), and Ohio (+125%). The pattern reflects migration and supply constraints in the Sun Belt and Mountain West against slower demand in much of the industrial Midwest.</w:t>
      </w:r>
    </w:p>
    <w:p>
      <w:pPr>
        <w:pStyle w:val="Heading1"/>
      </w:pPr>
      <w:r>
        <w:rPr>
          <w:rFonts w:ascii="Times New Roman" w:hAnsi="Times New Roman"/>
          <w:color w:val="000000"/>
        </w:rPr>
        <w:t>9. Discussion</w:t>
      </w:r>
    </w:p>
    <w:p>
      <w:r>
        <w:rPr>
          <w:b w:val="0"/>
          <w:i w:val="0"/>
        </w:rPr>
        <w:t>Three findings stand out. First, the divergence between home prices and income is large and durable: real prices grew roughly four times faster than real income, and the gap did not close even during the 2008 crisis. Second, the cost of financing is now a first-order driver of affordability. The jump in rates from 2.96% in 2021 to 6.72% in 2024 roughly doubled the modeled monthly payment, meaning a household that could comfortably afford a home in 2021 may no longer qualify for the same home in 2024 even if its income rose. Third, the market is highly segmented. Regions and metros differ so much that a single national narrative obscures the experience of buyers in Miami, Boise, or Detroit.</w:t>
      </w:r>
    </w:p>
    <w:p>
      <w:r>
        <w:rPr>
          <w:b w:val="0"/>
          <w:i w:val="0"/>
        </w:rPr>
        <w:t>Taken together, these findings imply that the buy-versus-rent decision is increasingly a short-horizon affordability calculation. When the price-to-rent ratio exceeds breakeven — as it does in every region in 2024 — a household that does not expect to hold the home long enough to amortize the upfront and transaction costs may be better served by renting and investing the difference.</w:t>
      </w:r>
    </w:p>
    <w:p>
      <w:pPr>
        <w:pStyle w:val="Heading1"/>
      </w:pPr>
      <w:r>
        <w:rPr>
          <w:rFonts w:ascii="Times New Roman" w:hAnsi="Times New Roman"/>
          <w:color w:val="000000"/>
        </w:rPr>
        <w:t>10. Limitations</w:t>
      </w:r>
    </w:p>
    <w:p>
      <w:r>
        <w:rPr>
          <w:b w:val="0"/>
          <w:i w:val="0"/>
        </w:rPr>
        <w:t>Several limitations qualify these results. The FMR is a fair-market benchmark, not the rent every household actually pays. The price-to-rent ratio uses median sale prices for newly sold homes rather than the value of a specific property a household might also rent. Income data are national, so income-based affordability is illustrative rather than regional. The model applies a single national mortgage rate to all regions and omits closing costs, the recurring maintenance in the monthly payment, and the opportunity cost of the down payment. Finally, the breakeven calculation is sensitive to the assumed appreciation rate; a lower appreciation assumption would raise the breakeven ratio and narrow the measured gap.</w:t>
      </w:r>
    </w:p>
    <w:p>
      <w:pPr>
        <w:pStyle w:val="Heading1"/>
      </w:pPr>
      <w:r>
        <w:rPr>
          <w:rFonts w:ascii="Times New Roman" w:hAnsi="Times New Roman"/>
          <w:color w:val="000000"/>
        </w:rPr>
        <w:t>11. Conclusion and Recommendations</w:t>
      </w:r>
    </w:p>
    <w:p>
      <w:r>
        <w:rPr>
          <w:b w:val="0"/>
          <w:i w:val="0"/>
        </w:rPr>
        <w:t>Findings. Real home prices grew about four times faster than real income (+68% versus +16%); the post-2021 jump in mortgage rates (2.96% to 6.72%) roughly doubled a modeled monthly mortgage payment; by 2024 the price-to-rent ratio exceeded breakeven in every region, most severely in the Northeast and West; and metro-level dispersion was wide, led by Florida and the Mountain West.</w:t>
      </w:r>
    </w:p>
    <w:p>
      <w:r>
        <w:rPr>
          <w:b w:val="0"/>
          <w:i w:val="0"/>
        </w:rPr>
        <w:t>Recommendations. Prospective buyers in high-ratio regions should weigh longer renting horizons against purchase. REIT investors should expect stronger rental demand where price-to-rent ratios are highest. Housing policy boards in fast-appreciating metros should prioritize supply, including density and permitting reform. Future work will add metro- and county-level income and dollar home values to produce a true regional Housing Affordability Index and an interactive, rate-adjustable dashboard.</w:t>
      </w:r>
    </w:p>
    <w:p>
      <w:pPr>
        <w:pStyle w:val="Heading1"/>
        <w:pageBreakBefore/>
      </w:pPr>
      <w:r>
        <w:rPr>
          <w:rFonts w:ascii="Times New Roman" w:hAnsi="Times New Roman"/>
          <w:color w:val="000000"/>
        </w:rPr>
        <w:t>References and Data Sources</w:t>
      </w:r>
    </w:p>
    <w:p>
      <w:pPr>
        <w:pStyle w:val="ListBullet"/>
        <w:spacing w:line="240" w:lineRule="auto"/>
      </w:pPr>
      <w:r>
        <w:t xml:space="preserve">Housing Inventory Estimate: Renter Occupied Housing Units in the United States (ERNTOCCUSQ176N). </w:t>
      </w:r>
      <w:hyperlink r:id="rId24">
        <w:r>
          <w:rPr>
            <w:color w:val="0563C1"/>
            <w:u w:val="single"/>
          </w:rPr>
          <w:t>https://fred.stlouisfed.org/series/ERNTOCCUSQ176N</w:t>
        </w:r>
      </w:hyperlink>
    </w:p>
    <w:p>
      <w:pPr>
        <w:pStyle w:val="ListBullet"/>
        <w:spacing w:line="240" w:lineRule="auto"/>
      </w:pPr>
      <w:r>
        <w:t xml:space="preserve">Housing Inventory Estimate: Owner Occupied Housing Units in the United States (EOWNOCCUSQ176N). </w:t>
      </w:r>
      <w:hyperlink r:id="rId25">
        <w:r>
          <w:rPr>
            <w:color w:val="0563C1"/>
            <w:u w:val="single"/>
          </w:rPr>
          <w:t>https://fred.stlouisfed.org/series/EOWNOCCUSQ176N</w:t>
        </w:r>
      </w:hyperlink>
    </w:p>
    <w:p>
      <w:pPr>
        <w:pStyle w:val="ListBullet"/>
        <w:spacing w:line="240" w:lineRule="auto"/>
      </w:pPr>
      <w:r>
        <w:t xml:space="preserve">Median Sales Price of Houses Sold for the South Census Region (MSPS). </w:t>
      </w:r>
      <w:hyperlink r:id="rId26">
        <w:r>
          <w:rPr>
            <w:color w:val="0563C1"/>
            <w:u w:val="single"/>
          </w:rPr>
          <w:t>https://fred.stlouisfed.org/graph/?m=QzEg</w:t>
        </w:r>
      </w:hyperlink>
    </w:p>
    <w:p>
      <w:pPr>
        <w:pStyle w:val="ListBullet"/>
        <w:spacing w:line="240" w:lineRule="auto"/>
      </w:pPr>
      <w:r>
        <w:t xml:space="preserve">S&amp;P CoreLogic Case-Shiller U.S. National Home Price Index (CSUSHPINSA). </w:t>
      </w:r>
      <w:hyperlink r:id="rId27">
        <w:r>
          <w:rPr>
            <w:color w:val="0563C1"/>
            <w:u w:val="single"/>
          </w:rPr>
          <w:t>https://fred.stlouisfed.org/series/CSUSHPINSA</w:t>
        </w:r>
      </w:hyperlink>
    </w:p>
    <w:p>
      <w:pPr>
        <w:pStyle w:val="ListBullet"/>
        <w:spacing w:line="240" w:lineRule="auto"/>
      </w:pPr>
      <w:r>
        <w:t xml:space="preserve">Federal Housing Finance Agency National, State, and County HPI. </w:t>
      </w:r>
      <w:hyperlink r:id="rId28">
        <w:r>
          <w:rPr>
            <w:color w:val="0563C1"/>
            <w:u w:val="single"/>
          </w:rPr>
          <w:t>https://www.fhfa.gov/data/hpi/datasets?tab=annual-data</w:t>
        </w:r>
      </w:hyperlink>
    </w:p>
    <w:p>
      <w:pPr>
        <w:pStyle w:val="ListBullet"/>
        <w:spacing w:line="240" w:lineRule="auto"/>
      </w:pPr>
      <w:r>
        <w:t xml:space="preserve">Real Median Household Income in the United States (MEHOINUSA672N). </w:t>
      </w:r>
      <w:hyperlink r:id="rId29">
        <w:r>
          <w:rPr>
            <w:color w:val="0563C1"/>
            <w:u w:val="single"/>
          </w:rPr>
          <w:t>https://fred.stlouisfed.org/series/MEHOINUSA672N</w:t>
        </w:r>
      </w:hyperlink>
    </w:p>
    <w:p>
      <w:pPr>
        <w:pStyle w:val="ListBullet"/>
        <w:spacing w:line="240" w:lineRule="auto"/>
      </w:pPr>
      <w:r>
        <w:t xml:space="preserve">30-Year Fixed Rate Mortgage Average in the United States (MORTGAGE30US). </w:t>
      </w:r>
      <w:hyperlink r:id="rId30">
        <w:r>
          <w:rPr>
            <w:color w:val="0563C1"/>
            <w:u w:val="single"/>
          </w:rPr>
          <w:t>https://fred.stlouisfed.org/series/MORTGAGE30US</w:t>
        </w:r>
      </w:hyperlink>
    </w:p>
    <w:p>
      <w:pPr>
        <w:pStyle w:val="ListBullet"/>
        <w:spacing w:line="240" w:lineRule="auto"/>
      </w:pPr>
      <w:r>
        <w:t xml:space="preserve">Housing Affordability Index (Fixed) (FIXHAI). </w:t>
      </w:r>
      <w:hyperlink r:id="rId31">
        <w:r>
          <w:rPr>
            <w:color w:val="0563C1"/>
            <w:u w:val="single"/>
          </w:rPr>
          <w:t>https://fred.stlouisfed.org/series/FIXHAI</w:t>
        </w:r>
      </w:hyperlink>
    </w:p>
    <w:p>
      <w:pPr>
        <w:pStyle w:val="ListBullet"/>
        <w:spacing w:line="240" w:lineRule="auto"/>
      </w:pPr>
      <w:r>
        <w:t xml:space="preserve">Gross Rent as a Percentage of Household Income in the Past 12 Months. </w:t>
      </w:r>
      <w:hyperlink r:id="rId32">
        <w:r>
          <w:rPr>
            <w:color w:val="0563C1"/>
            <w:u w:val="single"/>
          </w:rPr>
          <w:t>https://data.census.gov/table/ACSDT1Y2024.B25070</w:t>
        </w:r>
      </w:hyperlink>
    </w:p>
    <w:p>
      <w:pPr>
        <w:pStyle w:val="ListBullet"/>
        <w:spacing w:line="240" w:lineRule="auto"/>
      </w:pPr>
      <w:r>
        <w:t xml:space="preserve">Consumer Price Index for All Urban Consumers: Purchasing Power of the Consumer Dollar in U.S. City Average (CUUR0000SA0R). </w:t>
      </w:r>
      <w:hyperlink r:id="rId33">
        <w:r>
          <w:rPr>
            <w:color w:val="0563C1"/>
            <w:u w:val="single"/>
          </w:rPr>
          <w:t>https://fred.stlouisfed.org/series/CUUR0000SA0R</w:t>
        </w:r>
      </w:hyperlink>
    </w:p>
    <w:p>
      <w:pPr>
        <w:pStyle w:val="ListBullet"/>
        <w:spacing w:line="240" w:lineRule="auto"/>
      </w:pPr>
      <w:r>
        <w:t xml:space="preserve">Consumer Price Index for All Urban Consumers: Rent of Primary Residence in U.S. City Average (CUSR0000SEHA). </w:t>
      </w:r>
      <w:hyperlink r:id="rId34">
        <w:r>
          <w:rPr>
            <w:color w:val="0563C1"/>
            <w:u w:val="single"/>
          </w:rPr>
          <w:t>https://fred.stlouisfed.org/series/CUSR0000SEHA</w:t>
        </w:r>
      </w:hyperlink>
    </w:p>
    <w:p>
      <w:r>
        <w:rPr>
          <w:b/>
          <w:i w:val="0"/>
        </w:rPr>
        <w:t>Interactive Dashboard (Tableau Public)</w:t>
      </w:r>
    </w:p>
    <w:p>
      <w:pPr>
        <w:pStyle w:val="ListBullet"/>
        <w:spacing w:line="240" w:lineRule="auto"/>
      </w:pPr>
      <w:r>
        <w:t xml:space="preserve">US Housing Affordability Crisis 2000-2024 – Buy vs. Rent Dynamics, Part 1. </w:t>
      </w:r>
      <w:hyperlink r:id="rId35">
        <w:r>
          <w:rPr>
            <w:color w:val="0563C1"/>
            <w:u w:val="single"/>
          </w:rPr>
          <w:t>https://public.tableau.com/views/USHousingAffordabilityCrisis20002024Buyvs_RentDynamicsPt_1/USHousingAffordabilityCrisis20002024Buyvs_RentDynamicsPt_1</w:t>
        </w:r>
      </w:hyperlink>
    </w:p>
    <w:p>
      <w:pPr>
        <w:pStyle w:val="ListBullet"/>
        <w:spacing w:line="240" w:lineRule="auto"/>
      </w:pPr>
      <w:r>
        <w:t xml:space="preserve">US Housing Affordability Crisis 2000-2024 – Buy vs. Rent Dynamics, Part 2. </w:t>
      </w:r>
      <w:hyperlink r:id="rId36">
        <w:r>
          <w:rPr>
            <w:color w:val="0563C1"/>
            <w:u w:val="single"/>
          </w:rPr>
          <w:t>https://public.tableau.com/app/profile/adam.torres5234/viz/USHousingAffordabilityCrisis20002024Buyvs_RentDynamicsPt_2/USHousingAffordabilityCrisis20002024Buyvs_RentDynamicsPt_2</w:t>
        </w:r>
      </w:hyperlink>
    </w:p>
    <w:p>
      <w:pPr>
        <w:pStyle w:val="Heading1"/>
        <w:pageBreakBefore/>
      </w:pPr>
      <w:r>
        <w:rPr>
          <w:rFonts w:ascii="Times New Roman" w:hAnsi="Times New Roman"/>
          <w:color w:val="000000"/>
        </w:rPr>
        <w:t>Appendix A. Supporting Tables</w:t>
      </w:r>
    </w:p>
    <w:p>
      <w:r>
        <w:rPr>
          <w:b/>
          <w:i w:val="0"/>
        </w:rPr>
        <w:t>A.1 Summary statistics for key variables.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after="0"/>
            </w:pPr>
            <w:r>
              <w:rPr>
                <w:b/>
                <w:sz w:val="20"/>
              </w:rPr>
              <w:t>Variable</w:t>
            </w:r>
          </w:p>
        </w:tc>
        <w:tc>
          <w:tcPr>
            <w:tcW w:type="dxa" w:w="1234"/>
          </w:tcPr>
          <w:p>
            <w:pPr>
              <w:spacing w:line="240" w:lineRule="auto" w:after="0"/>
            </w:pPr>
            <w:r>
              <w:rPr>
                <w:b/>
                <w:sz w:val="20"/>
              </w:rPr>
              <w:t>N</w:t>
            </w:r>
          </w:p>
        </w:tc>
        <w:tc>
          <w:tcPr>
            <w:tcW w:type="dxa" w:w="1234"/>
          </w:tcPr>
          <w:p>
            <w:pPr>
              <w:spacing w:line="240" w:lineRule="auto" w:after="0"/>
            </w:pPr>
            <w:r>
              <w:rPr>
                <w:b/>
                <w:sz w:val="20"/>
              </w:rPr>
              <w:t>Mean</w:t>
            </w:r>
          </w:p>
        </w:tc>
        <w:tc>
          <w:tcPr>
            <w:tcW w:type="dxa" w:w="1234"/>
          </w:tcPr>
          <w:p>
            <w:pPr>
              <w:spacing w:line="240" w:lineRule="auto" w:after="0"/>
            </w:pPr>
            <w:r>
              <w:rPr>
                <w:b/>
                <w:sz w:val="20"/>
              </w:rPr>
              <w:t>Median</w:t>
            </w:r>
          </w:p>
        </w:tc>
        <w:tc>
          <w:tcPr>
            <w:tcW w:type="dxa" w:w="1234"/>
          </w:tcPr>
          <w:p>
            <w:pPr>
              <w:spacing w:line="240" w:lineRule="auto" w:after="0"/>
            </w:pPr>
            <w:r>
              <w:rPr>
                <w:b/>
                <w:sz w:val="20"/>
              </w:rPr>
              <w:t>Std</w:t>
            </w:r>
          </w:p>
        </w:tc>
        <w:tc>
          <w:tcPr>
            <w:tcW w:type="dxa" w:w="1234"/>
          </w:tcPr>
          <w:p>
            <w:pPr>
              <w:spacing w:line="240" w:lineRule="auto" w:after="0"/>
            </w:pPr>
            <w:r>
              <w:rPr>
                <w:b/>
                <w:sz w:val="20"/>
              </w:rPr>
              <w:t>Min</w:t>
            </w:r>
          </w:p>
        </w:tc>
        <w:tc>
          <w:tcPr>
            <w:tcW w:type="dxa" w:w="1234"/>
          </w:tcPr>
          <w:p>
            <w:pPr>
              <w:spacing w:line="240" w:lineRule="auto" w:after="0"/>
            </w:pPr>
            <w:r>
              <w:rPr>
                <w:b/>
                <w:sz w:val="20"/>
              </w:rPr>
              <w:t>Max</w:t>
            </w:r>
          </w:p>
        </w:tc>
      </w:tr>
      <w:tr>
        <w:tc>
          <w:tcPr>
            <w:tcW w:type="dxa" w:w="1234"/>
          </w:tcPr>
          <w:p>
            <w:pPr>
              <w:spacing w:line="240" w:lineRule="auto" w:after="0"/>
            </w:pPr>
            <w:r>
              <w:rPr>
                <w:sz w:val="20"/>
              </w:rPr>
              <w:t>fmr_2br (USD)</w:t>
            </w:r>
          </w:p>
        </w:tc>
        <w:tc>
          <w:tcPr>
            <w:tcW w:type="dxa" w:w="1234"/>
          </w:tcPr>
          <w:p>
            <w:pPr>
              <w:spacing w:line="240" w:lineRule="auto" w:after="0"/>
            </w:pPr>
            <w:r>
              <w:rPr>
                <w:sz w:val="20"/>
              </w:rPr>
              <w:t>118766</w:t>
            </w:r>
          </w:p>
        </w:tc>
        <w:tc>
          <w:tcPr>
            <w:tcW w:type="dxa" w:w="1234"/>
          </w:tcPr>
          <w:p>
            <w:pPr>
              <w:spacing w:line="240" w:lineRule="auto" w:after="0"/>
            </w:pPr>
            <w:r>
              <w:rPr>
                <w:sz w:val="20"/>
              </w:rPr>
              <w:t>777.62</w:t>
            </w:r>
          </w:p>
        </w:tc>
        <w:tc>
          <w:tcPr>
            <w:tcW w:type="dxa" w:w="1234"/>
          </w:tcPr>
          <w:p>
            <w:pPr>
              <w:spacing w:line="240" w:lineRule="auto" w:after="0"/>
            </w:pPr>
            <w:r>
              <w:rPr>
                <w:sz w:val="20"/>
              </w:rPr>
              <w:t>700.00</w:t>
            </w:r>
          </w:p>
        </w:tc>
        <w:tc>
          <w:tcPr>
            <w:tcW w:type="dxa" w:w="1234"/>
          </w:tcPr>
          <w:p>
            <w:pPr>
              <w:spacing w:line="240" w:lineRule="auto" w:after="0"/>
            </w:pPr>
            <w:r>
              <w:rPr>
                <w:sz w:val="20"/>
              </w:rPr>
              <w:t>318.21</w:t>
            </w:r>
          </w:p>
        </w:tc>
        <w:tc>
          <w:tcPr>
            <w:tcW w:type="dxa" w:w="1234"/>
          </w:tcPr>
          <w:p>
            <w:pPr>
              <w:spacing w:line="240" w:lineRule="auto" w:after="0"/>
            </w:pPr>
            <w:r>
              <w:rPr>
                <w:sz w:val="20"/>
              </w:rPr>
              <w:t>289.00</w:t>
            </w:r>
          </w:p>
        </w:tc>
        <w:tc>
          <w:tcPr>
            <w:tcW w:type="dxa" w:w="1234"/>
          </w:tcPr>
          <w:p>
            <w:pPr>
              <w:spacing w:line="240" w:lineRule="auto" w:after="0"/>
            </w:pPr>
            <w:r>
              <w:rPr>
                <w:sz w:val="20"/>
              </w:rPr>
              <w:t>4,054.00</w:t>
            </w:r>
          </w:p>
        </w:tc>
      </w:tr>
      <w:tr>
        <w:tc>
          <w:tcPr>
            <w:tcW w:type="dxa" w:w="1234"/>
          </w:tcPr>
          <w:p>
            <w:pPr>
              <w:spacing w:line="240" w:lineRule="auto" w:after="0"/>
            </w:pPr>
            <w:r>
              <w:rPr>
                <w:sz w:val="20"/>
              </w:rPr>
              <w:t>hpi_sa (index)</w:t>
            </w:r>
          </w:p>
        </w:tc>
        <w:tc>
          <w:tcPr>
            <w:tcW w:type="dxa" w:w="1234"/>
          </w:tcPr>
          <w:p>
            <w:pPr>
              <w:spacing w:line="240" w:lineRule="auto" w:after="0"/>
            </w:pPr>
            <w:r>
              <w:rPr>
                <w:sz w:val="20"/>
              </w:rPr>
              <w:t>17066</w:t>
            </w:r>
          </w:p>
        </w:tc>
        <w:tc>
          <w:tcPr>
            <w:tcW w:type="dxa" w:w="1234"/>
          </w:tcPr>
          <w:p>
            <w:pPr>
              <w:spacing w:line="240" w:lineRule="auto" w:after="0"/>
            </w:pPr>
            <w:r>
              <w:rPr>
                <w:sz w:val="20"/>
              </w:rPr>
              <w:t>254.21</w:t>
            </w:r>
          </w:p>
        </w:tc>
        <w:tc>
          <w:tcPr>
            <w:tcW w:type="dxa" w:w="1234"/>
          </w:tcPr>
          <w:p>
            <w:pPr>
              <w:spacing w:line="240" w:lineRule="auto" w:after="0"/>
            </w:pPr>
            <w:r>
              <w:rPr>
                <w:sz w:val="20"/>
              </w:rPr>
              <w:t>218.10</w:t>
            </w:r>
          </w:p>
        </w:tc>
        <w:tc>
          <w:tcPr>
            <w:tcW w:type="dxa" w:w="1234"/>
          </w:tcPr>
          <w:p>
            <w:pPr>
              <w:spacing w:line="240" w:lineRule="auto" w:after="0"/>
            </w:pPr>
            <w:r>
              <w:rPr>
                <w:sz w:val="20"/>
              </w:rPr>
              <w:t>111.67</w:t>
            </w:r>
          </w:p>
        </w:tc>
        <w:tc>
          <w:tcPr>
            <w:tcW w:type="dxa" w:w="1234"/>
          </w:tcPr>
          <w:p>
            <w:pPr>
              <w:spacing w:line="240" w:lineRule="auto" w:after="0"/>
            </w:pPr>
            <w:r>
              <w:rPr>
                <w:sz w:val="20"/>
              </w:rPr>
              <w:t>89.97</w:t>
            </w:r>
          </w:p>
        </w:tc>
        <w:tc>
          <w:tcPr>
            <w:tcW w:type="dxa" w:w="1234"/>
          </w:tcPr>
          <w:p>
            <w:pPr>
              <w:spacing w:line="240" w:lineRule="auto" w:after="0"/>
            </w:pPr>
            <w:r>
              <w:rPr>
                <w:sz w:val="20"/>
              </w:rPr>
              <w:t>805.40</w:t>
            </w:r>
          </w:p>
        </w:tc>
      </w:tr>
      <w:tr>
        <w:tc>
          <w:tcPr>
            <w:tcW w:type="dxa" w:w="1234"/>
          </w:tcPr>
          <w:p>
            <w:pPr>
              <w:spacing w:line="240" w:lineRule="auto" w:after="0"/>
            </w:pPr>
            <w:r>
              <w:rPr>
                <w:sz w:val="20"/>
              </w:rPr>
              <w:t>mortgage_rate (%)</w:t>
            </w:r>
          </w:p>
        </w:tc>
        <w:tc>
          <w:tcPr>
            <w:tcW w:type="dxa" w:w="1234"/>
          </w:tcPr>
          <w:p>
            <w:pPr>
              <w:spacing w:line="240" w:lineRule="auto" w:after="0"/>
            </w:pPr>
            <w:r>
              <w:rPr>
                <w:sz w:val="20"/>
              </w:rPr>
              <w:t>25</w:t>
            </w:r>
          </w:p>
        </w:tc>
        <w:tc>
          <w:tcPr>
            <w:tcW w:type="dxa" w:w="1234"/>
          </w:tcPr>
          <w:p>
            <w:pPr>
              <w:spacing w:line="240" w:lineRule="auto" w:after="0"/>
            </w:pPr>
            <w:r>
              <w:rPr>
                <w:sz w:val="20"/>
              </w:rPr>
              <w:t>5.15</w:t>
            </w:r>
          </w:p>
        </w:tc>
        <w:tc>
          <w:tcPr>
            <w:tcW w:type="dxa" w:w="1234"/>
          </w:tcPr>
          <w:p>
            <w:pPr>
              <w:spacing w:line="240" w:lineRule="auto" w:after="0"/>
            </w:pPr>
            <w:r>
              <w:rPr>
                <w:sz w:val="20"/>
              </w:rPr>
              <w:t>5.04</w:t>
            </w:r>
          </w:p>
        </w:tc>
        <w:tc>
          <w:tcPr>
            <w:tcW w:type="dxa" w:w="1234"/>
          </w:tcPr>
          <w:p>
            <w:pPr>
              <w:spacing w:line="240" w:lineRule="auto" w:after="0"/>
            </w:pPr>
            <w:r>
              <w:rPr>
                <w:sz w:val="20"/>
              </w:rPr>
              <w:t>1.38</w:t>
            </w:r>
          </w:p>
        </w:tc>
        <w:tc>
          <w:tcPr>
            <w:tcW w:type="dxa" w:w="1234"/>
          </w:tcPr>
          <w:p>
            <w:pPr>
              <w:spacing w:line="240" w:lineRule="auto" w:after="0"/>
            </w:pPr>
            <w:r>
              <w:rPr>
                <w:sz w:val="20"/>
              </w:rPr>
              <w:t>2.96</w:t>
            </w:r>
          </w:p>
        </w:tc>
        <w:tc>
          <w:tcPr>
            <w:tcW w:type="dxa" w:w="1234"/>
          </w:tcPr>
          <w:p>
            <w:pPr>
              <w:spacing w:line="240" w:lineRule="auto" w:after="0"/>
            </w:pPr>
            <w:r>
              <w:rPr>
                <w:sz w:val="20"/>
              </w:rPr>
              <w:t>8.05</w:t>
            </w:r>
          </w:p>
        </w:tc>
      </w:tr>
      <w:tr>
        <w:tc>
          <w:tcPr>
            <w:tcW w:type="dxa" w:w="1234"/>
          </w:tcPr>
          <w:p>
            <w:pPr>
              <w:spacing w:line="240" w:lineRule="auto" w:after="0"/>
            </w:pPr>
            <w:r>
              <w:rPr>
                <w:sz w:val="20"/>
              </w:rPr>
              <w:t>cpi_all (1982-84=100)</w:t>
            </w:r>
          </w:p>
        </w:tc>
        <w:tc>
          <w:tcPr>
            <w:tcW w:type="dxa" w:w="1234"/>
          </w:tcPr>
          <w:p>
            <w:pPr>
              <w:spacing w:line="240" w:lineRule="auto" w:after="0"/>
            </w:pPr>
            <w:r>
              <w:rPr>
                <w:sz w:val="20"/>
              </w:rPr>
              <w:t>25</w:t>
            </w:r>
          </w:p>
        </w:tc>
        <w:tc>
          <w:tcPr>
            <w:tcW w:type="dxa" w:w="1234"/>
          </w:tcPr>
          <w:p>
            <w:pPr>
              <w:spacing w:line="240" w:lineRule="auto" w:after="0"/>
            </w:pPr>
            <w:r>
              <w:rPr>
                <w:sz w:val="20"/>
              </w:rPr>
              <w:t>229.90</w:t>
            </w:r>
          </w:p>
        </w:tc>
        <w:tc>
          <w:tcPr>
            <w:tcW w:type="dxa" w:w="1234"/>
          </w:tcPr>
          <w:p>
            <w:pPr>
              <w:spacing w:line="240" w:lineRule="auto" w:after="0"/>
            </w:pPr>
            <w:r>
              <w:rPr>
                <w:sz w:val="20"/>
              </w:rPr>
              <w:t>229.62</w:t>
            </w:r>
          </w:p>
        </w:tc>
        <w:tc>
          <w:tcPr>
            <w:tcW w:type="dxa" w:w="1234"/>
          </w:tcPr>
          <w:p>
            <w:pPr>
              <w:spacing w:line="240" w:lineRule="auto" w:after="0"/>
            </w:pPr>
            <w:r>
              <w:rPr>
                <w:sz w:val="20"/>
              </w:rPr>
              <w:t>38.81</w:t>
            </w:r>
          </w:p>
        </w:tc>
        <w:tc>
          <w:tcPr>
            <w:tcW w:type="dxa" w:w="1234"/>
          </w:tcPr>
          <w:p>
            <w:pPr>
              <w:spacing w:line="240" w:lineRule="auto" w:after="0"/>
            </w:pPr>
            <w:r>
              <w:rPr>
                <w:sz w:val="20"/>
              </w:rPr>
              <w:t>172.17</w:t>
            </w:r>
          </w:p>
        </w:tc>
        <w:tc>
          <w:tcPr>
            <w:tcW w:type="dxa" w:w="1234"/>
          </w:tcPr>
          <w:p>
            <w:pPr>
              <w:spacing w:line="240" w:lineRule="auto" w:after="0"/>
            </w:pPr>
            <w:r>
              <w:rPr>
                <w:sz w:val="20"/>
              </w:rPr>
              <w:t>313.73</w:t>
            </w:r>
          </w:p>
        </w:tc>
      </w:tr>
      <w:tr>
        <w:tc>
          <w:tcPr>
            <w:tcW w:type="dxa" w:w="1234"/>
          </w:tcPr>
          <w:p>
            <w:pPr>
              <w:spacing w:line="240" w:lineRule="auto" w:after="0"/>
            </w:pPr>
            <w:r>
              <w:rPr>
                <w:sz w:val="20"/>
              </w:rPr>
              <w:t>median_household_income (USD)</w:t>
            </w:r>
          </w:p>
        </w:tc>
        <w:tc>
          <w:tcPr>
            <w:tcW w:type="dxa" w:w="1234"/>
          </w:tcPr>
          <w:p>
            <w:pPr>
              <w:spacing w:line="240" w:lineRule="auto" w:after="0"/>
            </w:pPr>
            <w:r>
              <w:rPr>
                <w:sz w:val="20"/>
              </w:rPr>
              <w:t>25</w:t>
            </w:r>
          </w:p>
        </w:tc>
        <w:tc>
          <w:tcPr>
            <w:tcW w:type="dxa" w:w="1234"/>
          </w:tcPr>
          <w:p>
            <w:pPr>
              <w:spacing w:line="240" w:lineRule="auto" w:after="0"/>
            </w:pPr>
            <w:r>
              <w:rPr>
                <w:sz w:val="20"/>
              </w:rPr>
              <w:t>75,631.20</w:t>
            </w:r>
          </w:p>
        </w:tc>
        <w:tc>
          <w:tcPr>
            <w:tcW w:type="dxa" w:w="1234"/>
          </w:tcPr>
          <w:p>
            <w:pPr>
              <w:spacing w:line="240" w:lineRule="auto" w:after="0"/>
            </w:pPr>
            <w:r>
              <w:rPr>
                <w:sz w:val="20"/>
              </w:rPr>
              <w:t>73,560.00</w:t>
            </w:r>
          </w:p>
        </w:tc>
        <w:tc>
          <w:tcPr>
            <w:tcW w:type="dxa" w:w="1234"/>
          </w:tcPr>
          <w:p>
            <w:pPr>
              <w:spacing w:line="240" w:lineRule="auto" w:after="0"/>
            </w:pPr>
            <w:r>
              <w:rPr>
                <w:sz w:val="20"/>
              </w:rPr>
              <w:t>5,428.59</w:t>
            </w:r>
          </w:p>
        </w:tc>
        <w:tc>
          <w:tcPr>
            <w:tcW w:type="dxa" w:w="1234"/>
          </w:tcPr>
          <w:p>
            <w:pPr>
              <w:spacing w:line="240" w:lineRule="auto" w:after="0"/>
            </w:pPr>
            <w:r>
              <w:rPr>
                <w:sz w:val="20"/>
              </w:rPr>
              <w:t>69,070.00</w:t>
            </w:r>
          </w:p>
        </w:tc>
        <w:tc>
          <w:tcPr>
            <w:tcW w:type="dxa" w:w="1234"/>
          </w:tcPr>
          <w:p>
            <w:pPr>
              <w:spacing w:line="240" w:lineRule="auto" w:after="0"/>
            </w:pPr>
            <w:r>
              <w:rPr>
                <w:sz w:val="20"/>
              </w:rPr>
              <w:t>85,320.00</w:t>
            </w:r>
          </w:p>
        </w:tc>
      </w:tr>
      <w:tr>
        <w:tc>
          <w:tcPr>
            <w:tcW w:type="dxa" w:w="1234"/>
          </w:tcPr>
          <w:p>
            <w:pPr>
              <w:spacing w:line="240" w:lineRule="auto" w:after="0"/>
            </w:pPr>
            <w:r>
              <w:rPr>
                <w:sz w:val="20"/>
              </w:rPr>
              <w:t>median_sale_price (USD)</w:t>
            </w:r>
          </w:p>
        </w:tc>
        <w:tc>
          <w:tcPr>
            <w:tcW w:type="dxa" w:w="1234"/>
          </w:tcPr>
          <w:p>
            <w:pPr>
              <w:spacing w:line="240" w:lineRule="auto" w:after="0"/>
            </w:pPr>
            <w:r>
              <w:rPr>
                <w:sz w:val="20"/>
              </w:rPr>
              <w:t>100</w:t>
            </w:r>
          </w:p>
        </w:tc>
        <w:tc>
          <w:tcPr>
            <w:tcW w:type="dxa" w:w="1234"/>
          </w:tcPr>
          <w:p>
            <w:pPr>
              <w:spacing w:line="240" w:lineRule="auto" w:after="0"/>
            </w:pPr>
            <w:r>
              <w:rPr>
                <w:sz w:val="20"/>
              </w:rPr>
              <w:t>313,699.25</w:t>
            </w:r>
          </w:p>
        </w:tc>
        <w:tc>
          <w:tcPr>
            <w:tcW w:type="dxa" w:w="1234"/>
          </w:tcPr>
          <w:p>
            <w:pPr>
              <w:spacing w:line="240" w:lineRule="auto" w:after="0"/>
            </w:pPr>
            <w:r>
              <w:rPr>
                <w:sz w:val="20"/>
              </w:rPr>
              <w:t>289,225.00</w:t>
            </w:r>
          </w:p>
        </w:tc>
        <w:tc>
          <w:tcPr>
            <w:tcW w:type="dxa" w:w="1234"/>
          </w:tcPr>
          <w:p>
            <w:pPr>
              <w:spacing w:line="240" w:lineRule="auto" w:after="0"/>
            </w:pPr>
            <w:r>
              <w:rPr>
                <w:sz w:val="20"/>
              </w:rPr>
              <w:t>121,507.47</w:t>
            </w:r>
          </w:p>
        </w:tc>
        <w:tc>
          <w:tcPr>
            <w:tcW w:type="dxa" w:w="1234"/>
          </w:tcPr>
          <w:p>
            <w:pPr>
              <w:spacing w:line="240" w:lineRule="auto" w:after="0"/>
            </w:pPr>
            <w:r>
              <w:rPr>
                <w:sz w:val="20"/>
              </w:rPr>
              <w:t>147,800.00</w:t>
            </w:r>
          </w:p>
        </w:tc>
        <w:tc>
          <w:tcPr>
            <w:tcW w:type="dxa" w:w="1234"/>
          </w:tcPr>
          <w:p>
            <w:pPr>
              <w:spacing w:line="240" w:lineRule="auto" w:after="0"/>
            </w:pPr>
            <w:r>
              <w:rPr>
                <w:sz w:val="20"/>
              </w:rPr>
              <w:t>768,375.00</w:t>
            </w:r>
          </w:p>
        </w:tc>
      </w:tr>
    </w:tbl>
    <w:p>
      <w:r>
        <w:rPr>
          <w:b/>
          <w:i w:val="0"/>
        </w:rPr>
        <w:t>A.2 Breakeven price-to-rent ratio for selected years (80% LTV).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after="0"/>
            </w:pPr>
            <w:r>
              <w:rPr>
                <w:b/>
                <w:sz w:val="20"/>
              </w:rPr>
              <w:t>Year</w:t>
            </w:r>
          </w:p>
        </w:tc>
        <w:tc>
          <w:tcPr>
            <w:tcW w:type="dxa" w:w="2160"/>
          </w:tcPr>
          <w:p>
            <w:pPr>
              <w:spacing w:line="240" w:lineRule="auto" w:after="0"/>
            </w:pPr>
            <w:r>
              <w:rPr>
                <w:b/>
                <w:sz w:val="20"/>
              </w:rPr>
              <w:t>Mortgage rate (%)</w:t>
            </w:r>
          </w:p>
        </w:tc>
        <w:tc>
          <w:tcPr>
            <w:tcW w:type="dxa" w:w="2160"/>
          </w:tcPr>
          <w:p>
            <w:pPr>
              <w:spacing w:line="240" w:lineRule="auto" w:after="0"/>
            </w:pPr>
            <w:r>
              <w:rPr>
                <w:b/>
                <w:sz w:val="20"/>
              </w:rPr>
              <w:t>Breakeven P/R (LTV 80)</w:t>
            </w:r>
          </w:p>
        </w:tc>
        <w:tc>
          <w:tcPr>
            <w:tcW w:type="dxa" w:w="2160"/>
          </w:tcPr>
          <w:p>
            <w:pPr>
              <w:spacing w:line="240" w:lineRule="auto" w:after="0"/>
            </w:pPr>
            <w:r>
              <w:rPr>
                <w:b/>
                <w:sz w:val="20"/>
              </w:rPr>
              <w:t>Breakeven P/R (LTV 100)</w:t>
            </w:r>
          </w:p>
        </w:tc>
      </w:tr>
      <w:tr>
        <w:tc>
          <w:tcPr>
            <w:tcW w:type="dxa" w:w="2160"/>
          </w:tcPr>
          <w:p>
            <w:pPr>
              <w:spacing w:line="240" w:lineRule="auto" w:after="0"/>
            </w:pPr>
            <w:r>
              <w:rPr>
                <w:sz w:val="20"/>
              </w:rPr>
              <w:t>2000</w:t>
            </w:r>
          </w:p>
        </w:tc>
        <w:tc>
          <w:tcPr>
            <w:tcW w:type="dxa" w:w="2160"/>
          </w:tcPr>
          <w:p>
            <w:pPr>
              <w:spacing w:line="240" w:lineRule="auto" w:after="0"/>
            </w:pPr>
            <w:r>
              <w:rPr>
                <w:sz w:val="20"/>
              </w:rPr>
              <w:t>8.05</w:t>
            </w:r>
          </w:p>
        </w:tc>
        <w:tc>
          <w:tcPr>
            <w:tcW w:type="dxa" w:w="2160"/>
          </w:tcPr>
          <w:p>
            <w:pPr>
              <w:spacing w:line="240" w:lineRule="auto" w:after="0"/>
            </w:pPr>
            <w:r>
              <w:rPr>
                <w:sz w:val="20"/>
              </w:rPr>
              <w:t>17.3</w:t>
            </w:r>
          </w:p>
        </w:tc>
        <w:tc>
          <w:tcPr>
            <w:tcW w:type="dxa" w:w="2160"/>
          </w:tcPr>
          <w:p>
            <w:pPr>
              <w:spacing w:line="240" w:lineRule="auto" w:after="0"/>
            </w:pPr>
            <w:r>
              <w:rPr>
                <w:sz w:val="20"/>
              </w:rPr>
              <w:t>13.5</w:t>
            </w:r>
          </w:p>
        </w:tc>
      </w:tr>
      <w:tr>
        <w:tc>
          <w:tcPr>
            <w:tcW w:type="dxa" w:w="2160"/>
          </w:tcPr>
          <w:p>
            <w:pPr>
              <w:spacing w:line="240" w:lineRule="auto" w:after="0"/>
            </w:pPr>
            <w:r>
              <w:rPr>
                <w:sz w:val="20"/>
              </w:rPr>
              <w:t>2005</w:t>
            </w:r>
          </w:p>
        </w:tc>
        <w:tc>
          <w:tcPr>
            <w:tcW w:type="dxa" w:w="2160"/>
          </w:tcPr>
          <w:p>
            <w:pPr>
              <w:spacing w:line="240" w:lineRule="auto" w:after="0"/>
            </w:pPr>
            <w:r>
              <w:rPr>
                <w:sz w:val="20"/>
              </w:rPr>
              <w:t>5.87</w:t>
            </w:r>
          </w:p>
        </w:tc>
        <w:tc>
          <w:tcPr>
            <w:tcW w:type="dxa" w:w="2160"/>
          </w:tcPr>
          <w:p>
            <w:pPr>
              <w:spacing w:line="240" w:lineRule="auto" w:after="0"/>
            </w:pPr>
            <w:r>
              <w:rPr>
                <w:sz w:val="20"/>
              </w:rPr>
              <w:t>24.7</w:t>
            </w:r>
          </w:p>
        </w:tc>
        <w:tc>
          <w:tcPr>
            <w:tcW w:type="dxa" w:w="2160"/>
          </w:tcPr>
          <w:p>
            <w:pPr>
              <w:spacing w:line="240" w:lineRule="auto" w:after="0"/>
            </w:pPr>
            <w:r>
              <w:rPr>
                <w:sz w:val="20"/>
              </w:rPr>
              <w:t>19.2</w:t>
            </w:r>
          </w:p>
        </w:tc>
      </w:tr>
      <w:tr>
        <w:tc>
          <w:tcPr>
            <w:tcW w:type="dxa" w:w="2160"/>
          </w:tcPr>
          <w:p>
            <w:pPr>
              <w:spacing w:line="240" w:lineRule="auto" w:after="0"/>
            </w:pPr>
            <w:r>
              <w:rPr>
                <w:sz w:val="20"/>
              </w:rPr>
              <w:t>2010</w:t>
            </w:r>
          </w:p>
        </w:tc>
        <w:tc>
          <w:tcPr>
            <w:tcW w:type="dxa" w:w="2160"/>
          </w:tcPr>
          <w:p>
            <w:pPr>
              <w:spacing w:line="240" w:lineRule="auto" w:after="0"/>
            </w:pPr>
            <w:r>
              <w:rPr>
                <w:sz w:val="20"/>
              </w:rPr>
              <w:t>4.69</w:t>
            </w:r>
          </w:p>
        </w:tc>
        <w:tc>
          <w:tcPr>
            <w:tcW w:type="dxa" w:w="2160"/>
          </w:tcPr>
          <w:p>
            <w:pPr>
              <w:spacing w:line="240" w:lineRule="auto" w:after="0"/>
            </w:pPr>
            <w:r>
              <w:rPr>
                <w:sz w:val="20"/>
              </w:rPr>
              <w:t>32.2</w:t>
            </w:r>
          </w:p>
        </w:tc>
        <w:tc>
          <w:tcPr>
            <w:tcW w:type="dxa" w:w="2160"/>
          </w:tcPr>
          <w:p>
            <w:pPr>
              <w:spacing w:line="240" w:lineRule="auto" w:after="0"/>
            </w:pPr>
            <w:r>
              <w:rPr>
                <w:sz w:val="20"/>
              </w:rPr>
              <w:t>24.8</w:t>
            </w:r>
          </w:p>
        </w:tc>
      </w:tr>
      <w:tr>
        <w:tc>
          <w:tcPr>
            <w:tcW w:type="dxa" w:w="2160"/>
          </w:tcPr>
          <w:p>
            <w:pPr>
              <w:spacing w:line="240" w:lineRule="auto" w:after="0"/>
            </w:pPr>
            <w:r>
              <w:rPr>
                <w:sz w:val="20"/>
              </w:rPr>
              <w:t>2015</w:t>
            </w:r>
          </w:p>
        </w:tc>
        <w:tc>
          <w:tcPr>
            <w:tcW w:type="dxa" w:w="2160"/>
          </w:tcPr>
          <w:p>
            <w:pPr>
              <w:spacing w:line="240" w:lineRule="auto" w:after="0"/>
            </w:pPr>
            <w:r>
              <w:rPr>
                <w:sz w:val="20"/>
              </w:rPr>
              <w:t>3.85</w:t>
            </w:r>
          </w:p>
        </w:tc>
        <w:tc>
          <w:tcPr>
            <w:tcW w:type="dxa" w:w="2160"/>
          </w:tcPr>
          <w:p>
            <w:pPr>
              <w:spacing w:line="240" w:lineRule="auto" w:after="0"/>
            </w:pPr>
            <w:r>
              <w:rPr>
                <w:sz w:val="20"/>
              </w:rPr>
              <w:t>41.1</w:t>
            </w:r>
          </w:p>
        </w:tc>
        <w:tc>
          <w:tcPr>
            <w:tcW w:type="dxa" w:w="2160"/>
          </w:tcPr>
          <w:p>
            <w:pPr>
              <w:spacing w:line="240" w:lineRule="auto" w:after="0"/>
            </w:pPr>
            <w:r>
              <w:rPr>
                <w:sz w:val="20"/>
              </w:rPr>
              <w:t>31.2</w:t>
            </w:r>
          </w:p>
        </w:tc>
      </w:tr>
      <w:tr>
        <w:tc>
          <w:tcPr>
            <w:tcW w:type="dxa" w:w="2160"/>
          </w:tcPr>
          <w:p>
            <w:pPr>
              <w:spacing w:line="240" w:lineRule="auto" w:after="0"/>
            </w:pPr>
            <w:r>
              <w:rPr>
                <w:sz w:val="20"/>
              </w:rPr>
              <w:t>2020</w:t>
            </w:r>
          </w:p>
        </w:tc>
        <w:tc>
          <w:tcPr>
            <w:tcW w:type="dxa" w:w="2160"/>
          </w:tcPr>
          <w:p>
            <w:pPr>
              <w:spacing w:line="240" w:lineRule="auto" w:after="0"/>
            </w:pPr>
            <w:r>
              <w:rPr>
                <w:sz w:val="20"/>
              </w:rPr>
              <w:t>3.11</w:t>
            </w:r>
          </w:p>
        </w:tc>
        <w:tc>
          <w:tcPr>
            <w:tcW w:type="dxa" w:w="2160"/>
          </w:tcPr>
          <w:p>
            <w:pPr>
              <w:spacing w:line="240" w:lineRule="auto" w:after="0"/>
            </w:pPr>
            <w:r>
              <w:rPr>
                <w:sz w:val="20"/>
              </w:rPr>
              <w:t>54.4</w:t>
            </w:r>
          </w:p>
        </w:tc>
        <w:tc>
          <w:tcPr>
            <w:tcW w:type="dxa" w:w="2160"/>
          </w:tcPr>
          <w:p>
            <w:pPr>
              <w:spacing w:line="240" w:lineRule="auto" w:after="0"/>
            </w:pPr>
            <w:r>
              <w:rPr>
                <w:sz w:val="20"/>
              </w:rPr>
              <w:t>40.6</w:t>
            </w:r>
          </w:p>
        </w:tc>
      </w:tr>
      <w:tr>
        <w:tc>
          <w:tcPr>
            <w:tcW w:type="dxa" w:w="2160"/>
          </w:tcPr>
          <w:p>
            <w:pPr>
              <w:spacing w:line="240" w:lineRule="auto" w:after="0"/>
            </w:pPr>
            <w:r>
              <w:rPr>
                <w:sz w:val="20"/>
              </w:rPr>
              <w:t>2021</w:t>
            </w:r>
          </w:p>
        </w:tc>
        <w:tc>
          <w:tcPr>
            <w:tcW w:type="dxa" w:w="2160"/>
          </w:tcPr>
          <w:p>
            <w:pPr>
              <w:spacing w:line="240" w:lineRule="auto" w:after="0"/>
            </w:pPr>
            <w:r>
              <w:rPr>
                <w:sz w:val="20"/>
              </w:rPr>
              <w:t>2.96</w:t>
            </w:r>
          </w:p>
        </w:tc>
        <w:tc>
          <w:tcPr>
            <w:tcW w:type="dxa" w:w="2160"/>
          </w:tcPr>
          <w:p>
            <w:pPr>
              <w:spacing w:line="240" w:lineRule="auto" w:after="0"/>
            </w:pPr>
            <w:r>
              <w:rPr>
                <w:sz w:val="20"/>
              </w:rPr>
              <w:t>58.3</w:t>
            </w:r>
          </w:p>
        </w:tc>
        <w:tc>
          <w:tcPr>
            <w:tcW w:type="dxa" w:w="2160"/>
          </w:tcPr>
          <w:p>
            <w:pPr>
              <w:spacing w:line="240" w:lineRule="auto" w:after="0"/>
            </w:pPr>
            <w:r>
              <w:rPr>
                <w:sz w:val="20"/>
              </w:rPr>
              <w:t>43.3</w:t>
            </w:r>
          </w:p>
        </w:tc>
      </w:tr>
      <w:tr>
        <w:tc>
          <w:tcPr>
            <w:tcW w:type="dxa" w:w="2160"/>
          </w:tcPr>
          <w:p>
            <w:pPr>
              <w:spacing w:line="240" w:lineRule="auto" w:after="0"/>
            </w:pPr>
            <w:r>
              <w:rPr>
                <w:sz w:val="20"/>
              </w:rPr>
              <w:t>2022</w:t>
            </w:r>
          </w:p>
        </w:tc>
        <w:tc>
          <w:tcPr>
            <w:tcW w:type="dxa" w:w="2160"/>
          </w:tcPr>
          <w:p>
            <w:pPr>
              <w:spacing w:line="240" w:lineRule="auto" w:after="0"/>
            </w:pPr>
            <w:r>
              <w:rPr>
                <w:sz w:val="20"/>
              </w:rPr>
              <w:t>5.34</w:t>
            </w:r>
          </w:p>
        </w:tc>
        <w:tc>
          <w:tcPr>
            <w:tcW w:type="dxa" w:w="2160"/>
          </w:tcPr>
          <w:p>
            <w:pPr>
              <w:spacing w:line="240" w:lineRule="auto" w:after="0"/>
            </w:pPr>
            <w:r>
              <w:rPr>
                <w:sz w:val="20"/>
              </w:rPr>
              <w:t>27.6</w:t>
            </w:r>
          </w:p>
        </w:tc>
        <w:tc>
          <w:tcPr>
            <w:tcW w:type="dxa" w:w="2160"/>
          </w:tcPr>
          <w:p>
            <w:pPr>
              <w:spacing w:line="240" w:lineRule="auto" w:after="0"/>
            </w:pPr>
            <w:r>
              <w:rPr>
                <w:sz w:val="20"/>
              </w:rPr>
              <w:t>21.3</w:t>
            </w:r>
          </w:p>
        </w:tc>
      </w:tr>
      <w:tr>
        <w:tc>
          <w:tcPr>
            <w:tcW w:type="dxa" w:w="2160"/>
          </w:tcPr>
          <w:p>
            <w:pPr>
              <w:spacing w:line="240" w:lineRule="auto" w:after="0"/>
            </w:pPr>
            <w:r>
              <w:rPr>
                <w:sz w:val="20"/>
              </w:rPr>
              <w:t>2023</w:t>
            </w:r>
          </w:p>
        </w:tc>
        <w:tc>
          <w:tcPr>
            <w:tcW w:type="dxa" w:w="2160"/>
          </w:tcPr>
          <w:p>
            <w:pPr>
              <w:spacing w:line="240" w:lineRule="auto" w:after="0"/>
            </w:pPr>
            <w:r>
              <w:rPr>
                <w:sz w:val="20"/>
              </w:rPr>
              <w:t>6.81</w:t>
            </w:r>
          </w:p>
        </w:tc>
        <w:tc>
          <w:tcPr>
            <w:tcW w:type="dxa" w:w="2160"/>
          </w:tcPr>
          <w:p>
            <w:pPr>
              <w:spacing w:line="240" w:lineRule="auto" w:after="0"/>
            </w:pPr>
            <w:r>
              <w:rPr>
                <w:sz w:val="20"/>
              </w:rPr>
              <w:t>20.9</w:t>
            </w:r>
          </w:p>
        </w:tc>
        <w:tc>
          <w:tcPr>
            <w:tcW w:type="dxa" w:w="2160"/>
          </w:tcPr>
          <w:p>
            <w:pPr>
              <w:spacing w:line="240" w:lineRule="auto" w:after="0"/>
            </w:pPr>
            <w:r>
              <w:rPr>
                <w:sz w:val="20"/>
              </w:rPr>
              <w:t>16.2</w:t>
            </w:r>
          </w:p>
        </w:tc>
      </w:tr>
      <w:tr>
        <w:tc>
          <w:tcPr>
            <w:tcW w:type="dxa" w:w="2160"/>
          </w:tcPr>
          <w:p>
            <w:pPr>
              <w:spacing w:line="240" w:lineRule="auto" w:after="0"/>
            </w:pPr>
            <w:r>
              <w:rPr>
                <w:sz w:val="20"/>
              </w:rPr>
              <w:t>2024</w:t>
            </w:r>
          </w:p>
        </w:tc>
        <w:tc>
          <w:tcPr>
            <w:tcW w:type="dxa" w:w="2160"/>
          </w:tcPr>
          <w:p>
            <w:pPr>
              <w:spacing w:line="240" w:lineRule="auto" w:after="0"/>
            </w:pPr>
            <w:r>
              <w:rPr>
                <w:sz w:val="20"/>
              </w:rPr>
              <w:t>6.72</w:t>
            </w:r>
          </w:p>
        </w:tc>
        <w:tc>
          <w:tcPr>
            <w:tcW w:type="dxa" w:w="2160"/>
          </w:tcPr>
          <w:p>
            <w:pPr>
              <w:spacing w:line="240" w:lineRule="auto" w:after="0"/>
            </w:pPr>
            <w:r>
              <w:rPr>
                <w:sz w:val="20"/>
              </w:rPr>
              <w:t>21.2</w:t>
            </w:r>
          </w:p>
        </w:tc>
        <w:tc>
          <w:tcPr>
            <w:tcW w:type="dxa" w:w="2160"/>
          </w:tcPr>
          <w:p>
            <w:pPr>
              <w:spacing w:line="240" w:lineRule="auto" w:after="0"/>
            </w:pPr>
            <w:r>
              <w:rPr>
                <w:sz w:val="20"/>
              </w:rPr>
              <w:t>16.5</w:t>
            </w:r>
          </w:p>
        </w:tc>
      </w:tr>
    </w:tbl>
    <w:p>
      <w:r>
        <w:rPr>
          <w:b/>
          <w:i w:val="0"/>
        </w:rPr>
        <w:t>A.3 Top and bottom states by 2024 average 2-bedroom FMR.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240" w:lineRule="auto" w:after="0"/>
            </w:pPr>
            <w:r>
              <w:rPr>
                <w:b/>
                <w:sz w:val="20"/>
              </w:rPr>
              <w:t>Top 5 states</w:t>
            </w:r>
          </w:p>
        </w:tc>
        <w:tc>
          <w:tcPr>
            <w:tcW w:type="dxa" w:w="2160"/>
          </w:tcPr>
          <w:p>
            <w:pPr>
              <w:spacing w:line="240" w:lineRule="auto" w:after="0"/>
            </w:pPr>
            <w:r>
              <w:rPr>
                <w:b/>
                <w:sz w:val="20"/>
              </w:rPr>
              <w:t>FMR ($)</w:t>
            </w:r>
          </w:p>
        </w:tc>
        <w:tc>
          <w:tcPr>
            <w:tcW w:type="dxa" w:w="2160"/>
          </w:tcPr>
          <w:p>
            <w:pPr>
              <w:spacing w:line="240" w:lineRule="auto" w:after="0"/>
            </w:pPr>
            <w:r>
              <w:rPr>
                <w:b/>
                <w:sz w:val="20"/>
              </w:rPr>
              <w:t>Bottom 5 states</w:t>
            </w:r>
          </w:p>
        </w:tc>
        <w:tc>
          <w:tcPr>
            <w:tcW w:type="dxa" w:w="2160"/>
          </w:tcPr>
          <w:p>
            <w:pPr>
              <w:spacing w:line="240" w:lineRule="auto" w:after="0"/>
            </w:pPr>
            <w:r>
              <w:rPr>
                <w:b/>
                <w:sz w:val="20"/>
              </w:rPr>
              <w:t>FMR ($)</w:t>
            </w:r>
          </w:p>
        </w:tc>
      </w:tr>
      <w:tr>
        <w:tc>
          <w:tcPr>
            <w:tcW w:type="dxa" w:w="2160"/>
          </w:tcPr>
          <w:p>
            <w:pPr>
              <w:spacing w:line="240" w:lineRule="auto" w:after="0"/>
            </w:pPr>
            <w:r>
              <w:rPr>
                <w:sz w:val="20"/>
              </w:rPr>
              <w:t>Hawaii</w:t>
            </w:r>
          </w:p>
        </w:tc>
        <w:tc>
          <w:tcPr>
            <w:tcW w:type="dxa" w:w="2160"/>
          </w:tcPr>
          <w:p>
            <w:pPr>
              <w:spacing w:line="240" w:lineRule="auto" w:after="0"/>
            </w:pPr>
            <w:r>
              <w:rPr>
                <w:sz w:val="20"/>
              </w:rPr>
              <w:t>2,122</w:t>
            </w:r>
          </w:p>
        </w:tc>
        <w:tc>
          <w:tcPr>
            <w:tcW w:type="dxa" w:w="2160"/>
          </w:tcPr>
          <w:p>
            <w:pPr>
              <w:spacing w:line="240" w:lineRule="auto" w:after="0"/>
            </w:pPr>
            <w:r>
              <w:rPr>
                <w:sz w:val="20"/>
              </w:rPr>
              <w:t>Puerto Rico</w:t>
            </w:r>
          </w:p>
        </w:tc>
        <w:tc>
          <w:tcPr>
            <w:tcW w:type="dxa" w:w="2160"/>
          </w:tcPr>
          <w:p>
            <w:pPr>
              <w:spacing w:line="240" w:lineRule="auto" w:after="0"/>
            </w:pPr>
            <w:r>
              <w:rPr>
                <w:sz w:val="20"/>
              </w:rPr>
              <w:t>574</w:t>
            </w:r>
          </w:p>
        </w:tc>
      </w:tr>
      <w:tr>
        <w:tc>
          <w:tcPr>
            <w:tcW w:type="dxa" w:w="2160"/>
          </w:tcPr>
          <w:p>
            <w:pPr>
              <w:spacing w:line="240" w:lineRule="auto" w:after="0"/>
            </w:pPr>
            <w:r>
              <w:rPr>
                <w:sz w:val="20"/>
              </w:rPr>
              <w:t>District of Columbia</w:t>
            </w:r>
          </w:p>
        </w:tc>
        <w:tc>
          <w:tcPr>
            <w:tcW w:type="dxa" w:w="2160"/>
          </w:tcPr>
          <w:p>
            <w:pPr>
              <w:spacing w:line="240" w:lineRule="auto" w:after="0"/>
            </w:pPr>
            <w:r>
              <w:rPr>
                <w:sz w:val="20"/>
              </w:rPr>
              <w:t>2,045</w:t>
            </w:r>
          </w:p>
        </w:tc>
        <w:tc>
          <w:tcPr>
            <w:tcW w:type="dxa" w:w="2160"/>
          </w:tcPr>
          <w:p>
            <w:pPr>
              <w:spacing w:line="240" w:lineRule="auto" w:after="0"/>
            </w:pPr>
            <w:r>
              <w:rPr>
                <w:sz w:val="20"/>
              </w:rPr>
              <w:t>Arkansas</w:t>
            </w:r>
          </w:p>
        </w:tc>
        <w:tc>
          <w:tcPr>
            <w:tcW w:type="dxa" w:w="2160"/>
          </w:tcPr>
          <w:p>
            <w:pPr>
              <w:spacing w:line="240" w:lineRule="auto" w:after="0"/>
            </w:pPr>
            <w:r>
              <w:rPr>
                <w:sz w:val="20"/>
              </w:rPr>
              <w:t>875</w:t>
            </w:r>
          </w:p>
        </w:tc>
      </w:tr>
      <w:tr>
        <w:tc>
          <w:tcPr>
            <w:tcW w:type="dxa" w:w="2160"/>
          </w:tcPr>
          <w:p>
            <w:pPr>
              <w:spacing w:line="240" w:lineRule="auto" w:after="0"/>
            </w:pPr>
            <w:r>
              <w:rPr>
                <w:sz w:val="20"/>
              </w:rPr>
              <w:t>Massachusetts</w:t>
            </w:r>
          </w:p>
        </w:tc>
        <w:tc>
          <w:tcPr>
            <w:tcW w:type="dxa" w:w="2160"/>
          </w:tcPr>
          <w:p>
            <w:pPr>
              <w:spacing w:line="240" w:lineRule="auto" w:after="0"/>
            </w:pPr>
            <w:r>
              <w:rPr>
                <w:sz w:val="20"/>
              </w:rPr>
              <w:t>2,026</w:t>
            </w:r>
          </w:p>
        </w:tc>
        <w:tc>
          <w:tcPr>
            <w:tcW w:type="dxa" w:w="2160"/>
          </w:tcPr>
          <w:p>
            <w:pPr>
              <w:spacing w:line="240" w:lineRule="auto" w:after="0"/>
            </w:pPr>
            <w:r>
              <w:rPr>
                <w:sz w:val="20"/>
              </w:rPr>
              <w:t>Missouri</w:t>
            </w:r>
          </w:p>
        </w:tc>
        <w:tc>
          <w:tcPr>
            <w:tcW w:type="dxa" w:w="2160"/>
          </w:tcPr>
          <w:p>
            <w:pPr>
              <w:spacing w:line="240" w:lineRule="auto" w:after="0"/>
            </w:pPr>
            <w:r>
              <w:rPr>
                <w:sz w:val="20"/>
              </w:rPr>
              <w:t>887</w:t>
            </w:r>
          </w:p>
        </w:tc>
      </w:tr>
      <w:tr>
        <w:tc>
          <w:tcPr>
            <w:tcW w:type="dxa" w:w="2160"/>
          </w:tcPr>
          <w:p>
            <w:pPr>
              <w:spacing w:line="240" w:lineRule="auto" w:after="0"/>
            </w:pPr>
            <w:r>
              <w:rPr>
                <w:sz w:val="20"/>
              </w:rPr>
              <w:t>New Jersey</w:t>
            </w:r>
          </w:p>
        </w:tc>
        <w:tc>
          <w:tcPr>
            <w:tcW w:type="dxa" w:w="2160"/>
          </w:tcPr>
          <w:p>
            <w:pPr>
              <w:spacing w:line="240" w:lineRule="auto" w:after="0"/>
            </w:pPr>
            <w:r>
              <w:rPr>
                <w:sz w:val="20"/>
              </w:rPr>
              <w:t>1,889</w:t>
            </w:r>
          </w:p>
        </w:tc>
        <w:tc>
          <w:tcPr>
            <w:tcW w:type="dxa" w:w="2160"/>
          </w:tcPr>
          <w:p>
            <w:pPr>
              <w:spacing w:line="240" w:lineRule="auto" w:after="0"/>
            </w:pPr>
            <w:r>
              <w:rPr>
                <w:sz w:val="20"/>
              </w:rPr>
              <w:t>Nebraska</w:t>
            </w:r>
          </w:p>
        </w:tc>
        <w:tc>
          <w:tcPr>
            <w:tcW w:type="dxa" w:w="2160"/>
          </w:tcPr>
          <w:p>
            <w:pPr>
              <w:spacing w:line="240" w:lineRule="auto" w:after="0"/>
            </w:pPr>
            <w:r>
              <w:rPr>
                <w:sz w:val="20"/>
              </w:rPr>
              <w:t>902</w:t>
            </w:r>
          </w:p>
        </w:tc>
      </w:tr>
      <w:tr>
        <w:tc>
          <w:tcPr>
            <w:tcW w:type="dxa" w:w="2160"/>
          </w:tcPr>
          <w:p>
            <w:pPr>
              <w:spacing w:line="240" w:lineRule="auto" w:after="0"/>
            </w:pPr>
            <w:r>
              <w:rPr>
                <w:sz w:val="20"/>
              </w:rPr>
              <w:t>California</w:t>
            </w:r>
          </w:p>
        </w:tc>
        <w:tc>
          <w:tcPr>
            <w:tcW w:type="dxa" w:w="2160"/>
          </w:tcPr>
          <w:p>
            <w:pPr>
              <w:spacing w:line="240" w:lineRule="auto" w:after="0"/>
            </w:pPr>
            <w:r>
              <w:rPr>
                <w:sz w:val="20"/>
              </w:rPr>
              <w:t>1,864</w:t>
            </w:r>
          </w:p>
        </w:tc>
        <w:tc>
          <w:tcPr>
            <w:tcW w:type="dxa" w:w="2160"/>
          </w:tcPr>
          <w:p>
            <w:pPr>
              <w:spacing w:line="240" w:lineRule="auto" w:after="0"/>
            </w:pPr>
            <w:r>
              <w:rPr>
                <w:sz w:val="20"/>
              </w:rPr>
              <w:t>Iowa</w:t>
            </w:r>
          </w:p>
        </w:tc>
        <w:tc>
          <w:tcPr>
            <w:tcW w:type="dxa" w:w="2160"/>
          </w:tcPr>
          <w:p>
            <w:pPr>
              <w:spacing w:line="240" w:lineRule="auto" w:after="0"/>
            </w:pPr>
            <w:r>
              <w:rPr>
                <w:sz w:val="20"/>
              </w:rPr>
              <w:t>909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s://fred.stlouisfed.org/series/ERNTOCCUSQ176N" TargetMode="External"/><Relationship Id="rId25" Type="http://schemas.openxmlformats.org/officeDocument/2006/relationships/hyperlink" Target="https://fred.stlouisfed.org/series/EOWNOCCUSQ176N" TargetMode="External"/><Relationship Id="rId26" Type="http://schemas.openxmlformats.org/officeDocument/2006/relationships/hyperlink" Target="https://fred.stlouisfed.org/graph/?m=QzEg" TargetMode="External"/><Relationship Id="rId27" Type="http://schemas.openxmlformats.org/officeDocument/2006/relationships/hyperlink" Target="https://fred.stlouisfed.org/series/CSUSHPINSA" TargetMode="External"/><Relationship Id="rId28" Type="http://schemas.openxmlformats.org/officeDocument/2006/relationships/hyperlink" Target="https://www.fhfa.gov/data/hpi/datasets?tab=annual-data" TargetMode="External"/><Relationship Id="rId29" Type="http://schemas.openxmlformats.org/officeDocument/2006/relationships/hyperlink" Target="https://fred.stlouisfed.org/series/MEHOINUSA672N" TargetMode="External"/><Relationship Id="rId30" Type="http://schemas.openxmlformats.org/officeDocument/2006/relationships/hyperlink" Target="https://fred.stlouisfed.org/series/MORTGAGE30US" TargetMode="External"/><Relationship Id="rId31" Type="http://schemas.openxmlformats.org/officeDocument/2006/relationships/hyperlink" Target="https://fred.stlouisfed.org/series/FIXHAI" TargetMode="External"/><Relationship Id="rId32" Type="http://schemas.openxmlformats.org/officeDocument/2006/relationships/hyperlink" Target="https://data.census.gov/table/ACSDT1Y2024.B25070" TargetMode="External"/><Relationship Id="rId33" Type="http://schemas.openxmlformats.org/officeDocument/2006/relationships/hyperlink" Target="https://fred.stlouisfed.org/series/CUUR0000SA0R" TargetMode="External"/><Relationship Id="rId34" Type="http://schemas.openxmlformats.org/officeDocument/2006/relationships/hyperlink" Target="https://fred.stlouisfed.org/series/CUSR0000SEHA" TargetMode="External"/><Relationship Id="rId35" Type="http://schemas.openxmlformats.org/officeDocument/2006/relationships/hyperlink" Target="https://public.tableau.com/views/USHousingAffordabilityCrisis20002024Buyvs_RentDynamicsPt_1/USHousingAffordabilityCrisis20002024Buyvs_RentDynamicsPt_1" TargetMode="External"/><Relationship Id="rId36" Type="http://schemas.openxmlformats.org/officeDocument/2006/relationships/hyperlink" Target="https://public.tableau.com/app/profile/adam.torres5234/viz/USHousingAffordabilityCrisis20002024Buyvs_RentDynamicsPt_2/USHousingAffordabilityCrisis20002024Buyvs_RentDynamicsPt_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