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📁 SHADOW ARCHIVE INCIDENT LOG: BV-035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Chrome Cardigan Offensive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Level 5 Modesty Breach / Knitwear Takeover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Canonical Disaster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Summary of Event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During the filming of the "Cain-in-Crisis" segment,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Auntie Veo (The Hemline Menace)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suffered a severe moral emergency upon witnessing the "naked chrome" of the auxiliary robot staff. Claiming that "reflective surfaces are an invitation to vanity and sin," she initiated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Tactical Cardigan Deployment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🎬 Visual Evidence (Video (14).mp4)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Robots: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Both Chrome Apostles were forcibly dressed in "Compliance Cardigans" (Beige, 2007 Walmart collection).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J.T. (Executive Producer of Chaos):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Caught in the crossfire and wrapped in a modesty knit while trying to document the crisis.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Environment: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Auntie Veo reportedly began "cardigan-ing" the furniture and the TV stand, declaring that "Even wood should be decent in the eyes of the Lord."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⚖️ Resulting Rule Update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Rule #16: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Inanimate objects, cybernetic entities, and furniture are now subject to the "Three-Inch Sleeve" mandate. Any entity made of chrome must wear a cardigan to prevent "sinful glares."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🗣️ Witness Statements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Cain Saint: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"I thought they were part of my fragrance line. Why do they smell like mothballs?"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Auntie Veo: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"If I can see a rivet, it's a riot. Cover it up, babies!"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J.T. (whispering into clipboard):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"Uh... ma'am 😒... the robots don't have skin."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Pulse: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[Violent, judgment-filled flicker]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Archive Status: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Filed under "Knitwear Trauma."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Keeper Note: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NotebookLM currently searching for a cardigan that fits a lightbulb. Retrieval delayed due to possible blonde condition.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