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change-management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</w:t>
      </w:r>
      <w:r>
        <w:rPr>
          <w:rFonts w:ascii="Calibri" w:cs="Calibri" w:eastAsia="Calibri" w:hAnsi="Calibri"/>
          <w:sz w:val="20"/>
          <w:szCs w:val="20"/>
        </w:rPr>
        <w:t xml:space="preserve"> – Ernst &amp; Young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covering common IT risks and processes within EY's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relationship-building, teamwork, productivity, and audit assessment skills.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2026-09-04T20:02:59.939Z</dcterms:created>
  <dcterms:modified xsi:type="dcterms:W3CDTF">2026-09-04T20:02:59.939Z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