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response, digital forensics, IT controls documentation, and change management, seeking an IT and networking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Performed threat intelligence and log analysis within a simulated Security Operations Center (SOC), utilizing Azure Data Explorer (ADX) and Elastic SIEM to reconstruct attacker paths and identify indicators of compromise (IOCs)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using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Architected a secure remote hardware management system using an ESP32, implementing a multi-layered authentication framework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(Blynk IoT, Parsec, and Tailscale VPN)</w:t>
      </w:r>
      <w:r>
        <w:rPr>
          <w:rFonts w:ascii="Calibri" w:cs="Calibri" w:eastAsia="Calibri" w:hAnsi="Calibri"/>
          <w:sz w:val="20"/>
          <w:szCs w:val="20"/>
        </w:rPr>
        <w:t xml:space="preserve"> to ensure secure, zero-trust access control.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the system to maintain encrypted, high-throughput remote management for hardware power states while securely bypassing restrictive network environments.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a zero-downtime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</w:t>
      </w:r>
      <w:r>
        <w:rPr>
          <w:rFonts w:ascii="Calibri" w:cs="Calibri" w:eastAsia="Calibri" w:hAnsi="Calibri"/>
          <w:sz w:val="20"/>
          <w:szCs w:val="20"/>
        </w:rPr>
        <w:t xml:space="preserve"> users to Google Workspace, implementing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automated internal communication controls </w:t>
      </w:r>
      <w:r>
        <w:rPr>
          <w:rFonts w:ascii="Calibri" w:cs="Calibri" w:eastAsia="Calibri" w:hAnsi="Calibri"/>
          <w:sz w:val="20"/>
          <w:szCs w:val="20"/>
        </w:rPr>
        <w:t xml:space="preserve">to enforce organizational governance and youth protection policies.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comprehensive process documentation and managed access provisioning to ensure continuous compliance with internal policy and reduce recurring annual software expenses.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EY Technology Risk Virtual Job Simulation</w:t>
      </w:r>
      <w:r>
        <w:rPr>
          <w:rFonts w:ascii="Calibri" w:cs="Calibri" w:eastAsia="Calibri" w:hAnsi="Calibri"/>
          <w:sz w:val="20"/>
          <w:szCs w:val="20"/>
        </w:rPr>
        <w:t xml:space="preserve"> – Ernst &amp; Young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virtual job simulation covering common IT risks and processes within EY's Tech Risk team.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Engaged in practical tasks to improve relationship-building, teamwork, productivity, and audit assessment skills.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Arizona State University: </w:t>
      </w:r>
      <w:r>
        <w:rPr>
          <w:rFonts w:ascii="Calibri" w:cs="Calibri" w:eastAsia="Calibri" w:hAnsi="Calibri"/>
          <w:sz w:val="20"/>
          <w:szCs w:val="20"/>
        </w:rPr>
        <w:t xml:space="preserve">Computer Science TA - (UGLA) (5 hours/week) -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Supported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 150+ students </w:t>
      </w:r>
      <w:r>
        <w:rPr>
          <w:rFonts w:ascii="Calibri" w:cs="Calibri" w:eastAsia="Calibri" w:hAnsi="Calibri"/>
          <w:sz w:val="20"/>
          <w:szCs w:val="20"/>
        </w:rPr>
        <w:t xml:space="preserve"> across C, C++, Scheme, and Prolog by helping them trace program logic and identify where their expectations differed from the code’s actual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Guided students through debugging with GCC and VS Code, helping them investigate issues such as segmentation faults and array-boundary errors while proctoring weekly assessments.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facility, including daily compliance logging, operational checks, and stakeholder communication.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reinforce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2026-10-05T02:58:54.896Z</dcterms:created>
  <dcterms:modified xsi:type="dcterms:W3CDTF">2026-10-05T02:58:54.896Z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