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Given a year, return the century it is in. The first century spans from the year 1 up to and including the year 100, the second - from the year 101 up to and including the year 200, etc.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Roboto" w:hAnsi="Roboto" w:eastAsia="Roboto" w:cs="Roboto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Example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For </w:t>
      </w:r>
      <w:r>
        <w:rPr>
          <w:rStyle w:val="4"/>
          <w:rFonts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year = 1905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, the output should be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centuryFromYear(year) = 20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For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year = 1700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, the output should be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centuryFromYear(year) = 17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/>
        </w:rPr>
        <w:t>Notes: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/>
        </w:rPr>
        <w:t>No BC years (ex.: if you enter -105 you should get a message specifying that that is not a valid number)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9D120"/>
    <w:multiLevelType w:val="multilevel"/>
    <w:tmpl w:val="5A89D1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89D140"/>
    <w:multiLevelType w:val="singleLevel"/>
    <w:tmpl w:val="5A89D1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5F75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2018-02-18T19:14:35Z</dcterms:created>
  <dc:creator>Stefan</dc:creator>
  <cp:lastModifiedBy>Stefan</cp:lastModifiedBy>
  <dcterms:modified xsi:type="dcterms:W3CDTF">2018-02-18T19:16:03Z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