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Arial"/>
          <w:b/>
          <w:color w:val="000000"/>
          <w:sz w:val="48"/>
        </w:rPr>
        <w:t>План реализации Axelio POS Integration Layer</w:t>
      </w:r>
    </w:p>
    <w:p>
      <w:pPr>
        <w:pStyle w:val="Subtitle"/>
      </w:pPr>
      <w:r>
        <w:rPr>
          <w:rFonts w:ascii="Arial" w:hAnsi="Arial" w:eastAsia="Arial"/>
          <w:i/>
          <w:color w:val="000000"/>
          <w:sz w:val="26"/>
        </w:rPr>
        <w:t>Поэтапная реализация технического задания v0.3 от актуального develop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2"/>
        <w:gridCol w:w="4982"/>
      </w:tblGrid>
      <w:tr>
        <w:trPr>
          <w:tblHeader w:val="true"/>
          <w:cantSplit/>
        </w:trPr>
        <w:tc>
          <w:tcPr>
            <w:tcW w:type="dxa" w:w="2376"/>
            <w:shd w:fill="17365D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Параметр</w:t>
            </w:r>
          </w:p>
        </w:tc>
        <w:tc>
          <w:tcPr>
            <w:tcW w:type="dxa" w:w="7416"/>
            <w:shd w:fill="17365D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Основа разработки</w:t>
            </w:r>
          </w:p>
        </w:tc>
        <w:tc>
          <w:tcPr>
            <w:tcW w:type="dxa" w:w="7416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Актуальный origin/develop, SHA 043afe4 на момент составления плана</w:t>
            </w:r>
          </w:p>
        </w:tc>
      </w:tr>
      <w:tr>
        <w:trPr>
          <w:cantSplit/>
        </w:trPr>
        <w:tc>
          <w:tcPr>
            <w:tcW w:type="dxa" w:w="2376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Источник требований</w:t>
            </w:r>
          </w:p>
        </w:tc>
        <w:tc>
          <w:tcPr>
            <w:tcW w:type="dxa" w:w="7416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Axelio POS Integration Layer v0.3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Старая ветка</w:t>
            </w:r>
          </w:p>
        </w:tc>
        <w:tc>
          <w:tcPr>
            <w:tcW w:type="dxa" w:w="7416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codex/pos-integration-layer-stage-2 используется только как источник решений 5608bc8 и 1560f2c</w:t>
            </w:r>
          </w:p>
        </w:tc>
      </w:tr>
      <w:tr>
        <w:trPr>
          <w:cantSplit/>
        </w:trPr>
        <w:tc>
          <w:tcPr>
            <w:tcW w:type="dxa" w:w="2376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Порядок поставки</w:t>
            </w:r>
          </w:p>
        </w:tc>
        <w:tc>
          <w:tcPr>
            <w:tcW w:type="dxa" w:w="7416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Три последовательных этапа с отдельным PR и проверяемым выходным гейтом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Arial" w:hAnsi="Arial" w:eastAsia="Arial"/>
          <w:b/>
          <w:color w:val="000000"/>
          <w:sz w:val="30"/>
        </w:rPr>
        <w:t>1 Решение и границы плана</w:t>
      </w:r>
    </w:p>
    <w:p>
      <w:pPr/>
      <w:r>
        <w:rPr>
          <w:rFonts w:ascii="Arial" w:hAnsi="Arial" w:eastAsia="Arial"/>
          <w:color w:val="000000"/>
        </w:rPr>
        <w:t>Разработку следует вести в новой ветке от актуального develop. Коммиты старой POS-ветки нельзя вливать целиком или переносить последовательным cherry-pick: они пересекаются с текущими моделями, Quick Resto sync, пакетным импортом, роутерами и интерфейсом. Их код используется как справочник для выборочного переноса канонических решений.</w:t>
      </w:r>
    </w:p>
    <w:p>
      <w:pPr/>
      <w:r>
        <w:rPr>
          <w:rFonts w:ascii="Arial" w:hAnsi="Arial" w:eastAsia="Arial"/>
          <w:color w:val="000000"/>
        </w:rPr>
        <w:t>На всех этапах сохраняются два штатных режима формирования отчётов. В режиме MANUAL пользователь заполняет DailyReport без POS-интеграции. В режиме POS_CANONICAL факты поступают из канонического слоя и проецируются в ReportFacts и DailyReport. Ошибка интеграции не должна молча подменяться ручными данными.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существующий импорт Quick Resto продолжает работать до подтверждённого переключения чтения на канонические данные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месячное дробление больших диапазонов, очередь пакетов, прогресс, retry и resume не заменяются новой параллельной реализацией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схема базы расширяется аддитивно; удаление старых таблиц и полей не входит в релиз переключения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бизнес-модули не знают о конкретном POS-провайдере и не вызывают его API напрямую</w:t>
      </w:r>
    </w:p>
    <w:p>
      <w:pPr>
        <w:pStyle w:val="Heading1"/>
        <w:keepNext/>
        <w:pageBreakBefore/>
      </w:pPr>
      <w:r>
        <w:rPr>
          <w:rFonts w:ascii="Arial" w:hAnsi="Arial" w:eastAsia="Arial"/>
          <w:b/>
          <w:color w:val="000000"/>
          <w:sz w:val="30"/>
        </w:rPr>
        <w:t>2 Сводный план поставки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1"/>
        <w:gridCol w:w="3321"/>
        <w:gridCol w:w="3321"/>
      </w:tblGrid>
      <w:tr>
        <w:trPr>
          <w:tblHeader w:val="true"/>
          <w:cantSplit/>
        </w:trPr>
        <w:tc>
          <w:tcPr>
            <w:tcW w:type="dxa" w:w="792"/>
            <w:shd w:fill="17365D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4392"/>
            <w:shd w:fill="17365D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</w:t>
            </w:r>
          </w:p>
        </w:tc>
        <w:tc>
          <w:tcPr>
            <w:tcW w:type="dxa" w:w="4608"/>
            <w:shd w:fill="17365D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Условие перехода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439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Канонический фундамент встроен в текущий develop без переключения бизнес-логики</w:t>
            </w:r>
          </w:p>
        </w:tc>
        <w:tc>
          <w:tcPr>
            <w:tcW w:type="dxa" w:w="4608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Миграции и контракты проходят тесты; ручной режим и текущий Quick Resto не изменились</w:t>
            </w:r>
          </w:p>
        </w:tc>
      </w:tr>
      <w:tr>
        <w:trPr>
          <w:cantSplit/>
        </w:trPr>
        <w:tc>
          <w:tcPr>
            <w:tcW w:type="dxa" w:w="792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</w:t>
            </w:r>
          </w:p>
        </w:tc>
        <w:tc>
          <w:tcPr>
            <w:tcW w:type="dxa" w:w="4392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Quick Resto пишет и сверяет данные через ACDM, используя существующую пакетную очередь</w:t>
            </w:r>
          </w:p>
        </w:tc>
        <w:tc>
          <w:tcPr>
            <w:tcW w:type="dxa" w:w="4608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Shadow-сверка подтверждает полноту, идемпотентность и совпадение итогов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</w:t>
            </w:r>
          </w:p>
        </w:tc>
        <w:tc>
          <w:tcPr>
            <w:tcW w:type="dxa" w:w="439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Бизнес-модули читают канонические факты; добавлены iiko, эксплуатационные средства и управляемый rollout</w:t>
            </w:r>
          </w:p>
        </w:tc>
        <w:tc>
          <w:tcPr>
            <w:tcW w:type="dxa" w:w="4608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Canary и rollback проверены; legacy удаляется только отдельным решением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Arial" w:hAnsi="Arial" w:eastAsia="Arial"/>
          <w:b/>
          <w:color w:val="000000"/>
          <w:sz w:val="30"/>
        </w:rPr>
        <w:t>3 Этап 1 Канонический фундамент и совместимость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000000"/>
          <w:sz w:val="25"/>
        </w:rPr>
        <w:t>3.1 Цель этапа</w:t>
      </w:r>
    </w:p>
    <w:p>
      <w:pPr/>
      <w:r>
        <w:rPr>
          <w:rFonts w:ascii="Arial" w:hAnsi="Arial" w:eastAsia="Arial"/>
          <w:color w:val="000000"/>
        </w:rPr>
        <w:t>Добавить провайдер-независимую основу ACDM рядом с действующей интеграцией. Этап не переключает расчёты, отчёты или пользовательские сценарии на новые таблицы.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000000"/>
          <w:sz w:val="25"/>
        </w:rPr>
        <w:t>3.2 Последовательность работ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1. </w:t>
      </w:r>
      <w:r>
        <w:rPr>
          <w:rFonts w:ascii="Arial" w:hAnsi="Arial" w:eastAsia="Arial"/>
          <w:color w:val="000000"/>
        </w:rPr>
        <w:t>Создать новую ветку codex/pos-integration-layer-v03 от обновлённого origin/develop и зафиксировать исходный SHA в описании PR.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2. </w:t>
      </w:r>
      <w:r>
        <w:rPr>
          <w:rFonts w:ascii="Arial" w:hAnsi="Arial" w:eastAsia="Arial"/>
          <w:color w:val="000000"/>
        </w:rPr>
        <w:t>Составить семантический diff коммитов 5608bc8 и 1560f2c. Для каждого файла определить действие: перенести, адаптировать к develop, заменить текущей реализацией или не переносить.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3. </w:t>
      </w:r>
      <w:r>
        <w:rPr>
          <w:rFonts w:ascii="Arial" w:hAnsi="Arial" w:eastAsia="Arial"/>
          <w:color w:val="000000"/>
        </w:rPr>
        <w:t>Добавить базовые контракты Provider Adapter: capabilities, credentials, DTO, типизированные ошибки, registry и правила запрета прямых вызовов POS API из бизнес-модулей.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4. </w:t>
      </w:r>
      <w:r>
        <w:rPr>
          <w:rFonts w:ascii="Arial" w:hAnsi="Arial" w:eastAsia="Arial"/>
          <w:color w:val="000000"/>
        </w:rPr>
        <w:t>Добавить аддитивные модели и миграции для IntegrationConnection, capability state, raw objects, sync cursor, sync jobs, quarantine, reconciliation и канонических сущностей ACDM.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5. </w:t>
      </w:r>
      <w:r>
        <w:rPr>
          <w:rFonts w:ascii="Arial" w:hAnsi="Arial" w:eastAsia="Arial"/>
          <w:color w:val="000000"/>
        </w:rPr>
        <w:t>Определить идентичность сущностей, timezone заведения, business_date, денежную точность, external_id, deduplication key и правила soft delete.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6. </w:t>
      </w:r>
      <w:r>
        <w:rPr>
          <w:rFonts w:ascii="Arial" w:hAnsi="Arial" w:eastAsia="Arial"/>
          <w:color w:val="000000"/>
        </w:rPr>
        <w:t>Добавить raw storage и replay-контракт. Исходный payload сохраняется до нормализации, связывается с подключением и попыткой импорта, а повторная обработка не обращается к провайдеру.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7. </w:t>
      </w:r>
      <w:r>
        <w:rPr>
          <w:rFonts w:ascii="Arial" w:hAnsi="Arial" w:eastAsia="Arial"/>
          <w:color w:val="000000"/>
        </w:rPr>
        <w:t>Подключить feature flags для shadow write, canonical read и provider-specific rollout. Все флаги по умолчанию сохраняют действующее поведение develop.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000000"/>
          <w:sz w:val="25"/>
        </w:rPr>
        <w:t>3.3 Поставляемые компоненты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2"/>
        <w:gridCol w:w="4982"/>
      </w:tblGrid>
      <w:tr>
        <w:trPr>
          <w:tblHeader w:val="true"/>
          <w:cantSplit/>
        </w:trPr>
        <w:tc>
          <w:tcPr>
            <w:tcW w:type="dxa" w:w="2232"/>
            <w:shd w:fill="17365D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7560"/>
            <w:shd w:fill="17365D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Поставка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Архитектура</w:t>
            </w:r>
          </w:p>
        </w:tc>
        <w:tc>
          <w:tcPr>
            <w:tcW w:type="dxa" w:w="7560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Provider Adapter, registry, DTO, capabilities и единая классификация ошибок</w:t>
            </w:r>
          </w:p>
        </w:tc>
      </w:tr>
      <w:tr>
        <w:trPr>
          <w:cantSplit/>
        </w:trPr>
        <w:tc>
          <w:tcPr>
            <w:tcW w:type="dxa" w:w="2232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Хранилище</w:t>
            </w:r>
          </w:p>
        </w:tc>
        <w:tc>
          <w:tcPr>
            <w:tcW w:type="dxa" w:w="7560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Raw, canonical, cursor, job, quarantine и reconciliation модели с миграциями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Совместимость</w:t>
            </w:r>
          </w:p>
        </w:tc>
        <w:tc>
          <w:tcPr>
            <w:tcW w:type="dxa" w:w="7560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Разделение MANUAL и POS_CANONICAL без изменения текущего DailyReport</w:t>
            </w:r>
          </w:p>
        </w:tc>
      </w:tr>
      <w:tr>
        <w:trPr>
          <w:cantSplit/>
        </w:trPr>
        <w:tc>
          <w:tcPr>
            <w:tcW w:type="dxa" w:w="2232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Управление</w:t>
            </w:r>
          </w:p>
        </w:tc>
        <w:tc>
          <w:tcPr>
            <w:tcW w:type="dxa" w:w="7560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Feature flags, минимальный служебный API состояния подключения и capability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Документация</w:t>
            </w:r>
          </w:p>
        </w:tc>
        <w:tc>
          <w:tcPr>
            <w:tcW w:type="dxa" w:w="7560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Карта соответствия старой ветки новому develop и обновлённая схема данных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000000"/>
          <w:sz w:val="25"/>
        </w:rPr>
        <w:t>3.4 Проверки этапа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миграции применяются на копии актуальной схемы и откатываются без потери существующих данных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повторный запуск миграций и создание одних и тех же external_id не создают дубликаты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контрактные тесты провайдера не требуют импортов из Quick Resto внутри бизнес-модулей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действующие тесты ручных отчётов и Quick Resto проходят без изменения ожидаемых результатов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выключенные feature flags воспроизводят поведение исходного develop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000000"/>
          <w:sz w:val="25"/>
        </w:rPr>
        <w:t>3.5 Выходной гейт</w:t>
      </w:r>
    </w:p>
    <w:p>
      <w:pPr/>
      <w:r>
        <w:rPr>
          <w:rFonts w:ascii="Arial" w:hAnsi="Arial" w:eastAsia="Arial"/>
          <w:color w:val="000000"/>
        </w:rPr>
        <w:t>Этап считается завершённым, когда PR содержит только фундамент, аддитивные миграции и тесты; старые пользовательские сценарии проходят регрессию; новые данные ещё не используются как источник бизнес-расчётов. Любое изменение суммы отчёта или поведения текущего импорта блокирует переход к этапу 2.</w:t>
      </w:r>
    </w:p>
    <w:p>
      <w:pPr>
        <w:pStyle w:val="Heading1"/>
        <w:keepNext/>
        <w:pageBreakBefore w:val="0"/>
      </w:pPr>
      <w:r>
        <w:rPr>
          <w:rFonts w:ascii="Arial" w:hAnsi="Arial" w:eastAsia="Arial"/>
          <w:b/>
          <w:color w:val="000000"/>
          <w:sz w:val="30"/>
        </w:rPr>
        <w:t>4 Этап 2 Канонизация Quick Resto и сверка данных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000000"/>
          <w:sz w:val="25"/>
        </w:rPr>
        <w:t>4.1 Цель этапа</w:t>
      </w:r>
    </w:p>
    <w:p>
      <w:pPr/>
      <w:r>
        <w:rPr>
          <w:rFonts w:ascii="Arial" w:hAnsi="Arial" w:eastAsia="Arial"/>
          <w:color w:val="000000"/>
        </w:rPr>
        <w:t>Подключить Quick Resto к Provider Adapter и каноническому хранилищу, сохранив текущую очередь исторического импорта. Новая логика дополняет уже реализованное месячное дробление диапазонов и не создаёт вторую систему пакетной обработки.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000000"/>
          <w:sz w:val="25"/>
        </w:rPr>
        <w:t>4.2 Последовательность работ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1. </w:t>
      </w:r>
      <w:r>
        <w:rPr>
          <w:rFonts w:ascii="Arial" w:hAnsi="Arial" w:eastAsia="Arial"/>
          <w:color w:val="000000"/>
        </w:rPr>
        <w:t>Обернуть действующий Quick Resto client в Provider Adapter. Авторизация, rate limits, retry policy и capability discovery остаются внутри провайдерного слоя.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2. </w:t>
      </w:r>
      <w:r>
        <w:rPr>
          <w:rFonts w:ascii="Arial" w:hAnsi="Arial" w:eastAsia="Arial"/>
          <w:color w:val="000000"/>
        </w:rPr>
        <w:t>Связать QuickRestoImportBatch с IntegrationSyncJob и SyncCursor без дублирования очередей. Один пользовательский запрос создаёт месячные полуоткрытые интервалы from included, to excluded.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3. </w:t>
      </w:r>
      <w:r>
        <w:rPr>
          <w:rFonts w:ascii="Arial" w:hAnsi="Arial" w:eastAsia="Arial"/>
          <w:color w:val="000000"/>
        </w:rPr>
        <w:t>Сохранить текущие правила импорта больших диапазонов: месячные части, двухдневное перекрытие инкрементальной синхронизации, восстановление зависших задач, повтор отдельных пакетов и агрегированный прогресс.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4. </w:t>
      </w:r>
      <w:r>
        <w:rPr>
          <w:rFonts w:ascii="Arial" w:hAnsi="Arial" w:eastAsia="Arial"/>
          <w:color w:val="000000"/>
        </w:rPr>
        <w:t>Добавить fallback для случаев, когда Quick Resto не поддерживает или игнорирует серверный фильтр. В этом режиме диапазон ограничивается локально по business_date, а факт fallback фиксируется в диагностике.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5. </w:t>
      </w:r>
      <w:r>
        <w:rPr>
          <w:rFonts w:ascii="Arial" w:hAnsi="Arial" w:eastAsia="Arial"/>
          <w:color w:val="000000"/>
        </w:rPr>
        <w:t>Сохранять raw payload до нормализации и преобразовывать его в канонические документы, строки продаж, платежи, скидки, возвраты, смены, сотрудников, номенклатуру и складские факты согласно профилю capability.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6. </w:t>
      </w:r>
      <w:r>
        <w:rPr>
          <w:rFonts w:ascii="Arial" w:hAnsi="Arial" w:eastAsia="Arial"/>
          <w:color w:val="000000"/>
        </w:rPr>
        <w:t>Реализовать mapping внешних сущностей и иерархий: заведения, подразделения, категории блюд, продукты, способы оплаты, сотрудники и роли. Неоднозначные соответствия поступают в quarantine или очередь ручного разрешения.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7. </w:t>
      </w:r>
      <w:r>
        <w:rPr>
          <w:rFonts w:ascii="Arial" w:hAnsi="Arial" w:eastAsia="Arial"/>
          <w:color w:val="000000"/>
        </w:rPr>
        <w:t>Формировать ReportFacts и совместимую проекцию DailyReport из ACDM. Каждая сумма хранит происхождение, версию нормализации и ссылку на исходные канонические записи.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8. </w:t>
      </w:r>
      <w:r>
        <w:rPr>
          <w:rFonts w:ascii="Arial" w:hAnsi="Arial" w:eastAsia="Arial"/>
          <w:color w:val="000000"/>
        </w:rPr>
        <w:t>Запустить shadow write и shadow compare для одинаковых диапазонов. Сравнивать количество документов, выручку, оплаты, возвраты, скидки, смены и распределение по business_date.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9. </w:t>
      </w:r>
      <w:r>
        <w:rPr>
          <w:rFonts w:ascii="Arial" w:hAnsi="Arial" w:eastAsia="Arial"/>
          <w:color w:val="000000"/>
        </w:rPr>
        <w:t>Доработать API и интерфейс истории импорта: общий статус, прогресс по пакетам, повтор неуспешного диапазона, причина ошибки, результат fallback и ссылка на проблемы качества данных.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000000"/>
          <w:sz w:val="25"/>
        </w:rPr>
        <w:t>4.3 Состояния пакетного импорта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2"/>
        <w:gridCol w:w="4982"/>
      </w:tblGrid>
      <w:tr>
        <w:trPr>
          <w:tblHeader w:val="true"/>
          <w:cantSplit/>
        </w:trPr>
        <w:tc>
          <w:tcPr>
            <w:tcW w:type="dxa" w:w="1800"/>
            <w:shd w:fill="17365D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Состояние</w:t>
            </w:r>
          </w:p>
        </w:tc>
        <w:tc>
          <w:tcPr>
            <w:tcW w:type="dxa" w:w="7992"/>
            <w:shd w:fill="17365D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Поведение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PENDING</w:t>
            </w:r>
          </w:p>
        </w:tc>
        <w:tc>
          <w:tcPr>
            <w:tcW w:type="dxa" w:w="799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Пакет ожидает воркер; повторная постановка не создаёт дубликат диапазона</w:t>
            </w:r>
          </w:p>
        </w:tc>
      </w:tr>
      <w:tr>
        <w:trPr>
          <w:cantSplit/>
        </w:trPr>
        <w:tc>
          <w:tcPr>
            <w:tcW w:type="dxa" w:w="1800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RUNNING</w:t>
            </w:r>
          </w:p>
        </w:tc>
        <w:tc>
          <w:tcPr>
            <w:tcW w:type="dxa" w:w="7992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Хранятся heartbeat, текущая операция и счётчики; истёкший lease допускает восстановление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SUCCEEDED</w:t>
            </w:r>
          </w:p>
        </w:tc>
        <w:tc>
          <w:tcPr>
            <w:tcW w:type="dxa" w:w="799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Курсор продвигается только после фиксации raw, canonical и проекции</w:t>
            </w:r>
          </w:p>
        </w:tc>
      </w:tr>
      <w:tr>
        <w:trPr>
          <w:cantSplit/>
        </w:trPr>
        <w:tc>
          <w:tcPr>
            <w:tcW w:type="dxa" w:w="1800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FAILED</w:t>
            </w:r>
          </w:p>
        </w:tc>
        <w:tc>
          <w:tcPr>
            <w:tcW w:type="dxa" w:w="7992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Ошибка классифицируется; повтор выполняется с сохранением истории попыток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PARTIAL</w:t>
            </w:r>
          </w:p>
        </w:tc>
        <w:tc>
          <w:tcPr>
            <w:tcW w:type="dxa" w:w="799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Успешные части сохраняются, проблемные записи изолируются, итог не маскируется как полный успех</w:t>
            </w:r>
          </w:p>
        </w:tc>
      </w:tr>
      <w:tr>
        <w:trPr>
          <w:cantSplit/>
        </w:trPr>
        <w:tc>
          <w:tcPr>
            <w:tcW w:type="dxa" w:w="1800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CANCELLED</w:t>
            </w:r>
          </w:p>
        </w:tc>
        <w:tc>
          <w:tcPr>
            <w:tcW w:type="dxa" w:w="7992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Новые части не запускаются; уже подтверждённые данные остаются доступными и идемпотентными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000000"/>
          <w:sz w:val="25"/>
        </w:rPr>
        <w:t>4.4 Проверки этапа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одинаковый диапазон можно импортировать повторно без удвоения фактов и сумм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границы месяцев, високосный февраль, timezone и business_date покрыты отдельными тестами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падение одного месячного пакета не отменяет успешные пакеты и допускает точечный retry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перезапуск воркера продолжает задачу с последнего подтверждённого состояния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fallback серверного фильтра возвращает тот же набор данных, что и корректная серверная фильтрация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shadow-сверка объясняет расхождения до строки документа и raw payload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ручной DailyReport остаётся редактируемым и не смешивается с POS_CANONICAL без явного действия пользователя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000000"/>
          <w:sz w:val="25"/>
        </w:rPr>
        <w:t>4.5 Выходной гейт</w:t>
      </w:r>
    </w:p>
    <w:p>
      <w:pPr/>
      <w:r>
        <w:rPr>
          <w:rFonts w:ascii="Arial" w:hAnsi="Arial" w:eastAsia="Arial"/>
          <w:color w:val="000000"/>
        </w:rPr>
        <w:t>Этап завершён, когда исторический и инкрементальный импорт Quick Resto проходит через ACDM, но чтение бизнес-модулей ещё можно вернуть на прежний источник одним feature flag. Shadow-сверка должна подтвердить согласованные допуски по полноте и суммам на репрезентативных заведениях и диапазонах. Необъяснённые расхождения, потерянные пакеты или неидемпотентный retry блокируют этап 3.</w:t>
      </w:r>
    </w:p>
    <w:p>
      <w:pPr>
        <w:pStyle w:val="Heading1"/>
        <w:keepNext/>
        <w:pageBreakBefore w:val="0"/>
      </w:pPr>
      <w:r>
        <w:rPr>
          <w:rFonts w:ascii="Arial" w:hAnsi="Arial" w:eastAsia="Arial"/>
          <w:b/>
          <w:color w:val="000000"/>
          <w:sz w:val="30"/>
        </w:rPr>
        <w:t>5 Этап 3 Переключение потребителей и эксплуатация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000000"/>
          <w:sz w:val="25"/>
        </w:rPr>
        <w:t>5.1 Цель этапа</w:t>
      </w:r>
    </w:p>
    <w:p>
      <w:pPr/>
      <w:r>
        <w:rPr>
          <w:rFonts w:ascii="Arial" w:hAnsi="Arial" w:eastAsia="Arial"/>
          <w:color w:val="000000"/>
        </w:rPr>
        <w:t>Перевести бизнес-модули на провайдер-независимые факты, добавить второй провайдер и подготовить управляемое включение в development и production. Ручной режим сохраняется как равноправный пользовательский выбор.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000000"/>
          <w:sz w:val="25"/>
        </w:rPr>
        <w:t>5.2 Последовательность работ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1. </w:t>
      </w:r>
      <w:r>
        <w:rPr>
          <w:rFonts w:ascii="Arial" w:hAnsi="Arial" w:eastAsia="Arial"/>
          <w:color w:val="000000"/>
        </w:rPr>
        <w:t>Перевести отчёты, KPI, экономику, фонд оплаты труда и другие потребители POS-данных на ReportFacts или согласованные ACDM projections. Условные ветки по provider_type в бизнес-модулях запрещены.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2. </w:t>
      </w:r>
      <w:r>
        <w:rPr>
          <w:rFonts w:ascii="Arial" w:hAnsi="Arial" w:eastAsia="Arial"/>
          <w:color w:val="000000"/>
        </w:rPr>
        <w:t>Добавить явный выбор источника MANUAL или POS_CANONICAL на уровне периода и заведения. Переход между источниками показывает влияние на уже созданный отчёт и требует подтверждения пользователя.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3. </w:t>
      </w:r>
      <w:r>
        <w:rPr>
          <w:rFonts w:ascii="Arial" w:hAnsi="Arial" w:eastAsia="Arial"/>
          <w:color w:val="000000"/>
        </w:rPr>
        <w:t>Реализовать reconciliation для исторических конфликтов с действиями KEEP_CURRENT и EXCLUDE_CURRENT. Система не переписывает вручную подтверждённые данные автоматически.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4. </w:t>
      </w:r>
      <w:r>
        <w:rPr>
          <w:rFonts w:ascii="Arial" w:hAnsi="Arial" w:eastAsia="Arial"/>
          <w:color w:val="000000"/>
        </w:rPr>
        <w:t>Обобщить экран интеграций: подключение, capability, состояние синхронизации, freshness, история, проблемы качества и доступные действия. Quick Resto-specific настройки остаются в профиле провайдера.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5. </w:t>
      </w:r>
      <w:r>
        <w:rPr>
          <w:rFonts w:ascii="Arial" w:hAnsi="Arial" w:eastAsia="Arial"/>
          <w:color w:val="000000"/>
        </w:rPr>
        <w:t>Добавить iiko adapter по тем же контрактам. Недоступные возможности отражаются через capability state и не имитируются пустыми данными.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6. </w:t>
      </w:r>
      <w:r>
        <w:rPr>
          <w:rFonts w:ascii="Arial" w:hAnsi="Arial" w:eastAsia="Arial"/>
          <w:color w:val="000000"/>
        </w:rPr>
        <w:t>Настроить очереди critical, normal и bulk так, чтобы длительный исторический импорт не блокировал свежие продажи и операционные синхронизации.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7. </w:t>
      </w:r>
      <w:r>
        <w:rPr>
          <w:rFonts w:ascii="Arial" w:hAnsi="Arial" w:eastAsia="Arial"/>
          <w:color w:val="000000"/>
        </w:rPr>
        <w:t>Добавить метрики, structured logs и alerts для freshness, lag, ошибок провайдера, backlog, retry storm, quarantine и shadow mismatch.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8. </w:t>
      </w:r>
      <w:r>
        <w:rPr>
          <w:rFonts w:ascii="Arial" w:hAnsi="Arial" w:eastAsia="Arial"/>
          <w:color w:val="000000"/>
        </w:rPr>
        <w:t>Провести поэтапное включение: development, внутренние заведения, ограниченный canary, расширение охвата и production по feature flags.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9. </w:t>
      </w:r>
      <w:r>
        <w:rPr>
          <w:rFonts w:ascii="Arial" w:hAnsi="Arial" w:eastAsia="Arial"/>
          <w:color w:val="000000"/>
        </w:rPr>
        <w:t>Оставить старые таблицы и код доступными для rollback на согласованный период наблюдения. Их удаление выполняется отдельной миграцией после подтверждения стабильности.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000000"/>
          <w:sz w:val="25"/>
        </w:rPr>
        <w:t>5.3 Поставляемые компоненты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2"/>
        <w:gridCol w:w="4982"/>
      </w:tblGrid>
      <w:tr>
        <w:trPr>
          <w:tblHeader w:val="true"/>
          <w:cantSplit/>
        </w:trPr>
        <w:tc>
          <w:tcPr>
            <w:tcW w:type="dxa" w:w="2232"/>
            <w:shd w:fill="17365D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Область</w:t>
            </w:r>
          </w:p>
        </w:tc>
        <w:tc>
          <w:tcPr>
            <w:tcW w:type="dxa" w:w="7560"/>
            <w:shd w:fill="17365D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Поставка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Бизнес-модули</w:t>
            </w:r>
          </w:p>
        </w:tc>
        <w:tc>
          <w:tcPr>
            <w:tcW w:type="dxa" w:w="7560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Чтение через ReportFacts и ACDM projections без знания провайдера</w:t>
            </w:r>
          </w:p>
        </w:tc>
      </w:tr>
      <w:tr>
        <w:trPr>
          <w:cantSplit/>
        </w:trPr>
        <w:tc>
          <w:tcPr>
            <w:tcW w:type="dxa" w:w="2232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Источники</w:t>
            </w:r>
          </w:p>
        </w:tc>
        <w:tc>
          <w:tcPr>
            <w:tcW w:type="dxa" w:w="7560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Явный MANUAL или POS_CANONICAL с правилами переключения и происхождением данных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Провайдеры</w:t>
            </w:r>
          </w:p>
        </w:tc>
        <w:tc>
          <w:tcPr>
            <w:tcW w:type="dxa" w:w="7560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Quick Resto production profile и iiko adapter с capability discovery</w:t>
            </w:r>
          </w:p>
        </w:tc>
      </w:tr>
      <w:tr>
        <w:trPr>
          <w:cantSplit/>
        </w:trPr>
        <w:tc>
          <w:tcPr>
            <w:tcW w:type="dxa" w:w="2232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Качество</w:t>
            </w:r>
          </w:p>
        </w:tc>
        <w:tc>
          <w:tcPr>
            <w:tcW w:type="dxa" w:w="7560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Quarantine, issues, reconciliation, freshness и объяснимые расхождения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Эксплуатация</w:t>
            </w:r>
          </w:p>
        </w:tc>
        <w:tc>
          <w:tcPr>
            <w:tcW w:type="dxa" w:w="7560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Очереди приоритетов, метрики, alerts, runbook, rollout и rollback</w:t>
            </w:r>
          </w:p>
        </w:tc>
      </w:tr>
    </w:tbl>
    <w:p>
      <w:pPr>
        <w:spacing w:after="20"/>
      </w:pP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000000"/>
          <w:sz w:val="25"/>
        </w:rPr>
        <w:t>5.4 Проверки этапа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контрактные тесты выполняются одинаково для Quick Resto и iiko с поправкой на объявленные capability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E2E покрывает подключение, импорт диапазона, прогресс, retry, проблемы качества и переключение источника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регрессия ручного режима подтверждает создание, редактирование и расчёты без активной интеграции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нагрузочный тест подтверждает, что bulk-импорт не задерживает critical и normal очереди сверх согласованного SLA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canary фиксирует freshness, lag, backlog и суммы до расширения охвата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rollback возвращает чтение на прежний путь без потери записанных raw и canonical данных</w:t>
      </w:r>
    </w:p>
    <w:p>
      <w:pPr>
        <w:pStyle w:val="Heading2"/>
        <w:keepNext/>
        <w:pageBreakBefore w:val="0"/>
      </w:pPr>
      <w:r>
        <w:rPr>
          <w:rFonts w:ascii="Arial" w:hAnsi="Arial" w:eastAsia="Arial"/>
          <w:b/>
          <w:color w:val="000000"/>
          <w:sz w:val="25"/>
        </w:rPr>
        <w:t>5.5 Выходной гейт</w:t>
      </w:r>
    </w:p>
    <w:p>
      <w:pPr/>
      <w:r>
        <w:rPr>
          <w:rFonts w:ascii="Arial" w:hAnsi="Arial" w:eastAsia="Arial"/>
          <w:color w:val="000000"/>
        </w:rPr>
        <w:t>Этап завершён после подтверждённого canary в production, работоспособного rollback, закрытых критических расхождений и готового runbook. Legacy-путь можно удалить только отдельным PR после согласованного периода наблюдения и подтверждения, что ни один активный режим не зависит от него.</w:t>
      </w:r>
    </w:p>
    <w:p>
      <w:pPr>
        <w:pStyle w:val="Heading1"/>
        <w:keepNext/>
        <w:pageBreakBefore w:val="0"/>
      </w:pPr>
      <w:r>
        <w:rPr>
          <w:rFonts w:ascii="Arial" w:hAnsi="Arial" w:eastAsia="Arial"/>
          <w:b/>
          <w:color w:val="000000"/>
          <w:sz w:val="30"/>
        </w:rPr>
        <w:t>6 Общие правила данных и совместимости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2"/>
        <w:gridCol w:w="4982"/>
      </w:tblGrid>
      <w:tr>
        <w:trPr>
          <w:tblHeader w:val="true"/>
          <w:cantSplit/>
        </w:trPr>
        <w:tc>
          <w:tcPr>
            <w:tcW w:type="dxa" w:w="2232"/>
            <w:shd w:fill="17365D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Правило</w:t>
            </w:r>
          </w:p>
        </w:tc>
        <w:tc>
          <w:tcPr>
            <w:tcW w:type="dxa" w:w="7560"/>
            <w:shd w:fill="17365D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Источник истины</w:t>
            </w:r>
          </w:p>
        </w:tc>
        <w:tc>
          <w:tcPr>
            <w:tcW w:type="dxa" w:w="7560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Raw хранит ответ провайдера; ACDM хранит нормализованные факты; ReportFacts и DailyReport являются контролируемыми проекциями</w:t>
            </w:r>
          </w:p>
        </w:tc>
      </w:tr>
      <w:tr>
        <w:trPr>
          <w:cantSplit/>
        </w:trPr>
        <w:tc>
          <w:tcPr>
            <w:tcW w:type="dxa" w:w="2232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Ручные отчёты</w:t>
            </w:r>
          </w:p>
        </w:tc>
        <w:tc>
          <w:tcPr>
            <w:tcW w:type="dxa" w:w="7560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MANUAL остаётся самостоятельным режимом и не требует POS-подключения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Происхождение</w:t>
            </w:r>
          </w:p>
        </w:tc>
        <w:tc>
          <w:tcPr>
            <w:tcW w:type="dxa" w:w="7560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Каждый вычисляемый факт связан с подключением, провайдером, raw объектом, версией нормализации и временем импорта</w:t>
            </w:r>
          </w:p>
        </w:tc>
      </w:tr>
      <w:tr>
        <w:trPr>
          <w:cantSplit/>
        </w:trPr>
        <w:tc>
          <w:tcPr>
            <w:tcW w:type="dxa" w:w="2232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Идемпотентность</w:t>
            </w:r>
          </w:p>
        </w:tc>
        <w:tc>
          <w:tcPr>
            <w:tcW w:type="dxa" w:w="7560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Повторный fetch, normalize, persist или projection не меняет итог и не создаёт дубликаты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Время</w:t>
            </w:r>
          </w:p>
        </w:tc>
        <w:tc>
          <w:tcPr>
            <w:tcW w:type="dxa" w:w="7560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Интервалы API полуоткрытые; business_date рассчитывается в timezone заведения; переходы суток и DST тестируются</w:t>
            </w:r>
          </w:p>
        </w:tc>
      </w:tr>
      <w:tr>
        <w:trPr>
          <w:cantSplit/>
        </w:trPr>
        <w:tc>
          <w:tcPr>
            <w:tcW w:type="dxa" w:w="2232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Деньги</w:t>
            </w:r>
          </w:p>
        </w:tc>
        <w:tc>
          <w:tcPr>
            <w:tcW w:type="dxa" w:w="7560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Расчёты используют Decimal и валюту заведения; округление выполняется по явно определённой точке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Удаление</w:t>
            </w:r>
          </w:p>
        </w:tc>
        <w:tc>
          <w:tcPr>
            <w:tcW w:type="dxa" w:w="7560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Удалённые у провайдера объекты помечаются, а не исчезают из истории; каскад не уничтожает доказательства импорта</w:t>
            </w:r>
          </w:p>
        </w:tc>
      </w:tr>
      <w:tr>
        <w:trPr>
          <w:cantSplit/>
        </w:trPr>
        <w:tc>
          <w:tcPr>
            <w:tcW w:type="dxa" w:w="2232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Ошибки</w:t>
            </w:r>
          </w:p>
        </w:tc>
        <w:tc>
          <w:tcPr>
            <w:tcW w:type="dxa" w:w="7560"/>
            <w:shd w:fill="F3F6FA"/>
            <w:vAlign w:val="center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Невалидная запись изолируется; пакет получает PARTIAL или FAILED и не маскируется как полный успех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Arial" w:hAnsi="Arial" w:eastAsia="Arial"/>
          <w:b/>
          <w:color w:val="000000"/>
          <w:sz w:val="30"/>
        </w:rPr>
        <w:t>7 Ветви и pull request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1"/>
        <w:gridCol w:w="3321"/>
        <w:gridCol w:w="3321"/>
      </w:tblGrid>
      <w:tr>
        <w:trPr>
          <w:tblHeader w:val="true"/>
          <w:cantSplit/>
        </w:trPr>
        <w:tc>
          <w:tcPr>
            <w:tcW w:type="dxa" w:w="3240"/>
            <w:shd w:fill="17365D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Ветка или PR</w:t>
            </w:r>
          </w:p>
        </w:tc>
        <w:tc>
          <w:tcPr>
            <w:tcW w:type="dxa" w:w="4824"/>
            <w:shd w:fill="17365D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Содержание</w:t>
            </w:r>
          </w:p>
        </w:tc>
        <w:tc>
          <w:tcPr>
            <w:tcW w:type="dxa" w:w="1728"/>
            <w:shd w:fill="17365D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Зависимость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codex/pos-integration-layer-v03</w:t>
            </w:r>
          </w:p>
        </w:tc>
        <w:tc>
          <w:tcPr>
            <w:tcW w:type="dxa" w:w="482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Общая рабочая ветка от origin/develop</w:t>
            </w:r>
          </w:p>
        </w:tc>
        <w:tc>
          <w:tcPr>
            <w:tcW w:type="dxa" w:w="1728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Создаётся первой</w:t>
            </w:r>
          </w:p>
        </w:tc>
      </w:tr>
      <w:tr>
        <w:trPr>
          <w:cantSplit/>
        </w:trPr>
        <w:tc>
          <w:tcPr>
            <w:tcW w:type="dxa" w:w="3240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PR 1</w:t>
            </w:r>
          </w:p>
        </w:tc>
        <w:tc>
          <w:tcPr>
            <w:tcW w:type="dxa" w:w="4824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Фундамент, модели, миграции, raw, contracts, flags</w:t>
            </w:r>
          </w:p>
        </w:tc>
        <w:tc>
          <w:tcPr>
            <w:tcW w:type="dxa" w:w="1728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Независим от старой ветки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PR 2</w:t>
            </w:r>
          </w:p>
        </w:tc>
        <w:tc>
          <w:tcPr>
            <w:tcW w:type="dxa" w:w="482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Quick Resto adapter, batch integration, normalization, projections, shadow compare</w:t>
            </w:r>
          </w:p>
        </w:tc>
        <w:tc>
          <w:tcPr>
            <w:tcW w:type="dxa" w:w="1728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После merge PR 1 и обновления от develop</w:t>
            </w:r>
          </w:p>
        </w:tc>
      </w:tr>
      <w:tr>
        <w:trPr>
          <w:cantSplit/>
        </w:trPr>
        <w:tc>
          <w:tcPr>
            <w:tcW w:type="dxa" w:w="3240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PR 3</w:t>
            </w:r>
          </w:p>
        </w:tc>
        <w:tc>
          <w:tcPr>
            <w:tcW w:type="dxa" w:w="4824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Consumers, source selection, iiko, monitoring, rollout</w:t>
            </w:r>
          </w:p>
        </w:tc>
        <w:tc>
          <w:tcPr>
            <w:tcW w:type="dxa" w:w="1728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После прохождения exit gate этапа 2</w:t>
            </w:r>
          </w:p>
        </w:tc>
      </w:tr>
    </w:tbl>
    <w:p>
      <w:pPr>
        <w:spacing w:after="20"/>
      </w:pPr>
    </w:p>
    <w:p>
      <w:pPr/>
      <w:r>
        <w:rPr>
          <w:rFonts w:ascii="Arial" w:hAnsi="Arial" w:eastAsia="Arial"/>
          <w:color w:val="000000"/>
        </w:rPr>
        <w:t>Каждый PR должен быть пригоден для отдельного review и отката. Если develop изменился во время этапа, ветка обновляется до начала финальной регрессии. В PR не переносятся unrelated-файлы из старой ветки и не объединяются миграции разных этапов в один необозримый diff.</w:t>
      </w:r>
    </w:p>
    <w:p>
      <w:pPr>
        <w:pStyle w:val="Heading1"/>
        <w:keepNext/>
        <w:pageBreakBefore w:val="0"/>
      </w:pPr>
      <w:r>
        <w:rPr>
          <w:rFonts w:ascii="Arial" w:hAnsi="Arial" w:eastAsia="Arial"/>
          <w:b/>
          <w:color w:val="000000"/>
          <w:sz w:val="30"/>
        </w:rPr>
        <w:t>8 Матрица тестирования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1"/>
        <w:gridCol w:w="3321"/>
        <w:gridCol w:w="3321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Контур</w:t>
            </w:r>
          </w:p>
        </w:tc>
        <w:tc>
          <w:tcPr>
            <w:tcW w:type="dxa" w:w="6696"/>
            <w:shd w:fill="17365D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Минимальное подтверждение</w:t>
            </w:r>
          </w:p>
        </w:tc>
        <w:tc>
          <w:tcPr>
            <w:tcW w:type="dxa" w:w="1152"/>
            <w:shd w:fill="17365D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Этап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Миграции</w:t>
            </w:r>
          </w:p>
        </w:tc>
        <w:tc>
          <w:tcPr>
            <w:tcW w:type="dxa" w:w="669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Upgrade и downgrade на актуальной схеме; уникальности; внешние ключи; повторный запуск</w:t>
            </w:r>
          </w:p>
        </w:tc>
        <w:tc>
          <w:tcPr>
            <w:tcW w:type="dxa" w:w="115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Ручной режим</w:t>
            </w:r>
          </w:p>
        </w:tc>
        <w:tc>
          <w:tcPr>
            <w:tcW w:type="dxa" w:w="6696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Создание, редактирование, расчёт и экспорт DailyReport без интеграции</w:t>
            </w:r>
          </w:p>
        </w:tc>
        <w:tc>
          <w:tcPr>
            <w:tcW w:type="dxa" w:w="1152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1–3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Provider contract</w:t>
            </w:r>
          </w:p>
        </w:tc>
        <w:tc>
          <w:tcPr>
            <w:tcW w:type="dxa" w:w="669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Capabilities, auth, pagination, errors, rate limits и DTO</w:t>
            </w:r>
          </w:p>
        </w:tc>
        <w:tc>
          <w:tcPr>
            <w:tcW w:type="dxa" w:w="115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1–3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Исторический импорт</w:t>
            </w:r>
          </w:p>
        </w:tc>
        <w:tc>
          <w:tcPr>
            <w:tcW w:type="dxa" w:w="6696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Месячные пакеты, границы, leap year, retry, resume, cancel и stale recovery</w:t>
            </w:r>
          </w:p>
        </w:tc>
        <w:tc>
          <w:tcPr>
            <w:tcW w:type="dxa" w:w="1152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Нормализация</w:t>
            </w:r>
          </w:p>
        </w:tc>
        <w:tc>
          <w:tcPr>
            <w:tcW w:type="dxa" w:w="669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Golden fixtures, Decimal, timezone, business_date, deduplication и replay</w:t>
            </w:r>
          </w:p>
        </w:tc>
        <w:tc>
          <w:tcPr>
            <w:tcW w:type="dxa" w:w="115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Сверка</w:t>
            </w:r>
          </w:p>
        </w:tc>
        <w:tc>
          <w:tcPr>
            <w:tcW w:type="dxa" w:w="6696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Итоги и строки до raw payload; quarantine и разрешение неоднозначностей</w:t>
            </w:r>
          </w:p>
        </w:tc>
        <w:tc>
          <w:tcPr>
            <w:tcW w:type="dxa" w:w="1152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2–3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Потребители</w:t>
            </w:r>
          </w:p>
        </w:tc>
        <w:tc>
          <w:tcPr>
            <w:tcW w:type="dxa" w:w="669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Одинаковые бизнес-результаты без ветвления по провайдеру</w:t>
            </w:r>
          </w:p>
        </w:tc>
        <w:tc>
          <w:tcPr>
            <w:tcW w:type="dxa" w:w="115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Эксплуатация</w:t>
            </w:r>
          </w:p>
        </w:tc>
        <w:tc>
          <w:tcPr>
            <w:tcW w:type="dxa" w:w="6696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Приоритет очередей, метрики, alerts, canary и rollback</w:t>
            </w:r>
          </w:p>
        </w:tc>
        <w:tc>
          <w:tcPr>
            <w:tcW w:type="dxa" w:w="1152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Arial" w:hAnsi="Arial" w:eastAsia="Arial"/>
          <w:b/>
          <w:color w:val="000000"/>
          <w:sz w:val="30"/>
        </w:rPr>
        <w:t>9 Покрытие разделов технического задания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21"/>
        <w:gridCol w:w="3321"/>
        <w:gridCol w:w="3321"/>
      </w:tblGrid>
      <w:tr>
        <w:trPr>
          <w:tblHeader w:val="true"/>
          <w:cantSplit/>
        </w:trPr>
        <w:tc>
          <w:tcPr>
            <w:tcW w:type="dxa" w:w="1944"/>
            <w:shd w:fill="17365D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Разделы v0.3</w:t>
            </w:r>
          </w:p>
        </w:tc>
        <w:tc>
          <w:tcPr>
            <w:tcW w:type="dxa" w:w="1512"/>
            <w:shd w:fill="17365D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Основной этап</w:t>
            </w:r>
          </w:p>
        </w:tc>
        <w:tc>
          <w:tcPr>
            <w:tcW w:type="dxa" w:w="6336"/>
            <w:shd w:fill="17365D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1–6</w:t>
            </w:r>
          </w:p>
        </w:tc>
        <w:tc>
          <w:tcPr>
            <w:tcW w:type="dxa" w:w="151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</w:t>
            </w:r>
          </w:p>
        </w:tc>
        <w:tc>
          <w:tcPr>
            <w:tcW w:type="dxa" w:w="633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Цели, режимы источников, слои и архитектурные границы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7–12</w:t>
            </w:r>
          </w:p>
        </w:tc>
        <w:tc>
          <w:tcPr>
            <w:tcW w:type="dxa" w:w="1512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 и 2</w:t>
            </w:r>
          </w:p>
        </w:tc>
        <w:tc>
          <w:tcPr>
            <w:tcW w:type="dxa" w:w="6336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Подключения, capability, adapter, raw, идентичность и справочники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13–17</w:t>
            </w:r>
          </w:p>
        </w:tc>
        <w:tc>
          <w:tcPr>
            <w:tcW w:type="dxa" w:w="151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</w:t>
            </w:r>
          </w:p>
        </w:tc>
        <w:tc>
          <w:tcPr>
            <w:tcW w:type="dxa" w:w="633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Документы, канонические mapping, проекции и исторический импорт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18–21</w:t>
            </w:r>
          </w:p>
        </w:tc>
        <w:tc>
          <w:tcPr>
            <w:tcW w:type="dxa" w:w="1512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 и 3</w:t>
            </w:r>
          </w:p>
        </w:tc>
        <w:tc>
          <w:tcPr>
            <w:tcW w:type="dxa" w:w="6336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Очереди, incremental sync, reconciliation и качество данных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22</w:t>
            </w:r>
          </w:p>
        </w:tc>
        <w:tc>
          <w:tcPr>
            <w:tcW w:type="dxa" w:w="151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2</w:t>
            </w:r>
          </w:p>
        </w:tc>
        <w:tc>
          <w:tcPr>
            <w:tcW w:type="dxa" w:w="633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Полный профиль Quick Resto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23</w:t>
            </w:r>
          </w:p>
        </w:tc>
        <w:tc>
          <w:tcPr>
            <w:tcW w:type="dxa" w:w="1512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</w:t>
            </w:r>
          </w:p>
        </w:tc>
        <w:tc>
          <w:tcPr>
            <w:tcW w:type="dxa" w:w="6336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Профиль iiko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24–26</w:t>
            </w:r>
          </w:p>
        </w:tc>
        <w:tc>
          <w:tcPr>
            <w:tcW w:type="dxa" w:w="151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3</w:t>
            </w:r>
          </w:p>
        </w:tc>
        <w:tc>
          <w:tcPr>
            <w:tcW w:type="dxa" w:w="633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API, UI, безопасность и эксплуатация</w:t>
            </w:r>
          </w:p>
        </w:tc>
      </w:tr>
      <w:tr>
        <w:trPr>
          <w:cantSplit/>
        </w:trPr>
        <w:tc>
          <w:tcPr>
            <w:tcW w:type="dxa" w:w="1944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27</w:t>
            </w:r>
          </w:p>
        </w:tc>
        <w:tc>
          <w:tcPr>
            <w:tcW w:type="dxa" w:w="1512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1–3</w:t>
            </w:r>
          </w:p>
        </w:tc>
        <w:tc>
          <w:tcPr>
            <w:tcW w:type="dxa" w:w="6336"/>
            <w:shd w:fill="F3F6FA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Аддитивная миграция, shadow, переключение и cleanup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28–29</w:t>
            </w:r>
          </w:p>
        </w:tc>
        <w:tc>
          <w:tcPr>
            <w:tcW w:type="dxa" w:w="1512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center"/>
            </w:pPr>
            <w:r>
              <w:rPr>
                <w:rFonts w:ascii="Arial" w:hAnsi="Arial" w:eastAsia="Arial"/>
                <w:color w:val="000000"/>
                <w:sz w:val="18"/>
              </w:rPr>
              <w:t>1–3</w:t>
            </w:r>
          </w:p>
        </w:tc>
        <w:tc>
          <w:tcPr>
            <w:tcW w:type="dxa" w:w="6336"/>
            <w:vAlign w:val="center"/>
            <w:tcMar>
              <w:top w:w="85" w:type="dxa"/>
              <w:start w:w="115" w:type="dxa"/>
              <w:bottom w:w="85" w:type="dxa"/>
              <w:end w:w="115" w:type="dxa"/>
            </w:tcMar>
          </w:tcPr>
          <w:p>
            <w:pPr>
              <w:spacing w:after="0" w:line="252" w:lineRule="auto"/>
              <w:jc w:val="left"/>
            </w:pPr>
            <w:r>
              <w:rPr>
                <w:rFonts w:ascii="Arial" w:hAnsi="Arial" w:eastAsia="Arial"/>
                <w:color w:val="000000"/>
                <w:sz w:val="18"/>
              </w:rPr>
              <w:t>Тесты, golden fixtures и Definition of Done</w:t>
            </w:r>
          </w:p>
        </w:tc>
      </w:tr>
    </w:tbl>
    <w:p>
      <w:pPr>
        <w:spacing w:after="20"/>
      </w:pPr>
    </w:p>
    <w:p>
      <w:pPr>
        <w:pStyle w:val="Heading1"/>
        <w:keepNext/>
        <w:pageBreakBefore w:val="0"/>
      </w:pPr>
      <w:r>
        <w:rPr>
          <w:rFonts w:ascii="Arial" w:hAnsi="Arial" w:eastAsia="Arial"/>
          <w:b/>
          <w:color w:val="000000"/>
          <w:sz w:val="30"/>
        </w:rPr>
        <w:t>10 Порядок включения и отката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1. </w:t>
      </w:r>
      <w:r>
        <w:rPr>
          <w:rFonts w:ascii="Arial" w:hAnsi="Arial" w:eastAsia="Arial"/>
          <w:color w:val="000000"/>
        </w:rPr>
        <w:t>Применить аддитивные миграции при выключенном canonical read.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2. </w:t>
      </w:r>
      <w:r>
        <w:rPr>
          <w:rFonts w:ascii="Arial" w:hAnsi="Arial" w:eastAsia="Arial"/>
          <w:color w:val="000000"/>
        </w:rPr>
        <w:t>Включить raw capture и canonical shadow write для ограниченного набора заведений.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3. </w:t>
      </w:r>
      <w:r>
        <w:rPr>
          <w:rFonts w:ascii="Arial" w:hAnsi="Arial" w:eastAsia="Arial"/>
          <w:color w:val="000000"/>
        </w:rPr>
        <w:t>Собрать shadow compare и устранить расхождения без изменения действующего источника чтения.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4. </w:t>
      </w:r>
      <w:r>
        <w:rPr>
          <w:rFonts w:ascii="Arial" w:hAnsi="Arial" w:eastAsia="Arial"/>
          <w:color w:val="000000"/>
        </w:rPr>
        <w:t>Включить canonical read для внутреннего или тестового заведения и проверить пользовательские сценарии.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5. </w:t>
      </w:r>
      <w:r>
        <w:rPr>
          <w:rFonts w:ascii="Arial" w:hAnsi="Arial" w:eastAsia="Arial"/>
          <w:color w:val="000000"/>
        </w:rPr>
        <w:t>Расширить canary на согласованную группу и наблюдать freshness, backlog, ошибки и суммы.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6. </w:t>
      </w:r>
      <w:r>
        <w:rPr>
          <w:rFonts w:ascii="Arial" w:hAnsi="Arial" w:eastAsia="Arial"/>
          <w:color w:val="000000"/>
        </w:rPr>
        <w:t>Переключить production по feature flags после выполнения exit gate.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7. </w:t>
      </w:r>
      <w:r>
        <w:rPr>
          <w:rFonts w:ascii="Arial" w:hAnsi="Arial" w:eastAsia="Arial"/>
          <w:color w:val="000000"/>
        </w:rPr>
        <w:t>При rollback выключить canonical read, не удаляя raw и canonical данные; разобрать причину и повторить shadow-проверку.</w:t>
      </w:r>
    </w:p>
    <w:p>
      <w:pPr>
        <w:spacing w:after="80"/>
        <w:ind w:left="403" w:hanging="288"/>
      </w:pPr>
      <w:r>
        <w:rPr>
          <w:rFonts w:ascii="Arial" w:hAnsi="Arial" w:eastAsia="Arial"/>
          <w:b/>
          <w:color w:val="000000"/>
        </w:rPr>
        <w:t xml:space="preserve">8. </w:t>
      </w:r>
      <w:r>
        <w:rPr>
          <w:rFonts w:ascii="Arial" w:hAnsi="Arial" w:eastAsia="Arial"/>
          <w:color w:val="000000"/>
        </w:rPr>
        <w:t>После периода наблюдения отдельным решением удалить неиспользуемый legacy-код и только затем планировать деструктивную миграцию.</w:t>
      </w:r>
    </w:p>
    <w:p>
      <w:pPr>
        <w:pStyle w:val="Heading1"/>
        <w:keepNext/>
        <w:pageBreakBefore/>
      </w:pPr>
      <w:r>
        <w:rPr>
          <w:rFonts w:ascii="Arial" w:hAnsi="Arial" w:eastAsia="Arial"/>
          <w:b/>
          <w:color w:val="000000"/>
          <w:sz w:val="30"/>
        </w:rPr>
        <w:t>11 Итоговые критерии готовности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весь production-код интеграций начинается от актуального develop и не требует merge старой POS-ветки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Quick Resto использует существующее месячное дробление диапазонов и единый механизм прогресса, retry и resume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Quick Resto и iiko реализуют один Provider Adapter contract и объявляют фактические capability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raw данные воспроизводимы, canonical записи идемпотентны, а происхождение бизнес-факта прослеживается до payload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бизнес-модули читают ReportFacts или ACDM projections и не содержат provider-specific ветвлений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MANUAL работает без интеграции; POS_CANONICAL включается явно; исторические данные не переписываются без решения пользователя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ошибки качества видимы в API и UI, поддерживают quarantine, retry и reconciliation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development и production имеют метрики, alerts, runbook, canary и проверенный rollback</w:t>
      </w:r>
    </w:p>
    <w:p>
      <w:pPr>
        <w:spacing w:after="60"/>
        <w:ind w:left="346" w:hanging="173"/>
      </w:pPr>
      <w:r>
        <w:rPr>
          <w:rFonts w:ascii="Arial" w:hAnsi="Arial" w:eastAsia="Arial"/>
          <w:color w:val="000000"/>
        </w:rPr>
        <w:t>• удаление legacy выполняется отдельным PR после подтверждения стабильности и отсутствия активных зависимостей</w:t>
      </w:r>
    </w:p>
    <w:sectPr w:rsidR="00FC693F" w:rsidRPr="0006063C" w:rsidSect="00034616">
      <w:footerReference w:type="default" r:id="rId9"/>
      <w:pgSz w:w="12240" w:h="15840"/>
      <w:pgMar w:top="965" w:right="1138" w:bottom="965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 w:eastAsia="Arial"/>
        <w:color w:val="595959"/>
        <w:sz w:val="17"/>
      </w:rPr>
      <w:t xml:space="preserve">Axelio • План реализации POS Integration Layer •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rial" w:hAnsi="Arial" w:eastAsia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40" w:after="10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  <w:ind w:left="283" w:right="113"/>
    </w:pPr>
    <w:rPr>
      <w:rFonts w:ascii="Liberation Mono" w:hAnsi="Liberation Mono" w:eastAsia="Liberation Mono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реализации Axelio POS Integration Layer</dc:title>
  <dc:subject>Поэтапная каноническая миграция POS интеграций</dc:subject>
  <dc:creator>Axelio</dc:creator>
  <cp:keywords/>
  <dc:description>Версия 0.3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