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40"/>
        <w:jc w:val="center"/>
      </w:pPr>
      <w:r>
        <w:rPr>
          <w:b/>
          <w:i w:val="0"/>
          <w:color w:val="144E63"/>
          <w:sz w:val="64"/>
        </w:rPr>
        <w:t>ThreatLens</w:t>
      </w:r>
    </w:p>
    <w:p>
      <w:pPr>
        <w:spacing w:after="40"/>
        <w:jc w:val="center"/>
      </w:pPr>
      <w:r>
        <w:rPr>
          <w:b/>
          <w:i w:val="0"/>
          <w:color w:val="1A1A1A"/>
          <w:sz w:val="36"/>
        </w:rPr>
        <w:t>Test Case Document</w:t>
      </w:r>
    </w:p>
    <w:p>
      <w:pPr>
        <w:spacing w:after="560"/>
        <w:jc w:val="center"/>
      </w:pPr>
      <w:r>
        <w:rPr>
          <w:b w:val="0"/>
          <w:i/>
          <w:color w:val="555555"/>
          <w:sz w:val="23"/>
        </w:rPr>
        <w:t>10 Positive &amp; 10 Negative Test Cases · Traceable to the ThreatLens SRD</w:t>
      </w:r>
    </w:p>
    <w:p/>
    <w:p/>
    <w:p/>
    <w:p/>
    <w:p/>
    <w:p/>
    <w:tbl>
      <w:tblPr>
        <w:tblStyle w:val="TableGrid"/>
        <w:tblW w:type="auto" w:w="0"/>
        <w:tblLook w:firstColumn="1" w:firstRow="1" w:lastColumn="0" w:lastRow="0" w:noHBand="0" w:noVBand="1" w:val="04A0"/>
      </w:tblPr>
      <w:tblGrid>
        <w:gridCol w:w="4320"/>
        <w:gridCol w:w="4320"/>
      </w:tblGrid>
      <w:tr>
        <w:tc>
          <w:tcPr>
            <w:tcW w:type="dxa" w:w="1944"/>
            <w:shd w:val="clear" w:color="auto" w:fill="EAF1F4"/>
          </w:tcPr>
          <w:p>
            <w:r/>
            <w:r>
              <w:rPr>
                <w:b/>
                <w:sz w:val="19"/>
              </w:rPr>
              <w:t>Document Title</w:t>
            </w:r>
          </w:p>
        </w:tc>
        <w:tc>
          <w:tcPr>
            <w:tcW w:type="dxa" w:w="7704"/>
          </w:tcPr>
          <w:p>
            <w:r/>
            <w:r>
              <w:rPr>
                <w:sz w:val="19"/>
              </w:rPr>
              <w:t>ThreatLens — Test Case Document</w:t>
            </w:r>
          </w:p>
        </w:tc>
      </w:tr>
      <w:tr>
        <w:tc>
          <w:tcPr>
            <w:tcW w:type="dxa" w:w="1944"/>
            <w:shd w:val="clear" w:color="auto" w:fill="EAF1F4"/>
          </w:tcPr>
          <w:p>
            <w:r/>
            <w:r>
              <w:rPr>
                <w:b/>
                <w:sz w:val="19"/>
              </w:rPr>
              <w:t>Version</w:t>
            </w:r>
          </w:p>
        </w:tc>
        <w:tc>
          <w:tcPr>
            <w:tcW w:type="dxa" w:w="7704"/>
          </w:tcPr>
          <w:p>
            <w:r/>
            <w:r>
              <w:rPr>
                <w:sz w:val="19"/>
              </w:rPr>
              <w:t>1.0 (baseline — Platform Version 1)</w:t>
            </w:r>
          </w:p>
        </w:tc>
      </w:tr>
      <w:tr>
        <w:tc>
          <w:tcPr>
            <w:tcW w:type="dxa" w:w="1944"/>
            <w:shd w:val="clear" w:color="auto" w:fill="EAF1F4"/>
          </w:tcPr>
          <w:p>
            <w:r/>
            <w:r>
              <w:rPr>
                <w:b/>
                <w:sz w:val="19"/>
              </w:rPr>
              <w:t>Traces To</w:t>
            </w:r>
          </w:p>
        </w:tc>
        <w:tc>
          <w:tcPr>
            <w:tcW w:type="dxa" w:w="7704"/>
          </w:tcPr>
          <w:p>
            <w:r/>
            <w:r>
              <w:rPr>
                <w:sz w:val="19"/>
              </w:rPr>
              <w:t>ThreatLens System Requirements Document v1.0</w:t>
            </w:r>
          </w:p>
        </w:tc>
      </w:tr>
      <w:tr>
        <w:tc>
          <w:tcPr>
            <w:tcW w:type="dxa" w:w="1944"/>
            <w:shd w:val="clear" w:color="auto" w:fill="EAF1F4"/>
          </w:tcPr>
          <w:p>
            <w:r/>
            <w:r>
              <w:rPr>
                <w:b/>
                <w:sz w:val="19"/>
              </w:rPr>
              <w:t>Scope</w:t>
            </w:r>
          </w:p>
        </w:tc>
        <w:tc>
          <w:tcPr>
            <w:tcW w:type="dxa" w:w="7704"/>
          </w:tcPr>
          <w:p>
            <w:r/>
            <w:r>
              <w:rPr>
                <w:sz w:val="19"/>
              </w:rPr>
              <w:t>Version 1 — Email Phishing Campaign Analysis</w:t>
            </w:r>
          </w:p>
        </w:tc>
      </w:tr>
      <w:tr>
        <w:tc>
          <w:tcPr>
            <w:tcW w:type="dxa" w:w="1944"/>
            <w:shd w:val="clear" w:color="auto" w:fill="EAF1F4"/>
          </w:tcPr>
          <w:p>
            <w:r/>
            <w:r>
              <w:rPr>
                <w:b/>
                <w:sz w:val="19"/>
              </w:rPr>
              <w:t>Date</w:t>
            </w:r>
          </w:p>
        </w:tc>
        <w:tc>
          <w:tcPr>
            <w:tcW w:type="dxa" w:w="7704"/>
          </w:tcPr>
          <w:p>
            <w:r/>
            <w:r>
              <w:rPr>
                <w:sz w:val="19"/>
              </w:rPr>
              <w:t>09 July 2026</w:t>
            </w:r>
          </w:p>
        </w:tc>
      </w:tr>
    </w:tbl>
    <w:p>
      <w:r>
        <w:br w:type="page"/>
      </w:r>
    </w:p>
    <w:p>
      <w:pPr>
        <w:pStyle w:val="Heading1"/>
      </w:pPr>
      <w:r>
        <w:t>1. Introduction</w:t>
      </w:r>
    </w:p>
    <w:p>
      <w:pPr>
        <w:pStyle w:val="Heading2"/>
      </w:pPr>
      <w:r>
        <w:t>1.1 Purpose</w:t>
      </w:r>
    </w:p>
    <w:p>
      <w:r>
        <w:rPr>
          <w:b w:val="0"/>
          <w:i w:val="0"/>
        </w:rPr>
        <w:t>This document defines a baseline set of test cases for the ThreatLens platform. Every test case is traceable to one or more requirement IDs in the ThreatLens System Requirements Document (SRD), so that verification coverage can be measured against the spec.</w:t>
      </w:r>
    </w:p>
    <w:p>
      <w:pPr>
        <w:pStyle w:val="Heading2"/>
      </w:pPr>
      <w:r>
        <w:t>1.2 Scope</w:t>
      </w:r>
    </w:p>
    <w:p>
      <w:r>
        <w:rPr>
          <w:b w:val="0"/>
          <w:i w:val="0"/>
        </w:rPr>
        <w:t>Covers Version 1 (Email Phishing Intelligence Platform): the Data Collection, Threat Taxonomy, Feature Extraction, Threat Intelligence, Human Manipulation, Machine Learning, Explainable AI, Dashboard, and Reporting components, plus relevant non-functional requirements.</w:t>
      </w:r>
    </w:p>
    <w:p>
      <w:pPr>
        <w:pStyle w:val="Heading2"/>
      </w:pPr>
      <w:r>
        <w:t>1.3 Test Conventions</w:t>
      </w:r>
    </w:p>
    <w:p>
      <w:pPr>
        <w:pStyle w:val="ListBullet"/>
      </w:pPr>
      <w:r>
        <w:rPr>
          <w:b/>
        </w:rPr>
        <w:t xml:space="preserve">Identifiers — </w:t>
      </w:r>
      <w:r>
        <w:t>positive cases are TC-P-nn; negative cases are TC-N-nn.</w:t>
      </w:r>
    </w:p>
    <w:p>
      <w:pPr>
        <w:pStyle w:val="ListBullet"/>
      </w:pPr>
      <w:r>
        <w:rPr>
          <w:b/>
        </w:rPr>
        <w:t xml:space="preserve">Positive test — </w:t>
      </w:r>
      <w:r>
        <w:t>verifies the system does what it should on valid input (the "happy path").</w:t>
      </w:r>
    </w:p>
    <w:p>
      <w:pPr>
        <w:pStyle w:val="ListBullet"/>
      </w:pPr>
      <w:r>
        <w:rPr>
          <w:b/>
        </w:rPr>
        <w:t xml:space="preserve">Negative test — </w:t>
      </w:r>
      <w:r>
        <w:t>verifies the system handles invalid, missing, malicious, or boundary input correctly — by rejecting, flagging, or degrading gracefully rather than crashing or mis-deciding.</w:t>
      </w:r>
    </w:p>
    <w:p>
      <w:pPr>
        <w:pStyle w:val="ListBullet"/>
      </w:pPr>
      <w:r>
        <w:rPr>
          <w:b/>
        </w:rPr>
        <w:t xml:space="preserve">Priority — </w:t>
      </w:r>
      <w:r>
        <w:t>High (core capability / safety) or Medium (important, non-blocking).</w:t>
      </w:r>
    </w:p>
    <w:p>
      <w:pPr>
        <w:pStyle w:val="ListBullet"/>
      </w:pPr>
      <w:r>
        <w:rPr>
          <w:b/>
        </w:rPr>
        <w:t xml:space="preserve">Pass criterion — </w:t>
      </w:r>
      <w:r>
        <w:t>the observed result matches the Expected Result exactly.</w:t>
      </w:r>
    </w:p>
    <w:p>
      <w:r>
        <w:br w:type="page"/>
      </w:r>
    </w:p>
    <w:p>
      <w:pPr>
        <w:pStyle w:val="Heading1"/>
      </w:pPr>
      <w:r>
        <w:t>2. Positive Test Cases</w:t>
      </w:r>
    </w:p>
    <w:p>
      <w:r>
        <w:rPr>
          <w:b w:val="0"/>
          <w:i/>
          <w:color w:val="2C7A53"/>
        </w:rPr>
        <w:t>Ten cases exercising the happy path across all nine components.</w:t>
      </w:r>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2C7A53"/>
          </w:tcPr>
          <w:p>
            <w:r/>
            <w:r>
              <w:rPr>
                <w:b/>
                <w:color w:val="FFFFFF"/>
                <w:sz w:val="21"/>
              </w:rPr>
              <w:t>TC-P-01   Collect, de-duplicate and normalize public phishing samples</w:t>
            </w:r>
            <w:r>
              <w:rPr>
                <w:b/>
                <w:color w:val="FFFFFF"/>
                <w:sz w:val="18"/>
              </w:rPr>
              <w:t xml:space="preserve">    [High]</w:t>
            </w:r>
          </w:p>
        </w:tc>
      </w:tr>
      <w:tr>
        <w:tc>
          <w:tcPr>
            <w:tcW w:type="dxa" w:w="1944"/>
            <w:shd w:val="clear" w:color="auto" w:fill="EAF1F4"/>
          </w:tcPr>
          <w:p>
            <w:r/>
            <w:r>
              <w:rPr>
                <w:b/>
                <w:sz w:val="19"/>
              </w:rPr>
              <w:t>Requirement ID</w:t>
            </w:r>
          </w:p>
        </w:tc>
        <w:tc>
          <w:tcPr>
            <w:tcW w:type="dxa" w:w="7704"/>
          </w:tcPr>
          <w:p>
            <w:r/>
            <w:r>
              <w:rPr>
                <w:sz w:val="19"/>
              </w:rPr>
              <w:t>DC-FR-01, DC-FR-03, DC-FR-04</w:t>
            </w:r>
          </w:p>
        </w:tc>
      </w:tr>
      <w:tr>
        <w:tc>
          <w:tcPr>
            <w:tcW w:type="dxa" w:w="1944"/>
            <w:shd w:val="clear" w:color="auto" w:fill="EAF1F4"/>
          </w:tcPr>
          <w:p>
            <w:r/>
            <w:r>
              <w:rPr>
                <w:b/>
                <w:sz w:val="19"/>
              </w:rPr>
              <w:t>Preconditions</w:t>
            </w:r>
          </w:p>
        </w:tc>
        <w:tc>
          <w:tcPr>
            <w:tcW w:type="dxa" w:w="7704"/>
          </w:tcPr>
          <w:p>
            <w:r/>
            <w:r>
              <w:rPr>
                <w:sz w:val="19"/>
              </w:rPr>
              <w:t>Data Collection module configured with a public phishing source; dataset empty.</w:t>
            </w:r>
          </w:p>
        </w:tc>
      </w:tr>
      <w:tr>
        <w:tc>
          <w:tcPr>
            <w:tcW w:type="dxa" w:w="1944"/>
            <w:shd w:val="clear" w:color="auto" w:fill="EAF1F4"/>
          </w:tcPr>
          <w:p>
            <w:r/>
            <w:r>
              <w:rPr>
                <w:b/>
                <w:sz w:val="19"/>
              </w:rPr>
              <w:t>Test Steps</w:t>
            </w:r>
          </w:p>
        </w:tc>
        <w:tc>
          <w:tcPr>
            <w:tcW w:type="dxa" w:w="7704"/>
          </w:tcPr>
          <w:p>
            <w:pPr>
              <w:spacing w:after="20"/>
            </w:pPr>
            <w:r/>
            <w:r>
              <w:rPr>
                <w:sz w:val="19"/>
              </w:rPr>
              <w:t>1. Load a batch of 100 phishing emails that contains 5 exact duplicates.</w:t>
            </w:r>
          </w:p>
          <w:p>
            <w:pPr>
              <w:spacing w:after="20"/>
            </w:pPr>
            <w:r>
              <w:rPr>
                <w:sz w:val="19"/>
              </w:rPr>
              <w:t>2. Run the data collection process.</w:t>
            </w:r>
          </w:p>
          <w:p>
            <w:pPr>
              <w:spacing w:after="20"/>
            </w:pPr>
            <w:r>
              <w:rPr>
                <w:sz w:val="19"/>
              </w:rPr>
              <w:t>3. Inspect the stored record count and schema.</w:t>
            </w:r>
          </w:p>
        </w:tc>
      </w:tr>
      <w:tr>
        <w:tc>
          <w:tcPr>
            <w:tcW w:type="dxa" w:w="1944"/>
            <w:shd w:val="clear" w:color="auto" w:fill="EAF1F4"/>
          </w:tcPr>
          <w:p>
            <w:r/>
            <w:r>
              <w:rPr>
                <w:b/>
                <w:sz w:val="19"/>
              </w:rPr>
              <w:t>Test Data</w:t>
            </w:r>
          </w:p>
        </w:tc>
        <w:tc>
          <w:tcPr>
            <w:tcW w:type="dxa" w:w="7704"/>
          </w:tcPr>
          <w:p>
            <w:r/>
            <w:r>
              <w:rPr>
                <w:sz w:val="19"/>
              </w:rPr>
              <w:t>100 raw phishing emails (95 unique + 5 duplicates) from the Nazario phishing corpus.</w:t>
            </w:r>
          </w:p>
        </w:tc>
      </w:tr>
      <w:tr>
        <w:tc>
          <w:tcPr>
            <w:tcW w:type="dxa" w:w="1944"/>
            <w:shd w:val="clear" w:color="auto" w:fill="EAF1F4"/>
          </w:tcPr>
          <w:p>
            <w:r/>
            <w:r>
              <w:rPr>
                <w:b/>
                <w:sz w:val="19"/>
              </w:rPr>
              <w:t>Expected Result</w:t>
            </w:r>
          </w:p>
        </w:tc>
        <w:tc>
          <w:tcPr>
            <w:tcW w:type="dxa" w:w="7704"/>
          </w:tcPr>
          <w:p>
            <w:r/>
            <w:r>
              <w:rPr>
                <w:sz w:val="19"/>
              </w:rPr>
              <w:t>95 unique records are stored; the 5 duplicates are removed (DC-FR-03); every record conforms to the normalized schema id/source/collected_at/sender/subject/body/url/label with metadata captured (DC-FR-02/04).</w:t>
            </w:r>
          </w:p>
        </w:tc>
      </w:tr>
    </w:tbl>
    <w:p>
      <w:pPr>
        <w:spacing w:after="80"/>
      </w:pPr>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2C7A53"/>
          </w:tcPr>
          <w:p>
            <w:r/>
            <w:r>
              <w:rPr>
                <w:b/>
                <w:color w:val="FFFFFF"/>
                <w:sz w:val="21"/>
              </w:rPr>
              <w:t>TC-P-02   Classify a phishing sample into the correct taxonomy category</w:t>
            </w:r>
            <w:r>
              <w:rPr>
                <w:b/>
                <w:color w:val="FFFFFF"/>
                <w:sz w:val="18"/>
              </w:rPr>
              <w:t xml:space="preserve">    [High]</w:t>
            </w:r>
          </w:p>
        </w:tc>
      </w:tr>
      <w:tr>
        <w:tc>
          <w:tcPr>
            <w:tcW w:type="dxa" w:w="1944"/>
            <w:shd w:val="clear" w:color="auto" w:fill="EAF1F4"/>
          </w:tcPr>
          <w:p>
            <w:r/>
            <w:r>
              <w:rPr>
                <w:b/>
                <w:sz w:val="19"/>
              </w:rPr>
              <w:t>Requirement ID</w:t>
            </w:r>
          </w:p>
        </w:tc>
        <w:tc>
          <w:tcPr>
            <w:tcW w:type="dxa" w:w="7704"/>
          </w:tcPr>
          <w:p>
            <w:r/>
            <w:r>
              <w:rPr>
                <w:sz w:val="19"/>
              </w:rPr>
              <w:t>TT-FR-01, TT-FR-03</w:t>
            </w:r>
          </w:p>
        </w:tc>
      </w:tr>
      <w:tr>
        <w:tc>
          <w:tcPr>
            <w:tcW w:type="dxa" w:w="1944"/>
            <w:shd w:val="clear" w:color="auto" w:fill="EAF1F4"/>
          </w:tcPr>
          <w:p>
            <w:r/>
            <w:r>
              <w:rPr>
                <w:b/>
                <w:sz w:val="19"/>
              </w:rPr>
              <w:t>Preconditions</w:t>
            </w:r>
          </w:p>
        </w:tc>
        <w:tc>
          <w:tcPr>
            <w:tcW w:type="dxa" w:w="7704"/>
          </w:tcPr>
          <w:p>
            <w:r/>
            <w:r>
              <w:rPr>
                <w:sz w:val="19"/>
              </w:rPr>
              <w:t>Taxonomy loaded with the 6 defined categories; sample available.</w:t>
            </w:r>
          </w:p>
        </w:tc>
      </w:tr>
      <w:tr>
        <w:tc>
          <w:tcPr>
            <w:tcW w:type="dxa" w:w="1944"/>
            <w:shd w:val="clear" w:color="auto" w:fill="EAF1F4"/>
          </w:tcPr>
          <w:p>
            <w:r/>
            <w:r>
              <w:rPr>
                <w:b/>
                <w:sz w:val="19"/>
              </w:rPr>
              <w:t>Test Steps</w:t>
            </w:r>
          </w:p>
        </w:tc>
        <w:tc>
          <w:tcPr>
            <w:tcW w:type="dxa" w:w="7704"/>
          </w:tcPr>
          <w:p>
            <w:pPr>
              <w:spacing w:after="20"/>
            </w:pPr>
            <w:r/>
            <w:r>
              <w:rPr>
                <w:sz w:val="19"/>
              </w:rPr>
              <w:t>1. Select a credential-harvesting email that impersonates Microsoft 365.</w:t>
            </w:r>
          </w:p>
          <w:p>
            <w:pPr>
              <w:spacing w:after="20"/>
            </w:pPr>
            <w:r>
              <w:rPr>
                <w:sz w:val="19"/>
              </w:rPr>
              <w:t>2. Run taxonomy classification on the sample.</w:t>
            </w:r>
          </w:p>
        </w:tc>
      </w:tr>
      <w:tr>
        <w:tc>
          <w:tcPr>
            <w:tcW w:type="dxa" w:w="1944"/>
            <w:shd w:val="clear" w:color="auto" w:fill="EAF1F4"/>
          </w:tcPr>
          <w:p>
            <w:r/>
            <w:r>
              <w:rPr>
                <w:b/>
                <w:sz w:val="19"/>
              </w:rPr>
              <w:t>Test Data</w:t>
            </w:r>
          </w:p>
        </w:tc>
        <w:tc>
          <w:tcPr>
            <w:tcW w:type="dxa" w:w="7704"/>
          </w:tcPr>
          <w:p>
            <w:r/>
            <w:r>
              <w:rPr>
                <w:sz w:val="19"/>
              </w:rPr>
              <w:t>Email asking the user to "verify your password" via a fake login link.</w:t>
            </w:r>
          </w:p>
        </w:tc>
      </w:tr>
      <w:tr>
        <w:tc>
          <w:tcPr>
            <w:tcW w:type="dxa" w:w="1944"/>
            <w:shd w:val="clear" w:color="auto" w:fill="EAF1F4"/>
          </w:tcPr>
          <w:p>
            <w:r/>
            <w:r>
              <w:rPr>
                <w:b/>
                <w:sz w:val="19"/>
              </w:rPr>
              <w:t>Expected Result</w:t>
            </w:r>
          </w:p>
        </w:tc>
        <w:tc>
          <w:tcPr>
            <w:tcW w:type="dxa" w:w="7704"/>
          </w:tcPr>
          <w:p>
            <w:r/>
            <w:r>
              <w:rPr>
                <w:sz w:val="19"/>
              </w:rPr>
              <w:t>The sample is labeled "Credential Theft"; the category exists in the taxonomy (TT-FR-01) and the label is attached to the sample (TT-FR-03).</w:t>
            </w:r>
          </w:p>
        </w:tc>
      </w:tr>
    </w:tbl>
    <w:p>
      <w:pPr>
        <w:spacing w:after="80"/>
      </w:pPr>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2C7A53"/>
          </w:tcPr>
          <w:p>
            <w:r/>
            <w:r>
              <w:rPr>
                <w:b/>
                <w:color w:val="FFFFFF"/>
                <w:sz w:val="21"/>
              </w:rPr>
              <w:t>TC-P-03   Extract email features from a sample</w:t>
            </w:r>
            <w:r>
              <w:rPr>
                <w:b/>
                <w:color w:val="FFFFFF"/>
                <w:sz w:val="18"/>
              </w:rPr>
              <w:t xml:space="preserve">    [High]</w:t>
            </w:r>
          </w:p>
        </w:tc>
      </w:tr>
      <w:tr>
        <w:tc>
          <w:tcPr>
            <w:tcW w:type="dxa" w:w="1944"/>
            <w:shd w:val="clear" w:color="auto" w:fill="EAF1F4"/>
          </w:tcPr>
          <w:p>
            <w:r/>
            <w:r>
              <w:rPr>
                <w:b/>
                <w:sz w:val="19"/>
              </w:rPr>
              <w:t>Requirement ID</w:t>
            </w:r>
          </w:p>
        </w:tc>
        <w:tc>
          <w:tcPr>
            <w:tcW w:type="dxa" w:w="7704"/>
          </w:tcPr>
          <w:p>
            <w:r/>
            <w:r>
              <w:rPr>
                <w:sz w:val="19"/>
              </w:rPr>
              <w:t>FE-FR-01, FE-FR-04</w:t>
            </w:r>
          </w:p>
        </w:tc>
      </w:tr>
      <w:tr>
        <w:tc>
          <w:tcPr>
            <w:tcW w:type="dxa" w:w="1944"/>
            <w:shd w:val="clear" w:color="auto" w:fill="EAF1F4"/>
          </w:tcPr>
          <w:p>
            <w:r/>
            <w:r>
              <w:rPr>
                <w:b/>
                <w:sz w:val="19"/>
              </w:rPr>
              <w:t>Preconditions</w:t>
            </w:r>
          </w:p>
        </w:tc>
        <w:tc>
          <w:tcPr>
            <w:tcW w:type="dxa" w:w="7704"/>
          </w:tcPr>
          <w:p>
            <w:r/>
            <w:r>
              <w:rPr>
                <w:sz w:val="19"/>
              </w:rPr>
              <w:t>A normalized sample is available.</w:t>
            </w:r>
          </w:p>
        </w:tc>
      </w:tr>
      <w:tr>
        <w:tc>
          <w:tcPr>
            <w:tcW w:type="dxa" w:w="1944"/>
            <w:shd w:val="clear" w:color="auto" w:fill="EAF1F4"/>
          </w:tcPr>
          <w:p>
            <w:r/>
            <w:r>
              <w:rPr>
                <w:b/>
                <w:sz w:val="19"/>
              </w:rPr>
              <w:t>Test Steps</w:t>
            </w:r>
          </w:p>
        </w:tc>
        <w:tc>
          <w:tcPr>
            <w:tcW w:type="dxa" w:w="7704"/>
          </w:tcPr>
          <w:p>
            <w:pPr>
              <w:spacing w:after="20"/>
            </w:pPr>
            <w:r/>
            <w:r>
              <w:rPr>
                <w:sz w:val="19"/>
              </w:rPr>
              <w:t>1. Run the feature extraction pipeline on the sample.</w:t>
            </w:r>
          </w:p>
          <w:p>
            <w:pPr>
              <w:spacing w:after="20"/>
            </w:pPr>
            <w:r>
              <w:rPr>
                <w:sz w:val="19"/>
              </w:rPr>
              <w:t>2. Inspect the email-domain feature group of the resulting vector.</w:t>
            </w:r>
          </w:p>
        </w:tc>
      </w:tr>
      <w:tr>
        <w:tc>
          <w:tcPr>
            <w:tcW w:type="dxa" w:w="1944"/>
            <w:shd w:val="clear" w:color="auto" w:fill="EAF1F4"/>
          </w:tcPr>
          <w:p>
            <w:r/>
            <w:r>
              <w:rPr>
                <w:b/>
                <w:sz w:val="19"/>
              </w:rPr>
              <w:t>Test Data</w:t>
            </w:r>
          </w:p>
        </w:tc>
        <w:tc>
          <w:tcPr>
            <w:tcW w:type="dxa" w:w="7704"/>
          </w:tcPr>
          <w:p>
            <w:r/>
            <w:r>
              <w:rPr>
                <w:sz w:val="19"/>
              </w:rPr>
              <w:t>Phishing email from sender it-support@secure-mail-verify.co.</w:t>
            </w:r>
          </w:p>
        </w:tc>
      </w:tr>
      <w:tr>
        <w:tc>
          <w:tcPr>
            <w:tcW w:type="dxa" w:w="1944"/>
            <w:shd w:val="clear" w:color="auto" w:fill="EAF1F4"/>
          </w:tcPr>
          <w:p>
            <w:r/>
            <w:r>
              <w:rPr>
                <w:b/>
                <w:sz w:val="19"/>
              </w:rPr>
              <w:t>Expected Result</w:t>
            </w:r>
          </w:p>
        </w:tc>
        <w:tc>
          <w:tcPr>
            <w:tcW w:type="dxa" w:w="7704"/>
          </w:tcPr>
          <w:p>
            <w:r/>
            <w:r>
              <w:rPr>
                <w:sz w:val="19"/>
              </w:rPr>
              <w:t>The feature vector contains sender_domain, language_pattern, keyword_score and grammar_score (FE-FR-01) in the consistent documented schema (FE-FR-04).</w:t>
            </w:r>
          </w:p>
        </w:tc>
      </w:tr>
    </w:tbl>
    <w:p>
      <w:pPr>
        <w:spacing w:after="80"/>
      </w:pPr>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2C7A53"/>
          </w:tcPr>
          <w:p>
            <w:r/>
            <w:r>
              <w:rPr>
                <w:b/>
                <w:color w:val="FFFFFF"/>
                <w:sz w:val="21"/>
              </w:rPr>
              <w:t>TC-P-04   Extract URL and behavioral features</w:t>
            </w:r>
            <w:r>
              <w:rPr>
                <w:b/>
                <w:color w:val="FFFFFF"/>
                <w:sz w:val="18"/>
              </w:rPr>
              <w:t xml:space="preserve">    [High]</w:t>
            </w:r>
          </w:p>
        </w:tc>
      </w:tr>
      <w:tr>
        <w:tc>
          <w:tcPr>
            <w:tcW w:type="dxa" w:w="1944"/>
            <w:shd w:val="clear" w:color="auto" w:fill="EAF1F4"/>
          </w:tcPr>
          <w:p>
            <w:r/>
            <w:r>
              <w:rPr>
                <w:b/>
                <w:sz w:val="19"/>
              </w:rPr>
              <w:t>Requirement ID</w:t>
            </w:r>
          </w:p>
        </w:tc>
        <w:tc>
          <w:tcPr>
            <w:tcW w:type="dxa" w:w="7704"/>
          </w:tcPr>
          <w:p>
            <w:r/>
            <w:r>
              <w:rPr>
                <w:sz w:val="19"/>
              </w:rPr>
              <w:t>FE-FR-02, FE-FR-03</w:t>
            </w:r>
          </w:p>
        </w:tc>
      </w:tr>
      <w:tr>
        <w:tc>
          <w:tcPr>
            <w:tcW w:type="dxa" w:w="1944"/>
            <w:shd w:val="clear" w:color="auto" w:fill="EAF1F4"/>
          </w:tcPr>
          <w:p>
            <w:r/>
            <w:r>
              <w:rPr>
                <w:b/>
                <w:sz w:val="19"/>
              </w:rPr>
              <w:t>Preconditions</w:t>
            </w:r>
          </w:p>
        </w:tc>
        <w:tc>
          <w:tcPr>
            <w:tcW w:type="dxa" w:w="7704"/>
          </w:tcPr>
          <w:p>
            <w:r/>
            <w:r>
              <w:rPr>
                <w:sz w:val="19"/>
              </w:rPr>
              <w:t>A sample containing a URL and urgency wording is available.</w:t>
            </w:r>
          </w:p>
        </w:tc>
      </w:tr>
      <w:tr>
        <w:tc>
          <w:tcPr>
            <w:tcW w:type="dxa" w:w="1944"/>
            <w:shd w:val="clear" w:color="auto" w:fill="EAF1F4"/>
          </w:tcPr>
          <w:p>
            <w:r/>
            <w:r>
              <w:rPr>
                <w:b/>
                <w:sz w:val="19"/>
              </w:rPr>
              <w:t>Test Steps</w:t>
            </w:r>
          </w:p>
        </w:tc>
        <w:tc>
          <w:tcPr>
            <w:tcW w:type="dxa" w:w="7704"/>
          </w:tcPr>
          <w:p>
            <w:pPr>
              <w:spacing w:after="20"/>
            </w:pPr>
            <w:r/>
            <w:r>
              <w:rPr>
                <w:sz w:val="19"/>
              </w:rPr>
              <w:t>1. Run feature extraction on the sample.</w:t>
            </w:r>
          </w:p>
          <w:p>
            <w:pPr>
              <w:spacing w:after="20"/>
            </w:pPr>
            <w:r>
              <w:rPr>
                <w:sz w:val="19"/>
              </w:rPr>
              <w:t>2. Inspect the URL and behavioral feature groups.</w:t>
            </w:r>
          </w:p>
        </w:tc>
      </w:tr>
      <w:tr>
        <w:tc>
          <w:tcPr>
            <w:tcW w:type="dxa" w:w="1944"/>
            <w:shd w:val="clear" w:color="auto" w:fill="EAF1F4"/>
          </w:tcPr>
          <w:p>
            <w:r/>
            <w:r>
              <w:rPr>
                <w:b/>
                <w:sz w:val="19"/>
              </w:rPr>
              <w:t>Test Data</w:t>
            </w:r>
          </w:p>
        </w:tc>
        <w:tc>
          <w:tcPr>
            <w:tcW w:type="dxa" w:w="7704"/>
          </w:tcPr>
          <w:p>
            <w:r/>
            <w:r>
              <w:rPr>
                <w:sz w:val="19"/>
              </w:rPr>
              <w:t>Email with URL http://sec-login.co/verify?id=9007 and the phrase "within 24 hours".</w:t>
            </w:r>
          </w:p>
        </w:tc>
      </w:tr>
      <w:tr>
        <w:tc>
          <w:tcPr>
            <w:tcW w:type="dxa" w:w="1944"/>
            <w:shd w:val="clear" w:color="auto" w:fill="EAF1F4"/>
          </w:tcPr>
          <w:p>
            <w:r/>
            <w:r>
              <w:rPr>
                <w:b/>
                <w:sz w:val="19"/>
              </w:rPr>
              <w:t>Expected Result</w:t>
            </w:r>
          </w:p>
        </w:tc>
        <w:tc>
          <w:tcPr>
            <w:tcW w:type="dxa" w:w="7704"/>
          </w:tcPr>
          <w:p>
            <w:r/>
            <w:r>
              <w:rPr>
                <w:sz w:val="19"/>
              </w:rPr>
              <w:t>URL features (domain_age_days, url_length, suspicious_pattern) are present (FE-FR-02) and behavioral features show a non-zero urgency_score and fear_tactic (FE-FR-03).</w:t>
            </w:r>
          </w:p>
        </w:tc>
      </w:tr>
    </w:tbl>
    <w:p>
      <w:pPr>
        <w:spacing w:after="80"/>
      </w:pPr>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2C7A53"/>
          </w:tcPr>
          <w:p>
            <w:r/>
            <w:r>
              <w:rPr>
                <w:b/>
                <w:color w:val="FFFFFF"/>
                <w:sz w:val="21"/>
              </w:rPr>
              <w:t>TC-P-05   Extract Indicators of Compromise from a phishing email</w:t>
            </w:r>
            <w:r>
              <w:rPr>
                <w:b/>
                <w:color w:val="FFFFFF"/>
                <w:sz w:val="18"/>
              </w:rPr>
              <w:t xml:space="preserve">    [High]</w:t>
            </w:r>
          </w:p>
        </w:tc>
      </w:tr>
      <w:tr>
        <w:tc>
          <w:tcPr>
            <w:tcW w:type="dxa" w:w="1944"/>
            <w:shd w:val="clear" w:color="auto" w:fill="EAF1F4"/>
          </w:tcPr>
          <w:p>
            <w:r/>
            <w:r>
              <w:rPr>
                <w:b/>
                <w:sz w:val="19"/>
              </w:rPr>
              <w:t>Requirement ID</w:t>
            </w:r>
          </w:p>
        </w:tc>
        <w:tc>
          <w:tcPr>
            <w:tcW w:type="dxa" w:w="7704"/>
          </w:tcPr>
          <w:p>
            <w:r/>
            <w:r>
              <w:rPr>
                <w:sz w:val="19"/>
              </w:rPr>
              <w:t>TI-FR-01, TI-FR-05</w:t>
            </w:r>
          </w:p>
        </w:tc>
      </w:tr>
      <w:tr>
        <w:tc>
          <w:tcPr>
            <w:tcW w:type="dxa" w:w="1944"/>
            <w:shd w:val="clear" w:color="auto" w:fill="EAF1F4"/>
          </w:tcPr>
          <w:p>
            <w:r/>
            <w:r>
              <w:rPr>
                <w:b/>
                <w:sz w:val="19"/>
              </w:rPr>
              <w:t>Preconditions</w:t>
            </w:r>
          </w:p>
        </w:tc>
        <w:tc>
          <w:tcPr>
            <w:tcW w:type="dxa" w:w="7704"/>
          </w:tcPr>
          <w:p>
            <w:r/>
            <w:r>
              <w:rPr>
                <w:sz w:val="19"/>
              </w:rPr>
              <w:t>A phishing sample with a sender, domain and URL is available.</w:t>
            </w:r>
          </w:p>
        </w:tc>
      </w:tr>
      <w:tr>
        <w:tc>
          <w:tcPr>
            <w:tcW w:type="dxa" w:w="1944"/>
            <w:shd w:val="clear" w:color="auto" w:fill="EAF1F4"/>
          </w:tcPr>
          <w:p>
            <w:r/>
            <w:r>
              <w:rPr>
                <w:b/>
                <w:sz w:val="19"/>
              </w:rPr>
              <w:t>Test Steps</w:t>
            </w:r>
          </w:p>
        </w:tc>
        <w:tc>
          <w:tcPr>
            <w:tcW w:type="dxa" w:w="7704"/>
          </w:tcPr>
          <w:p>
            <w:pPr>
              <w:spacing w:after="20"/>
            </w:pPr>
            <w:r/>
            <w:r>
              <w:rPr>
                <w:sz w:val="19"/>
              </w:rPr>
              <w:t>1. Run IOC extraction on the sample.</w:t>
            </w:r>
          </w:p>
          <w:p>
            <w:pPr>
              <w:spacing w:after="20"/>
            </w:pPr>
            <w:r>
              <w:rPr>
                <w:sz w:val="19"/>
              </w:rPr>
              <w:t>2. Inspect the returned indicators.</w:t>
            </w:r>
          </w:p>
        </w:tc>
      </w:tr>
      <w:tr>
        <w:tc>
          <w:tcPr>
            <w:tcW w:type="dxa" w:w="1944"/>
            <w:shd w:val="clear" w:color="auto" w:fill="EAF1F4"/>
          </w:tcPr>
          <w:p>
            <w:r/>
            <w:r>
              <w:rPr>
                <w:b/>
                <w:sz w:val="19"/>
              </w:rPr>
              <w:t>Test Data</w:t>
            </w:r>
          </w:p>
        </w:tc>
        <w:tc>
          <w:tcPr>
            <w:tcW w:type="dxa" w:w="7704"/>
          </w:tcPr>
          <w:p>
            <w:r/>
            <w:r>
              <w:rPr>
                <w:sz w:val="19"/>
              </w:rPr>
              <w:t>Email from secure-mail-verify.co with a verify link and SPF result "fail".</w:t>
            </w:r>
          </w:p>
        </w:tc>
      </w:tr>
      <w:tr>
        <w:tc>
          <w:tcPr>
            <w:tcW w:type="dxa" w:w="1944"/>
            <w:shd w:val="clear" w:color="auto" w:fill="EAF1F4"/>
          </w:tcPr>
          <w:p>
            <w:r/>
            <w:r>
              <w:rPr>
                <w:b/>
                <w:sz w:val="19"/>
              </w:rPr>
              <w:t>Expected Result</w:t>
            </w:r>
          </w:p>
        </w:tc>
        <w:tc>
          <w:tcPr>
            <w:tcW w:type="dxa" w:w="7704"/>
          </w:tcPr>
          <w:p>
            <w:r/>
            <w:r>
              <w:rPr>
                <w:sz w:val="19"/>
              </w:rPr>
              <w:t>IOCs are extracted — sender, domain, URL, and brand impersonation — in the documented IOC format (TI-FR-01/05).</w:t>
            </w:r>
          </w:p>
        </w:tc>
      </w:tr>
    </w:tbl>
    <w:p>
      <w:pPr>
        <w:spacing w:after="80"/>
      </w:pPr>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2C7A53"/>
          </w:tcPr>
          <w:p>
            <w:r/>
            <w:r>
              <w:rPr>
                <w:b/>
                <w:color w:val="FFFFFF"/>
                <w:sz w:val="21"/>
              </w:rPr>
              <w:t>TC-P-06   Correlate multiple emails into a single campaign</w:t>
            </w:r>
            <w:r>
              <w:rPr>
                <w:b/>
                <w:color w:val="FFFFFF"/>
                <w:sz w:val="18"/>
              </w:rPr>
              <w:t xml:space="preserve">    [High]</w:t>
            </w:r>
          </w:p>
        </w:tc>
      </w:tr>
      <w:tr>
        <w:tc>
          <w:tcPr>
            <w:tcW w:type="dxa" w:w="1944"/>
            <w:shd w:val="clear" w:color="auto" w:fill="EAF1F4"/>
          </w:tcPr>
          <w:p>
            <w:r/>
            <w:r>
              <w:rPr>
                <w:b/>
                <w:sz w:val="19"/>
              </w:rPr>
              <w:t>Requirement ID</w:t>
            </w:r>
          </w:p>
        </w:tc>
        <w:tc>
          <w:tcPr>
            <w:tcW w:type="dxa" w:w="7704"/>
          </w:tcPr>
          <w:p>
            <w:r/>
            <w:r>
              <w:rPr>
                <w:sz w:val="19"/>
              </w:rPr>
              <w:t>TI-FR-04, TI-FR-06</w:t>
            </w:r>
          </w:p>
        </w:tc>
      </w:tr>
      <w:tr>
        <w:tc>
          <w:tcPr>
            <w:tcW w:type="dxa" w:w="1944"/>
            <w:shd w:val="clear" w:color="auto" w:fill="EAF1F4"/>
          </w:tcPr>
          <w:p>
            <w:r/>
            <w:r>
              <w:rPr>
                <w:b/>
                <w:sz w:val="19"/>
              </w:rPr>
              <w:t>Preconditions</w:t>
            </w:r>
          </w:p>
        </w:tc>
        <w:tc>
          <w:tcPr>
            <w:tcW w:type="dxa" w:w="7704"/>
          </w:tcPr>
          <w:p>
            <w:r/>
            <w:r>
              <w:rPr>
                <w:sz w:val="19"/>
              </w:rPr>
              <w:t>Dataset contains 3+ samples sharing the same domain IOC.</w:t>
            </w:r>
          </w:p>
        </w:tc>
      </w:tr>
      <w:tr>
        <w:tc>
          <w:tcPr>
            <w:tcW w:type="dxa" w:w="1944"/>
            <w:shd w:val="clear" w:color="auto" w:fill="EAF1F4"/>
          </w:tcPr>
          <w:p>
            <w:r/>
            <w:r>
              <w:rPr>
                <w:b/>
                <w:sz w:val="19"/>
              </w:rPr>
              <w:t>Test Steps</w:t>
            </w:r>
          </w:p>
        </w:tc>
        <w:tc>
          <w:tcPr>
            <w:tcW w:type="dxa" w:w="7704"/>
          </w:tcPr>
          <w:p>
            <w:pPr>
              <w:spacing w:after="20"/>
            </w:pPr>
            <w:r/>
            <w:r>
              <w:rPr>
                <w:sz w:val="19"/>
              </w:rPr>
              <w:t>1. Run campaign correlation over the dataset.</w:t>
            </w:r>
          </w:p>
          <w:p>
            <w:pPr>
              <w:spacing w:after="20"/>
            </w:pPr>
            <w:r>
              <w:rPr>
                <w:sz w:val="19"/>
              </w:rPr>
              <w:t>2. Open the resulting campaign grouping.</w:t>
            </w:r>
          </w:p>
        </w:tc>
      </w:tr>
      <w:tr>
        <w:tc>
          <w:tcPr>
            <w:tcW w:type="dxa" w:w="1944"/>
            <w:shd w:val="clear" w:color="auto" w:fill="EAF1F4"/>
          </w:tcPr>
          <w:p>
            <w:r/>
            <w:r>
              <w:rPr>
                <w:b/>
                <w:sz w:val="19"/>
              </w:rPr>
              <w:t>Test Data</w:t>
            </w:r>
          </w:p>
        </w:tc>
        <w:tc>
          <w:tcPr>
            <w:tcW w:type="dxa" w:w="7704"/>
          </w:tcPr>
          <w:p>
            <w:r/>
            <w:r>
              <w:rPr>
                <w:sz w:val="19"/>
              </w:rPr>
              <w:t>Three phishing emails all referencing secure-mail-verify[.]co.</w:t>
            </w:r>
          </w:p>
        </w:tc>
      </w:tr>
      <w:tr>
        <w:tc>
          <w:tcPr>
            <w:tcW w:type="dxa" w:w="1944"/>
            <w:shd w:val="clear" w:color="auto" w:fill="EAF1F4"/>
          </w:tcPr>
          <w:p>
            <w:r/>
            <w:r>
              <w:rPr>
                <w:b/>
                <w:sz w:val="19"/>
              </w:rPr>
              <w:t>Expected Result</w:t>
            </w:r>
          </w:p>
        </w:tc>
        <w:tc>
          <w:tcPr>
            <w:tcW w:type="dxa" w:w="7704"/>
          </w:tcPr>
          <w:p>
            <w:r/>
            <w:r>
              <w:rPr>
                <w:sz w:val="19"/>
              </w:rPr>
              <w:t>The three emails are grouped into one campaign with the shared IOC recorded as supporting evidence (TI-FR-04) and the grouping is available to the dashboard (TI-FR-06).</w:t>
            </w:r>
          </w:p>
        </w:tc>
      </w:tr>
    </w:tbl>
    <w:p>
      <w:pPr>
        <w:spacing w:after="80"/>
      </w:pPr>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2C7A53"/>
          </w:tcPr>
          <w:p>
            <w:r/>
            <w:r>
              <w:rPr>
                <w:b/>
                <w:color w:val="FFFFFF"/>
                <w:sz w:val="21"/>
              </w:rPr>
              <w:t>TC-P-07   Detect psychological manipulation techniques</w:t>
            </w:r>
            <w:r>
              <w:rPr>
                <w:b/>
                <w:color w:val="FFFFFF"/>
                <w:sz w:val="18"/>
              </w:rPr>
              <w:t xml:space="preserve">    [High]</w:t>
            </w:r>
          </w:p>
        </w:tc>
      </w:tr>
      <w:tr>
        <w:tc>
          <w:tcPr>
            <w:tcW w:type="dxa" w:w="1944"/>
            <w:shd w:val="clear" w:color="auto" w:fill="EAF1F4"/>
          </w:tcPr>
          <w:p>
            <w:r/>
            <w:r>
              <w:rPr>
                <w:b/>
                <w:sz w:val="19"/>
              </w:rPr>
              <w:t>Requirement ID</w:t>
            </w:r>
          </w:p>
        </w:tc>
        <w:tc>
          <w:tcPr>
            <w:tcW w:type="dxa" w:w="7704"/>
          </w:tcPr>
          <w:p>
            <w:r/>
            <w:r>
              <w:rPr>
                <w:sz w:val="19"/>
              </w:rPr>
              <w:t>HM-FR-01, HM-FR-03</w:t>
            </w:r>
          </w:p>
        </w:tc>
      </w:tr>
      <w:tr>
        <w:tc>
          <w:tcPr>
            <w:tcW w:type="dxa" w:w="1944"/>
            <w:shd w:val="clear" w:color="auto" w:fill="EAF1F4"/>
          </w:tcPr>
          <w:p>
            <w:r/>
            <w:r>
              <w:rPr>
                <w:b/>
                <w:sz w:val="19"/>
              </w:rPr>
              <w:t>Preconditions</w:t>
            </w:r>
          </w:p>
        </w:tc>
        <w:tc>
          <w:tcPr>
            <w:tcW w:type="dxa" w:w="7704"/>
          </w:tcPr>
          <w:p>
            <w:r/>
            <w:r>
              <w:rPr>
                <w:sz w:val="19"/>
              </w:rPr>
              <w:t>A manipulative phishing sample is available.</w:t>
            </w:r>
          </w:p>
        </w:tc>
      </w:tr>
      <w:tr>
        <w:tc>
          <w:tcPr>
            <w:tcW w:type="dxa" w:w="1944"/>
            <w:shd w:val="clear" w:color="auto" w:fill="EAF1F4"/>
          </w:tcPr>
          <w:p>
            <w:r/>
            <w:r>
              <w:rPr>
                <w:b/>
                <w:sz w:val="19"/>
              </w:rPr>
              <w:t>Test Steps</w:t>
            </w:r>
          </w:p>
        </w:tc>
        <w:tc>
          <w:tcPr>
            <w:tcW w:type="dxa" w:w="7704"/>
          </w:tcPr>
          <w:p>
            <w:pPr>
              <w:spacing w:after="20"/>
            </w:pPr>
            <w:r/>
            <w:r>
              <w:rPr>
                <w:sz w:val="19"/>
              </w:rPr>
              <w:t>1. Run the human manipulation analyzer on the sample.</w:t>
            </w:r>
          </w:p>
          <w:p>
            <w:pPr>
              <w:spacing w:after="20"/>
            </w:pPr>
            <w:r>
              <w:rPr>
                <w:sz w:val="19"/>
              </w:rPr>
              <w:t>2. Inspect the detected techniques and their evidence.</w:t>
            </w:r>
          </w:p>
        </w:tc>
      </w:tr>
      <w:tr>
        <w:tc>
          <w:tcPr>
            <w:tcW w:type="dxa" w:w="1944"/>
            <w:shd w:val="clear" w:color="auto" w:fill="EAF1F4"/>
          </w:tcPr>
          <w:p>
            <w:r/>
            <w:r>
              <w:rPr>
                <w:b/>
                <w:sz w:val="19"/>
              </w:rPr>
              <w:t>Test Data</w:t>
            </w:r>
          </w:p>
        </w:tc>
        <w:tc>
          <w:tcPr>
            <w:tcW w:type="dxa" w:w="7704"/>
          </w:tcPr>
          <w:p>
            <w:r/>
            <w:r>
              <w:rPr>
                <w:sz w:val="19"/>
              </w:rPr>
              <w:t>Email: "Your account will be suspended within 24 hours — act now."</w:t>
            </w:r>
          </w:p>
        </w:tc>
      </w:tr>
      <w:tr>
        <w:tc>
          <w:tcPr>
            <w:tcW w:type="dxa" w:w="1944"/>
            <w:shd w:val="clear" w:color="auto" w:fill="EAF1F4"/>
          </w:tcPr>
          <w:p>
            <w:r/>
            <w:r>
              <w:rPr>
                <w:b/>
                <w:sz w:val="19"/>
              </w:rPr>
              <w:t>Expected Result</w:t>
            </w:r>
          </w:p>
        </w:tc>
        <w:tc>
          <w:tcPr>
            <w:tcW w:type="dxa" w:w="7704"/>
          </w:tcPr>
          <w:p>
            <w:r/>
            <w:r>
              <w:rPr>
                <w:sz w:val="19"/>
              </w:rPr>
              <w:t>fear, urgency and authority are flagged as present (HM-FR-01), each linked to the triggering text/indicator (HM-FR-03).</w:t>
            </w:r>
          </w:p>
        </w:tc>
      </w:tr>
    </w:tbl>
    <w:p>
      <w:pPr>
        <w:spacing w:after="80"/>
      </w:pPr>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2C7A53"/>
          </w:tcPr>
          <w:p>
            <w:r/>
            <w:r>
              <w:rPr>
                <w:b/>
                <w:color w:val="FFFFFF"/>
                <w:sz w:val="21"/>
              </w:rPr>
              <w:t>TC-P-08   Train, evaluate and compare classification models</w:t>
            </w:r>
            <w:r>
              <w:rPr>
                <w:b/>
                <w:color w:val="FFFFFF"/>
                <w:sz w:val="18"/>
              </w:rPr>
              <w:t xml:space="preserve">    [High]</w:t>
            </w:r>
          </w:p>
        </w:tc>
      </w:tr>
      <w:tr>
        <w:tc>
          <w:tcPr>
            <w:tcW w:type="dxa" w:w="1944"/>
            <w:shd w:val="clear" w:color="auto" w:fill="EAF1F4"/>
          </w:tcPr>
          <w:p>
            <w:r/>
            <w:r>
              <w:rPr>
                <w:b/>
                <w:sz w:val="19"/>
              </w:rPr>
              <w:t>Requirement ID</w:t>
            </w:r>
          </w:p>
        </w:tc>
        <w:tc>
          <w:tcPr>
            <w:tcW w:type="dxa" w:w="7704"/>
          </w:tcPr>
          <w:p>
            <w:r/>
            <w:r>
              <w:rPr>
                <w:sz w:val="19"/>
              </w:rPr>
              <w:t>ML-FR-01, ML-FR-03, ML-FR-04</w:t>
            </w:r>
          </w:p>
        </w:tc>
      </w:tr>
      <w:tr>
        <w:tc>
          <w:tcPr>
            <w:tcW w:type="dxa" w:w="1944"/>
            <w:shd w:val="clear" w:color="auto" w:fill="EAF1F4"/>
          </w:tcPr>
          <w:p>
            <w:r/>
            <w:r>
              <w:rPr>
                <w:b/>
                <w:sz w:val="19"/>
              </w:rPr>
              <w:t>Preconditions</w:t>
            </w:r>
          </w:p>
        </w:tc>
        <w:tc>
          <w:tcPr>
            <w:tcW w:type="dxa" w:w="7704"/>
          </w:tcPr>
          <w:p>
            <w:r/>
            <w:r>
              <w:rPr>
                <w:sz w:val="19"/>
              </w:rPr>
              <w:t>A labeled dataset with a documented train/test split is available.</w:t>
            </w:r>
          </w:p>
        </w:tc>
      </w:tr>
      <w:tr>
        <w:tc>
          <w:tcPr>
            <w:tcW w:type="dxa" w:w="1944"/>
            <w:shd w:val="clear" w:color="auto" w:fill="EAF1F4"/>
          </w:tcPr>
          <w:p>
            <w:r/>
            <w:r>
              <w:rPr>
                <w:b/>
                <w:sz w:val="19"/>
              </w:rPr>
              <w:t>Test Steps</w:t>
            </w:r>
          </w:p>
        </w:tc>
        <w:tc>
          <w:tcPr>
            <w:tcW w:type="dxa" w:w="7704"/>
          </w:tcPr>
          <w:p>
            <w:pPr>
              <w:spacing w:after="20"/>
            </w:pPr>
            <w:r/>
            <w:r>
              <w:rPr>
                <w:sz w:val="19"/>
              </w:rPr>
              <w:t>1. Train the models on the training split.</w:t>
            </w:r>
          </w:p>
          <w:p>
            <w:pPr>
              <w:spacing w:after="20"/>
            </w:pPr>
            <w:r>
              <w:rPr>
                <w:sz w:val="19"/>
              </w:rPr>
              <w:t>2. Evaluate each on the held-out test split.</w:t>
            </w:r>
          </w:p>
          <w:p>
            <w:pPr>
              <w:spacing w:after="20"/>
            </w:pPr>
            <w:r>
              <w:rPr>
                <w:sz w:val="19"/>
              </w:rPr>
              <w:t>3. Produce the model comparison.</w:t>
            </w:r>
          </w:p>
        </w:tc>
      </w:tr>
      <w:tr>
        <w:tc>
          <w:tcPr>
            <w:tcW w:type="dxa" w:w="1944"/>
            <w:shd w:val="clear" w:color="auto" w:fill="EAF1F4"/>
          </w:tcPr>
          <w:p>
            <w:r/>
            <w:r>
              <w:rPr>
                <w:b/>
                <w:sz w:val="19"/>
              </w:rPr>
              <w:t>Test Data</w:t>
            </w:r>
          </w:p>
        </w:tc>
        <w:tc>
          <w:tcPr>
            <w:tcW w:type="dxa" w:w="7704"/>
          </w:tcPr>
          <w:p>
            <w:r/>
            <w:r>
              <w:rPr>
                <w:sz w:val="19"/>
              </w:rPr>
              <w:t>Balanced dataset (phishing + legitimate) with a 20% hold-out test set.</w:t>
            </w:r>
          </w:p>
        </w:tc>
      </w:tr>
      <w:tr>
        <w:tc>
          <w:tcPr>
            <w:tcW w:type="dxa" w:w="1944"/>
            <w:shd w:val="clear" w:color="auto" w:fill="EAF1F4"/>
          </w:tcPr>
          <w:p>
            <w:r/>
            <w:r>
              <w:rPr>
                <w:b/>
                <w:sz w:val="19"/>
              </w:rPr>
              <w:t>Expected Result</w:t>
            </w:r>
          </w:p>
        </w:tc>
        <w:tc>
          <w:tcPr>
            <w:tcW w:type="dxa" w:w="7704"/>
          </w:tcPr>
          <w:p>
            <w:r/>
            <w:r>
              <w:rPr>
                <w:sz w:val="19"/>
              </w:rPr>
              <w:t>All four models (Logistic Regression, Random Forest, XGBoost, Neural Network) are trained (ML-FR-01/04); accuracy, precision and recall are reported for each (ML-FR-03) and a comparison is produced.</w:t>
            </w:r>
          </w:p>
        </w:tc>
      </w:tr>
    </w:tbl>
    <w:p>
      <w:pPr>
        <w:spacing w:after="80"/>
      </w:pPr>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2C7A53"/>
          </w:tcPr>
          <w:p>
            <w:r/>
            <w:r>
              <w:rPr>
                <w:b/>
                <w:color w:val="FFFFFF"/>
                <w:sz w:val="21"/>
              </w:rPr>
              <w:t>TC-P-09   Generate a weighted, human-readable explanation for a prediction</w:t>
            </w:r>
            <w:r>
              <w:rPr>
                <w:b/>
                <w:color w:val="FFFFFF"/>
                <w:sz w:val="18"/>
              </w:rPr>
              <w:t xml:space="preserve">    [High]</w:t>
            </w:r>
          </w:p>
        </w:tc>
      </w:tr>
      <w:tr>
        <w:tc>
          <w:tcPr>
            <w:tcW w:type="dxa" w:w="1944"/>
            <w:shd w:val="clear" w:color="auto" w:fill="EAF1F4"/>
          </w:tcPr>
          <w:p>
            <w:r/>
            <w:r>
              <w:rPr>
                <w:b/>
                <w:sz w:val="19"/>
              </w:rPr>
              <w:t>Requirement ID</w:t>
            </w:r>
          </w:p>
        </w:tc>
        <w:tc>
          <w:tcPr>
            <w:tcW w:type="dxa" w:w="7704"/>
          </w:tcPr>
          <w:p>
            <w:r/>
            <w:r>
              <w:rPr>
                <w:sz w:val="19"/>
              </w:rPr>
              <w:t>XAI-FR-01, XAI-FR-02, XAI-FR-03</w:t>
            </w:r>
          </w:p>
        </w:tc>
      </w:tr>
      <w:tr>
        <w:tc>
          <w:tcPr>
            <w:tcW w:type="dxa" w:w="1944"/>
            <w:shd w:val="clear" w:color="auto" w:fill="EAF1F4"/>
          </w:tcPr>
          <w:p>
            <w:r/>
            <w:r>
              <w:rPr>
                <w:b/>
                <w:sz w:val="19"/>
              </w:rPr>
              <w:t>Preconditions</w:t>
            </w:r>
          </w:p>
        </w:tc>
        <w:tc>
          <w:tcPr>
            <w:tcW w:type="dxa" w:w="7704"/>
          </w:tcPr>
          <w:p>
            <w:r/>
            <w:r>
              <w:rPr>
                <w:sz w:val="19"/>
              </w:rPr>
              <w:t>A trained model and a phishing prediction exist.</w:t>
            </w:r>
          </w:p>
        </w:tc>
      </w:tr>
      <w:tr>
        <w:tc>
          <w:tcPr>
            <w:tcW w:type="dxa" w:w="1944"/>
            <w:shd w:val="clear" w:color="auto" w:fill="EAF1F4"/>
          </w:tcPr>
          <w:p>
            <w:r/>
            <w:r>
              <w:rPr>
                <w:b/>
                <w:sz w:val="19"/>
              </w:rPr>
              <w:t>Test Steps</w:t>
            </w:r>
          </w:p>
        </w:tc>
        <w:tc>
          <w:tcPr>
            <w:tcW w:type="dxa" w:w="7704"/>
          </w:tcPr>
          <w:p>
            <w:pPr>
              <w:spacing w:after="20"/>
            </w:pPr>
            <w:r/>
            <w:r>
              <w:rPr>
                <w:sz w:val="19"/>
              </w:rPr>
              <w:t>1. Request the explanation for the prediction.</w:t>
            </w:r>
          </w:p>
          <w:p>
            <w:pPr>
              <w:spacing w:after="20"/>
            </w:pPr>
            <w:r>
              <w:rPr>
                <w:sz w:val="19"/>
              </w:rPr>
              <w:t>2. Inspect the contributing factors and weights.</w:t>
            </w:r>
          </w:p>
        </w:tc>
      </w:tr>
      <w:tr>
        <w:tc>
          <w:tcPr>
            <w:tcW w:type="dxa" w:w="1944"/>
            <w:shd w:val="clear" w:color="auto" w:fill="EAF1F4"/>
          </w:tcPr>
          <w:p>
            <w:r/>
            <w:r>
              <w:rPr>
                <w:b/>
                <w:sz w:val="19"/>
              </w:rPr>
              <w:t>Test Data</w:t>
            </w:r>
          </w:p>
        </w:tc>
        <w:tc>
          <w:tcPr>
            <w:tcW w:type="dxa" w:w="7704"/>
          </w:tcPr>
          <w:p>
            <w:r/>
            <w:r>
              <w:rPr>
                <w:sz w:val="19"/>
              </w:rPr>
              <w:t>Sample #7204, predicted "Phishing".</w:t>
            </w:r>
          </w:p>
        </w:tc>
      </w:tr>
      <w:tr>
        <w:tc>
          <w:tcPr>
            <w:tcW w:type="dxa" w:w="1944"/>
            <w:shd w:val="clear" w:color="auto" w:fill="EAF1F4"/>
          </w:tcPr>
          <w:p>
            <w:r/>
            <w:r>
              <w:rPr>
                <w:b/>
                <w:sz w:val="19"/>
              </w:rPr>
              <w:t>Expected Result</w:t>
            </w:r>
          </w:p>
        </w:tc>
        <w:tc>
          <w:tcPr>
            <w:tcW w:type="dxa" w:w="7704"/>
          </w:tcPr>
          <w:p>
            <w:r/>
            <w:r>
              <w:rPr>
                <w:sz w:val="19"/>
              </w:rPr>
              <w:t>A human-readable explanation lists the contributing factors with relative weights that total ~100% (e.g., suspicious URL 40%, urgency 30%, credential request 20%, sender anomaly 10%) — satisfying XAI-FR-01/02/03.</w:t>
            </w:r>
          </w:p>
        </w:tc>
      </w:tr>
    </w:tbl>
    <w:p>
      <w:pPr>
        <w:spacing w:after="80"/>
      </w:pPr>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2C7A53"/>
          </w:tcPr>
          <w:p>
            <w:r/>
            <w:r>
              <w:rPr>
                <w:b/>
                <w:color w:val="FFFFFF"/>
                <w:sz w:val="21"/>
              </w:rPr>
              <w:t>TC-P-10   Email Analysis view shows verdict/explanation/IOCs; dataset exportable</w:t>
            </w:r>
            <w:r>
              <w:rPr>
                <w:b/>
                <w:color w:val="FFFFFF"/>
                <w:sz w:val="18"/>
              </w:rPr>
              <w:t xml:space="preserve">    [Medium]</w:t>
            </w:r>
          </w:p>
        </w:tc>
      </w:tr>
      <w:tr>
        <w:tc>
          <w:tcPr>
            <w:tcW w:type="dxa" w:w="1944"/>
            <w:shd w:val="clear" w:color="auto" w:fill="EAF1F4"/>
          </w:tcPr>
          <w:p>
            <w:r/>
            <w:r>
              <w:rPr>
                <w:b/>
                <w:sz w:val="19"/>
              </w:rPr>
              <w:t>Requirement ID</w:t>
            </w:r>
          </w:p>
        </w:tc>
        <w:tc>
          <w:tcPr>
            <w:tcW w:type="dxa" w:w="7704"/>
          </w:tcPr>
          <w:p>
            <w:r/>
            <w:r>
              <w:rPr>
                <w:sz w:val="19"/>
              </w:rPr>
              <w:t>DASH-FR-02, XAI-FR-01, REP-FR-01</w:t>
            </w:r>
          </w:p>
        </w:tc>
      </w:tr>
      <w:tr>
        <w:tc>
          <w:tcPr>
            <w:tcW w:type="dxa" w:w="1944"/>
            <w:shd w:val="clear" w:color="auto" w:fill="EAF1F4"/>
          </w:tcPr>
          <w:p>
            <w:r/>
            <w:r>
              <w:rPr>
                <w:b/>
                <w:sz w:val="19"/>
              </w:rPr>
              <w:t>Preconditions</w:t>
            </w:r>
          </w:p>
        </w:tc>
        <w:tc>
          <w:tcPr>
            <w:tcW w:type="dxa" w:w="7704"/>
          </w:tcPr>
          <w:p>
            <w:r/>
            <w:r>
              <w:rPr>
                <w:sz w:val="19"/>
              </w:rPr>
              <w:t>The dashboard is running with sample data loaded.</w:t>
            </w:r>
          </w:p>
        </w:tc>
      </w:tr>
      <w:tr>
        <w:tc>
          <w:tcPr>
            <w:tcW w:type="dxa" w:w="1944"/>
            <w:shd w:val="clear" w:color="auto" w:fill="EAF1F4"/>
          </w:tcPr>
          <w:p>
            <w:r/>
            <w:r>
              <w:rPr>
                <w:b/>
                <w:sz w:val="19"/>
              </w:rPr>
              <w:t>Test Steps</w:t>
            </w:r>
          </w:p>
        </w:tc>
        <w:tc>
          <w:tcPr>
            <w:tcW w:type="dxa" w:w="7704"/>
          </w:tcPr>
          <w:p>
            <w:pPr>
              <w:spacing w:after="20"/>
            </w:pPr>
            <w:r/>
            <w:r>
              <w:rPr>
                <w:sz w:val="19"/>
              </w:rPr>
              <w:t>1. Open the Email Analysis view and select a sample.</w:t>
            </w:r>
          </w:p>
          <w:p>
            <w:pPr>
              <w:spacing w:after="20"/>
            </w:pPr>
            <w:r>
              <w:rPr>
                <w:sz w:val="19"/>
              </w:rPr>
              <w:t>2. Run Analyze and review the output.</w:t>
            </w:r>
          </w:p>
          <w:p>
            <w:pPr>
              <w:spacing w:after="20"/>
            </w:pPr>
            <w:r>
              <w:rPr>
                <w:sz w:val="19"/>
              </w:rPr>
              <w:t>3. Open the Research view and export the dataset.</w:t>
            </w:r>
          </w:p>
        </w:tc>
      </w:tr>
      <w:tr>
        <w:tc>
          <w:tcPr>
            <w:tcW w:type="dxa" w:w="1944"/>
            <w:shd w:val="clear" w:color="auto" w:fill="EAF1F4"/>
          </w:tcPr>
          <w:p>
            <w:r/>
            <w:r>
              <w:rPr>
                <w:b/>
                <w:sz w:val="19"/>
              </w:rPr>
              <w:t>Test Data</w:t>
            </w:r>
          </w:p>
        </w:tc>
        <w:tc>
          <w:tcPr>
            <w:tcW w:type="dxa" w:w="7704"/>
          </w:tcPr>
          <w:p>
            <w:r/>
            <w:r>
              <w:rPr>
                <w:sz w:val="19"/>
              </w:rPr>
              <w:t>Sample #7204.</w:t>
            </w:r>
          </w:p>
        </w:tc>
      </w:tr>
      <w:tr>
        <w:tc>
          <w:tcPr>
            <w:tcW w:type="dxa" w:w="1944"/>
            <w:shd w:val="clear" w:color="auto" w:fill="EAF1F4"/>
          </w:tcPr>
          <w:p>
            <w:r/>
            <w:r>
              <w:rPr>
                <w:b/>
                <w:sz w:val="19"/>
              </w:rPr>
              <w:t>Expected Result</w:t>
            </w:r>
          </w:p>
        </w:tc>
        <w:tc>
          <w:tcPr>
            <w:tcW w:type="dxa" w:w="7704"/>
          </w:tcPr>
          <w:p>
            <w:r/>
            <w:r>
              <w:rPr>
                <w:sz w:val="19"/>
              </w:rPr>
              <w:t>The view shows the prediction with confidence, the weighted explanation, the IOC list and manipulation chips (DASH-FR-02, XAI-FR-01); the Research view exports the curated dataset as a CSV file (REP-FR-01).</w:t>
            </w:r>
          </w:p>
        </w:tc>
      </w:tr>
    </w:tbl>
    <w:p>
      <w:pPr>
        <w:spacing w:after="80"/>
      </w:pPr>
    </w:p>
    <w:p>
      <w:r>
        <w:br w:type="page"/>
      </w:r>
    </w:p>
    <w:p>
      <w:pPr>
        <w:pStyle w:val="Heading1"/>
      </w:pPr>
      <w:r>
        <w:t>3. Negative Test Cases</w:t>
      </w:r>
    </w:p>
    <w:p>
      <w:r>
        <w:rPr>
          <w:b w:val="0"/>
          <w:i/>
          <w:color w:val="C4402F"/>
        </w:rPr>
        <w:t>Ten cases exercising invalid, missing, malicious and boundary conditions.</w:t>
      </w:r>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C4402F"/>
          </w:tcPr>
          <w:p>
            <w:r/>
            <w:r>
              <w:rPr>
                <w:b/>
                <w:color w:val="FFFFFF"/>
                <w:sz w:val="21"/>
              </w:rPr>
              <w:t>TC-N-01   Malformed / corrupt sample is quarantined, not crashing the pipeline</w:t>
            </w:r>
            <w:r>
              <w:rPr>
                <w:b/>
                <w:color w:val="FFFFFF"/>
                <w:sz w:val="18"/>
              </w:rPr>
              <w:t xml:space="preserve">    [High]</w:t>
            </w:r>
          </w:p>
        </w:tc>
      </w:tr>
      <w:tr>
        <w:tc>
          <w:tcPr>
            <w:tcW w:type="dxa" w:w="1944"/>
            <w:shd w:val="clear" w:color="auto" w:fill="EAF1F4"/>
          </w:tcPr>
          <w:p>
            <w:r/>
            <w:r>
              <w:rPr>
                <w:b/>
                <w:sz w:val="19"/>
              </w:rPr>
              <w:t>Requirement ID</w:t>
            </w:r>
          </w:p>
        </w:tc>
        <w:tc>
          <w:tcPr>
            <w:tcW w:type="dxa" w:w="7704"/>
          </w:tcPr>
          <w:p>
            <w:r/>
            <w:r>
              <w:rPr>
                <w:sz w:val="19"/>
              </w:rPr>
              <w:t>DC-FR-07, DC-FR-01</w:t>
            </w:r>
          </w:p>
        </w:tc>
      </w:tr>
      <w:tr>
        <w:tc>
          <w:tcPr>
            <w:tcW w:type="dxa" w:w="1944"/>
            <w:shd w:val="clear" w:color="auto" w:fill="EAF1F4"/>
          </w:tcPr>
          <w:p>
            <w:r/>
            <w:r>
              <w:rPr>
                <w:b/>
                <w:sz w:val="19"/>
              </w:rPr>
              <w:t>Preconditions</w:t>
            </w:r>
          </w:p>
        </w:tc>
        <w:tc>
          <w:tcPr>
            <w:tcW w:type="dxa" w:w="7704"/>
          </w:tcPr>
          <w:p>
            <w:r/>
            <w:r>
              <w:rPr>
                <w:sz w:val="19"/>
              </w:rPr>
              <w:t>Data collection is running over a batch of valid samples.</w:t>
            </w:r>
          </w:p>
        </w:tc>
      </w:tr>
      <w:tr>
        <w:tc>
          <w:tcPr>
            <w:tcW w:type="dxa" w:w="1944"/>
            <w:shd w:val="clear" w:color="auto" w:fill="EAF1F4"/>
          </w:tcPr>
          <w:p>
            <w:r/>
            <w:r>
              <w:rPr>
                <w:b/>
                <w:sz w:val="19"/>
              </w:rPr>
              <w:t>Test Steps</w:t>
            </w:r>
          </w:p>
        </w:tc>
        <w:tc>
          <w:tcPr>
            <w:tcW w:type="dxa" w:w="7704"/>
          </w:tcPr>
          <w:p>
            <w:pPr>
              <w:spacing w:after="20"/>
            </w:pPr>
            <w:r/>
            <w:r>
              <w:rPr>
                <w:sz w:val="19"/>
              </w:rPr>
              <w:t>1. Insert a truncated / binary-garbage file into the input batch.</w:t>
            </w:r>
          </w:p>
          <w:p>
            <w:pPr>
              <w:spacing w:after="20"/>
            </w:pPr>
            <w:r>
              <w:rPr>
                <w:sz w:val="19"/>
              </w:rPr>
              <w:t>2. Run the collection process.</w:t>
            </w:r>
          </w:p>
          <w:p>
            <w:pPr>
              <w:spacing w:after="20"/>
            </w:pPr>
            <w:r>
              <w:rPr>
                <w:sz w:val="19"/>
              </w:rPr>
              <w:t>3. Inspect the outcome for the bad file and the valid files.</w:t>
            </w:r>
          </w:p>
        </w:tc>
      </w:tr>
      <w:tr>
        <w:tc>
          <w:tcPr>
            <w:tcW w:type="dxa" w:w="1944"/>
            <w:shd w:val="clear" w:color="auto" w:fill="EAF1F4"/>
          </w:tcPr>
          <w:p>
            <w:r/>
            <w:r>
              <w:rPr>
                <w:b/>
                <w:sz w:val="19"/>
              </w:rPr>
              <w:t>Test Data</w:t>
            </w:r>
          </w:p>
        </w:tc>
        <w:tc>
          <w:tcPr>
            <w:tcW w:type="dxa" w:w="7704"/>
          </w:tcPr>
          <w:p>
            <w:r/>
            <w:r>
              <w:rPr>
                <w:sz w:val="19"/>
              </w:rPr>
              <w:t>One corrupt "email" file mixed into 20 valid samples.</w:t>
            </w:r>
          </w:p>
        </w:tc>
      </w:tr>
      <w:tr>
        <w:tc>
          <w:tcPr>
            <w:tcW w:type="dxa" w:w="1944"/>
            <w:shd w:val="clear" w:color="auto" w:fill="EAF1F4"/>
          </w:tcPr>
          <w:p>
            <w:r/>
            <w:r>
              <w:rPr>
                <w:b/>
                <w:sz w:val="19"/>
              </w:rPr>
              <w:t>Expected Result</w:t>
            </w:r>
          </w:p>
        </w:tc>
        <w:tc>
          <w:tcPr>
            <w:tcW w:type="dxa" w:w="7704"/>
          </w:tcPr>
          <w:p>
            <w:r/>
            <w:r>
              <w:rPr>
                <w:sz w:val="19"/>
              </w:rPr>
              <w:t>The corrupt sample is flagged/quarantined as invalid (DC-FR-07); the 20 valid samples are still collected; no crash or unhandled exception occurs.</w:t>
            </w:r>
          </w:p>
        </w:tc>
      </w:tr>
    </w:tbl>
    <w:p>
      <w:pPr>
        <w:spacing w:after="80"/>
      </w:pPr>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C4402F"/>
          </w:tcPr>
          <w:p>
            <w:r/>
            <w:r>
              <w:rPr>
                <w:b/>
                <w:color w:val="FFFFFF"/>
                <w:sz w:val="21"/>
              </w:rPr>
              <w:t>TC-N-02   Re-ingesting an already-collected sample creates no duplicate</w:t>
            </w:r>
            <w:r>
              <w:rPr>
                <w:b/>
                <w:color w:val="FFFFFF"/>
                <w:sz w:val="18"/>
              </w:rPr>
              <w:t xml:space="preserve">    [Medium]</w:t>
            </w:r>
          </w:p>
        </w:tc>
      </w:tr>
      <w:tr>
        <w:tc>
          <w:tcPr>
            <w:tcW w:type="dxa" w:w="1944"/>
            <w:shd w:val="clear" w:color="auto" w:fill="EAF1F4"/>
          </w:tcPr>
          <w:p>
            <w:r/>
            <w:r>
              <w:rPr>
                <w:b/>
                <w:sz w:val="19"/>
              </w:rPr>
              <w:t>Requirement ID</w:t>
            </w:r>
          </w:p>
        </w:tc>
        <w:tc>
          <w:tcPr>
            <w:tcW w:type="dxa" w:w="7704"/>
          </w:tcPr>
          <w:p>
            <w:r/>
            <w:r>
              <w:rPr>
                <w:sz w:val="19"/>
              </w:rPr>
              <w:t>DC-FR-03</w:t>
            </w:r>
          </w:p>
        </w:tc>
      </w:tr>
      <w:tr>
        <w:tc>
          <w:tcPr>
            <w:tcW w:type="dxa" w:w="1944"/>
            <w:shd w:val="clear" w:color="auto" w:fill="EAF1F4"/>
          </w:tcPr>
          <w:p>
            <w:r/>
            <w:r>
              <w:rPr>
                <w:b/>
                <w:sz w:val="19"/>
              </w:rPr>
              <w:t>Preconditions</w:t>
            </w:r>
          </w:p>
        </w:tc>
        <w:tc>
          <w:tcPr>
            <w:tcW w:type="dxa" w:w="7704"/>
          </w:tcPr>
          <w:p>
            <w:r/>
            <w:r>
              <w:rPr>
                <w:sz w:val="19"/>
              </w:rPr>
              <w:t>The dataset already contains sample X.</w:t>
            </w:r>
          </w:p>
        </w:tc>
      </w:tr>
      <w:tr>
        <w:tc>
          <w:tcPr>
            <w:tcW w:type="dxa" w:w="1944"/>
            <w:shd w:val="clear" w:color="auto" w:fill="EAF1F4"/>
          </w:tcPr>
          <w:p>
            <w:r/>
            <w:r>
              <w:rPr>
                <w:b/>
                <w:sz w:val="19"/>
              </w:rPr>
              <w:t>Test Steps</w:t>
            </w:r>
          </w:p>
        </w:tc>
        <w:tc>
          <w:tcPr>
            <w:tcW w:type="dxa" w:w="7704"/>
          </w:tcPr>
          <w:p>
            <w:pPr>
              <w:spacing w:after="20"/>
            </w:pPr>
            <w:r/>
            <w:r>
              <w:rPr>
                <w:sz w:val="19"/>
              </w:rPr>
              <w:t>1. Submit sample X to the collection process a second time.</w:t>
            </w:r>
          </w:p>
          <w:p>
            <w:pPr>
              <w:spacing w:after="20"/>
            </w:pPr>
            <w:r>
              <w:rPr>
                <w:sz w:val="19"/>
              </w:rPr>
              <w:t>2. Check the dataset record count.</w:t>
            </w:r>
          </w:p>
        </w:tc>
      </w:tr>
      <w:tr>
        <w:tc>
          <w:tcPr>
            <w:tcW w:type="dxa" w:w="1944"/>
            <w:shd w:val="clear" w:color="auto" w:fill="EAF1F4"/>
          </w:tcPr>
          <w:p>
            <w:r/>
            <w:r>
              <w:rPr>
                <w:b/>
                <w:sz w:val="19"/>
              </w:rPr>
              <w:t>Test Data</w:t>
            </w:r>
          </w:p>
        </w:tc>
        <w:tc>
          <w:tcPr>
            <w:tcW w:type="dxa" w:w="7704"/>
          </w:tcPr>
          <w:p>
            <w:r/>
            <w:r>
              <w:rPr>
                <w:sz w:val="19"/>
              </w:rPr>
              <w:t>An exact copy of an already-stored phishing email.</w:t>
            </w:r>
          </w:p>
        </w:tc>
      </w:tr>
      <w:tr>
        <w:tc>
          <w:tcPr>
            <w:tcW w:type="dxa" w:w="1944"/>
            <w:shd w:val="clear" w:color="auto" w:fill="EAF1F4"/>
          </w:tcPr>
          <w:p>
            <w:r/>
            <w:r>
              <w:rPr>
                <w:b/>
                <w:sz w:val="19"/>
              </w:rPr>
              <w:t>Expected Result</w:t>
            </w:r>
          </w:p>
        </w:tc>
        <w:tc>
          <w:tcPr>
            <w:tcW w:type="dxa" w:w="7704"/>
          </w:tcPr>
          <w:p>
            <w:r/>
            <w:r>
              <w:rPr>
                <w:sz w:val="19"/>
              </w:rPr>
              <w:t>The record count is unchanged; only one copy of sample X is retained (DC-FR-03).</w:t>
            </w:r>
          </w:p>
        </w:tc>
      </w:tr>
    </w:tbl>
    <w:p>
      <w:pPr>
        <w:spacing w:after="80"/>
      </w:pPr>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C4402F"/>
          </w:tcPr>
          <w:p>
            <w:r/>
            <w:r>
              <w:rPr>
                <w:b/>
                <w:color w:val="FFFFFF"/>
                <w:sz w:val="21"/>
              </w:rPr>
              <w:t>TC-N-03   Sample with missing / unparseable fields handled gracefully</w:t>
            </w:r>
            <w:r>
              <w:rPr>
                <w:b/>
                <w:color w:val="FFFFFF"/>
                <w:sz w:val="18"/>
              </w:rPr>
              <w:t xml:space="preserve">    [Medium]</w:t>
            </w:r>
          </w:p>
        </w:tc>
      </w:tr>
      <w:tr>
        <w:tc>
          <w:tcPr>
            <w:tcW w:type="dxa" w:w="1944"/>
            <w:shd w:val="clear" w:color="auto" w:fill="EAF1F4"/>
          </w:tcPr>
          <w:p>
            <w:r/>
            <w:r>
              <w:rPr>
                <w:b/>
                <w:sz w:val="19"/>
              </w:rPr>
              <w:t>Requirement ID</w:t>
            </w:r>
          </w:p>
        </w:tc>
        <w:tc>
          <w:tcPr>
            <w:tcW w:type="dxa" w:w="7704"/>
          </w:tcPr>
          <w:p>
            <w:r/>
            <w:r>
              <w:rPr>
                <w:sz w:val="19"/>
              </w:rPr>
              <w:t>FE-FR-05</w:t>
            </w:r>
          </w:p>
        </w:tc>
      </w:tr>
      <w:tr>
        <w:tc>
          <w:tcPr>
            <w:tcW w:type="dxa" w:w="1944"/>
            <w:shd w:val="clear" w:color="auto" w:fill="EAF1F4"/>
          </w:tcPr>
          <w:p>
            <w:r/>
            <w:r>
              <w:rPr>
                <w:b/>
                <w:sz w:val="19"/>
              </w:rPr>
              <w:t>Preconditions</w:t>
            </w:r>
          </w:p>
        </w:tc>
        <w:tc>
          <w:tcPr>
            <w:tcW w:type="dxa" w:w="7704"/>
          </w:tcPr>
          <w:p>
            <w:r/>
            <w:r>
              <w:rPr>
                <w:sz w:val="19"/>
              </w:rPr>
              <w:t>Feature extraction is available.</w:t>
            </w:r>
          </w:p>
        </w:tc>
      </w:tr>
      <w:tr>
        <w:tc>
          <w:tcPr>
            <w:tcW w:type="dxa" w:w="1944"/>
            <w:shd w:val="clear" w:color="auto" w:fill="EAF1F4"/>
          </w:tcPr>
          <w:p>
            <w:r/>
            <w:r>
              <w:rPr>
                <w:b/>
                <w:sz w:val="19"/>
              </w:rPr>
              <w:t>Test Steps</w:t>
            </w:r>
          </w:p>
        </w:tc>
        <w:tc>
          <w:tcPr>
            <w:tcW w:type="dxa" w:w="7704"/>
          </w:tcPr>
          <w:p>
            <w:pPr>
              <w:spacing w:after="20"/>
            </w:pPr>
            <w:r/>
            <w:r>
              <w:rPr>
                <w:sz w:val="19"/>
              </w:rPr>
              <w:t>1. Provide an email with no "From" header and an empty body.</w:t>
            </w:r>
          </w:p>
          <w:p>
            <w:pPr>
              <w:spacing w:after="20"/>
            </w:pPr>
            <w:r>
              <w:rPr>
                <w:sz w:val="19"/>
              </w:rPr>
              <w:t>2. Run feature extraction.</w:t>
            </w:r>
          </w:p>
        </w:tc>
      </w:tr>
      <w:tr>
        <w:tc>
          <w:tcPr>
            <w:tcW w:type="dxa" w:w="1944"/>
            <w:shd w:val="clear" w:color="auto" w:fill="EAF1F4"/>
          </w:tcPr>
          <w:p>
            <w:r/>
            <w:r>
              <w:rPr>
                <w:b/>
                <w:sz w:val="19"/>
              </w:rPr>
              <w:t>Test Data</w:t>
            </w:r>
          </w:p>
        </w:tc>
        <w:tc>
          <w:tcPr>
            <w:tcW w:type="dxa" w:w="7704"/>
          </w:tcPr>
          <w:p>
            <w:r/>
            <w:r>
              <w:rPr>
                <w:sz w:val="19"/>
              </w:rPr>
              <w:t>Email missing sender and body; subject present only.</w:t>
            </w:r>
          </w:p>
        </w:tc>
      </w:tr>
      <w:tr>
        <w:tc>
          <w:tcPr>
            <w:tcW w:type="dxa" w:w="1944"/>
            <w:shd w:val="clear" w:color="auto" w:fill="EAF1F4"/>
          </w:tcPr>
          <w:p>
            <w:r/>
            <w:r>
              <w:rPr>
                <w:b/>
                <w:sz w:val="19"/>
              </w:rPr>
              <w:t>Expected Result</w:t>
            </w:r>
          </w:p>
        </w:tc>
        <w:tc>
          <w:tcPr>
            <w:tcW w:type="dxa" w:w="7704"/>
          </w:tcPr>
          <w:p>
            <w:r/>
            <w:r>
              <w:rPr>
                <w:sz w:val="19"/>
              </w:rPr>
              <w:t>The feature vector records the missing values (e.g., null/absent) rather than failing; the pipeline completes and the absence is noted (FE-FR-05).</w:t>
            </w:r>
          </w:p>
        </w:tc>
      </w:tr>
    </w:tbl>
    <w:p>
      <w:pPr>
        <w:spacing w:after="80"/>
      </w:pPr>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C4402F"/>
          </w:tcPr>
          <w:p>
            <w:r/>
            <w:r>
              <w:rPr>
                <w:b/>
                <w:color w:val="FFFFFF"/>
                <w:sz w:val="21"/>
              </w:rPr>
              <w:t>TC-N-04   Legitimate email is not misclassified as phishing (false-positive guard)</w:t>
            </w:r>
            <w:r>
              <w:rPr>
                <w:b/>
                <w:color w:val="FFFFFF"/>
                <w:sz w:val="18"/>
              </w:rPr>
              <w:t xml:space="preserve">    [High]</w:t>
            </w:r>
          </w:p>
        </w:tc>
      </w:tr>
      <w:tr>
        <w:tc>
          <w:tcPr>
            <w:tcW w:type="dxa" w:w="1944"/>
            <w:shd w:val="clear" w:color="auto" w:fill="EAF1F4"/>
          </w:tcPr>
          <w:p>
            <w:r/>
            <w:r>
              <w:rPr>
                <w:b/>
                <w:sz w:val="19"/>
              </w:rPr>
              <w:t>Requirement ID</w:t>
            </w:r>
          </w:p>
        </w:tc>
        <w:tc>
          <w:tcPr>
            <w:tcW w:type="dxa" w:w="7704"/>
          </w:tcPr>
          <w:p>
            <w:r/>
            <w:r>
              <w:rPr>
                <w:sz w:val="19"/>
              </w:rPr>
              <w:t>ML-FR-02, TT-FR-03</w:t>
            </w:r>
          </w:p>
        </w:tc>
      </w:tr>
      <w:tr>
        <w:tc>
          <w:tcPr>
            <w:tcW w:type="dxa" w:w="1944"/>
            <w:shd w:val="clear" w:color="auto" w:fill="EAF1F4"/>
          </w:tcPr>
          <w:p>
            <w:r/>
            <w:r>
              <w:rPr>
                <w:b/>
                <w:sz w:val="19"/>
              </w:rPr>
              <w:t>Preconditions</w:t>
            </w:r>
          </w:p>
        </w:tc>
        <w:tc>
          <w:tcPr>
            <w:tcW w:type="dxa" w:w="7704"/>
          </w:tcPr>
          <w:p>
            <w:r/>
            <w:r>
              <w:rPr>
                <w:sz w:val="19"/>
              </w:rPr>
              <w:t>A trained model is available.</w:t>
            </w:r>
          </w:p>
        </w:tc>
      </w:tr>
      <w:tr>
        <w:tc>
          <w:tcPr>
            <w:tcW w:type="dxa" w:w="1944"/>
            <w:shd w:val="clear" w:color="auto" w:fill="EAF1F4"/>
          </w:tcPr>
          <w:p>
            <w:r/>
            <w:r>
              <w:rPr>
                <w:b/>
                <w:sz w:val="19"/>
              </w:rPr>
              <w:t>Test Steps</w:t>
            </w:r>
          </w:p>
        </w:tc>
        <w:tc>
          <w:tcPr>
            <w:tcW w:type="dxa" w:w="7704"/>
          </w:tcPr>
          <w:p>
            <w:pPr>
              <w:spacing w:after="20"/>
            </w:pPr>
            <w:r/>
            <w:r>
              <w:rPr>
                <w:sz w:val="19"/>
              </w:rPr>
              <w:t>1. Submit a genuine benign email for classification.</w:t>
            </w:r>
          </w:p>
          <w:p>
            <w:pPr>
              <w:spacing w:after="20"/>
            </w:pPr>
            <w:r>
              <w:rPr>
                <w:sz w:val="19"/>
              </w:rPr>
              <w:t>2. Inspect the prediction and any taxonomy label.</w:t>
            </w:r>
          </w:p>
        </w:tc>
      </w:tr>
      <w:tr>
        <w:tc>
          <w:tcPr>
            <w:tcW w:type="dxa" w:w="1944"/>
            <w:shd w:val="clear" w:color="auto" w:fill="EAF1F4"/>
          </w:tcPr>
          <w:p>
            <w:r/>
            <w:r>
              <w:rPr>
                <w:b/>
                <w:sz w:val="19"/>
              </w:rPr>
              <w:t>Test Data</w:t>
            </w:r>
          </w:p>
        </w:tc>
        <w:tc>
          <w:tcPr>
            <w:tcW w:type="dxa" w:w="7704"/>
          </w:tcPr>
          <w:p>
            <w:r/>
            <w:r>
              <w:rPr>
                <w:sz w:val="19"/>
              </w:rPr>
              <w:t>A real "ham" email from the SpamAssassin easy_ham / Enron corpus.</w:t>
            </w:r>
          </w:p>
        </w:tc>
      </w:tr>
      <w:tr>
        <w:tc>
          <w:tcPr>
            <w:tcW w:type="dxa" w:w="1944"/>
            <w:shd w:val="clear" w:color="auto" w:fill="EAF1F4"/>
          </w:tcPr>
          <w:p>
            <w:r/>
            <w:r>
              <w:rPr>
                <w:b/>
                <w:sz w:val="19"/>
              </w:rPr>
              <w:t>Expected Result</w:t>
            </w:r>
          </w:p>
        </w:tc>
        <w:tc>
          <w:tcPr>
            <w:tcW w:type="dxa" w:w="7704"/>
          </w:tcPr>
          <w:p>
            <w:r/>
            <w:r>
              <w:rPr>
                <w:sz w:val="19"/>
              </w:rPr>
              <w:t>The email is predicted as "Not phishing" / benign and is not assigned a phishing taxonomy category (ML-FR-02, TT-FR-03).</w:t>
            </w:r>
          </w:p>
        </w:tc>
      </w:tr>
    </w:tbl>
    <w:p>
      <w:pPr>
        <w:spacing w:after="80"/>
      </w:pPr>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C4402F"/>
          </w:tcPr>
          <w:p>
            <w:r/>
            <w:r>
              <w:rPr>
                <w:b/>
                <w:color w:val="FFFFFF"/>
                <w:sz w:val="21"/>
              </w:rPr>
              <w:t>TC-N-05   Email with no URLs / domains / IPs yields an empty IOC set</w:t>
            </w:r>
            <w:r>
              <w:rPr>
                <w:b/>
                <w:color w:val="FFFFFF"/>
                <w:sz w:val="18"/>
              </w:rPr>
              <w:t xml:space="preserve">    [Medium]</w:t>
            </w:r>
          </w:p>
        </w:tc>
      </w:tr>
      <w:tr>
        <w:tc>
          <w:tcPr>
            <w:tcW w:type="dxa" w:w="1944"/>
            <w:shd w:val="clear" w:color="auto" w:fill="EAF1F4"/>
          </w:tcPr>
          <w:p>
            <w:r/>
            <w:r>
              <w:rPr>
                <w:b/>
                <w:sz w:val="19"/>
              </w:rPr>
              <w:t>Requirement ID</w:t>
            </w:r>
          </w:p>
        </w:tc>
        <w:tc>
          <w:tcPr>
            <w:tcW w:type="dxa" w:w="7704"/>
          </w:tcPr>
          <w:p>
            <w:r/>
            <w:r>
              <w:rPr>
                <w:sz w:val="19"/>
              </w:rPr>
              <w:t>TI-FR-01</w:t>
            </w:r>
          </w:p>
        </w:tc>
      </w:tr>
      <w:tr>
        <w:tc>
          <w:tcPr>
            <w:tcW w:type="dxa" w:w="1944"/>
            <w:shd w:val="clear" w:color="auto" w:fill="EAF1F4"/>
          </w:tcPr>
          <w:p>
            <w:r/>
            <w:r>
              <w:rPr>
                <w:b/>
                <w:sz w:val="19"/>
              </w:rPr>
              <w:t>Preconditions</w:t>
            </w:r>
          </w:p>
        </w:tc>
        <w:tc>
          <w:tcPr>
            <w:tcW w:type="dxa" w:w="7704"/>
          </w:tcPr>
          <w:p>
            <w:r/>
            <w:r>
              <w:rPr>
                <w:sz w:val="19"/>
              </w:rPr>
              <w:t>IOC extraction is available.</w:t>
            </w:r>
          </w:p>
        </w:tc>
      </w:tr>
      <w:tr>
        <w:tc>
          <w:tcPr>
            <w:tcW w:type="dxa" w:w="1944"/>
            <w:shd w:val="clear" w:color="auto" w:fill="EAF1F4"/>
          </w:tcPr>
          <w:p>
            <w:r/>
            <w:r>
              <w:rPr>
                <w:b/>
                <w:sz w:val="19"/>
              </w:rPr>
              <w:t>Test Steps</w:t>
            </w:r>
          </w:p>
        </w:tc>
        <w:tc>
          <w:tcPr>
            <w:tcW w:type="dxa" w:w="7704"/>
          </w:tcPr>
          <w:p>
            <w:pPr>
              <w:spacing w:after="20"/>
            </w:pPr>
            <w:r/>
            <w:r>
              <w:rPr>
                <w:sz w:val="19"/>
              </w:rPr>
              <w:t>1. Provide a plain-text email that contains no links or addresses.</w:t>
            </w:r>
          </w:p>
          <w:p>
            <w:pPr>
              <w:spacing w:after="20"/>
            </w:pPr>
            <w:r>
              <w:rPr>
                <w:sz w:val="19"/>
              </w:rPr>
              <w:t>2. Run IOC extraction.</w:t>
            </w:r>
          </w:p>
        </w:tc>
      </w:tr>
      <w:tr>
        <w:tc>
          <w:tcPr>
            <w:tcW w:type="dxa" w:w="1944"/>
            <w:shd w:val="clear" w:color="auto" w:fill="EAF1F4"/>
          </w:tcPr>
          <w:p>
            <w:r/>
            <w:r>
              <w:rPr>
                <w:b/>
                <w:sz w:val="19"/>
              </w:rPr>
              <w:t>Test Data</w:t>
            </w:r>
          </w:p>
        </w:tc>
        <w:tc>
          <w:tcPr>
            <w:tcW w:type="dxa" w:w="7704"/>
          </w:tcPr>
          <w:p>
            <w:r/>
            <w:r>
              <w:rPr>
                <w:sz w:val="19"/>
              </w:rPr>
              <w:t>A short informational email with no URLs, domains or IPs.</w:t>
            </w:r>
          </w:p>
        </w:tc>
      </w:tr>
      <w:tr>
        <w:tc>
          <w:tcPr>
            <w:tcW w:type="dxa" w:w="1944"/>
            <w:shd w:val="clear" w:color="auto" w:fill="EAF1F4"/>
          </w:tcPr>
          <w:p>
            <w:r/>
            <w:r>
              <w:rPr>
                <w:b/>
                <w:sz w:val="19"/>
              </w:rPr>
              <w:t>Expected Result</w:t>
            </w:r>
          </w:p>
        </w:tc>
        <w:tc>
          <w:tcPr>
            <w:tcW w:type="dxa" w:w="7704"/>
          </w:tcPr>
          <w:p>
            <w:r/>
            <w:r>
              <w:rPr>
                <w:sz w:val="19"/>
              </w:rPr>
              <w:t>IOC extraction returns an empty (or near-empty) result without error; the sample is not forced into a campaign (TI-FR-01).</w:t>
            </w:r>
          </w:p>
        </w:tc>
      </w:tr>
    </w:tbl>
    <w:p>
      <w:pPr>
        <w:spacing w:after="80"/>
      </w:pPr>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C4402F"/>
          </w:tcPr>
          <w:p>
            <w:r/>
            <w:r>
              <w:rPr>
                <w:b/>
                <w:color w:val="FFFFFF"/>
                <w:sz w:val="21"/>
              </w:rPr>
              <w:t>TC-N-06   Neutral email triggers no manipulation techniques</w:t>
            </w:r>
            <w:r>
              <w:rPr>
                <w:b/>
                <w:color w:val="FFFFFF"/>
                <w:sz w:val="18"/>
              </w:rPr>
              <w:t xml:space="preserve">    [Medium]</w:t>
            </w:r>
          </w:p>
        </w:tc>
      </w:tr>
      <w:tr>
        <w:tc>
          <w:tcPr>
            <w:tcW w:type="dxa" w:w="1944"/>
            <w:shd w:val="clear" w:color="auto" w:fill="EAF1F4"/>
          </w:tcPr>
          <w:p>
            <w:r/>
            <w:r>
              <w:rPr>
                <w:b/>
                <w:sz w:val="19"/>
              </w:rPr>
              <w:t>Requirement ID</w:t>
            </w:r>
          </w:p>
        </w:tc>
        <w:tc>
          <w:tcPr>
            <w:tcW w:type="dxa" w:w="7704"/>
          </w:tcPr>
          <w:p>
            <w:r/>
            <w:r>
              <w:rPr>
                <w:sz w:val="19"/>
              </w:rPr>
              <w:t>HM-FR-01</w:t>
            </w:r>
          </w:p>
        </w:tc>
      </w:tr>
      <w:tr>
        <w:tc>
          <w:tcPr>
            <w:tcW w:type="dxa" w:w="1944"/>
            <w:shd w:val="clear" w:color="auto" w:fill="EAF1F4"/>
          </w:tcPr>
          <w:p>
            <w:r/>
            <w:r>
              <w:rPr>
                <w:b/>
                <w:sz w:val="19"/>
              </w:rPr>
              <w:t>Preconditions</w:t>
            </w:r>
          </w:p>
        </w:tc>
        <w:tc>
          <w:tcPr>
            <w:tcW w:type="dxa" w:w="7704"/>
          </w:tcPr>
          <w:p>
            <w:r/>
            <w:r>
              <w:rPr>
                <w:sz w:val="19"/>
              </w:rPr>
              <w:t>The human manipulation analyzer is available.</w:t>
            </w:r>
          </w:p>
        </w:tc>
      </w:tr>
      <w:tr>
        <w:tc>
          <w:tcPr>
            <w:tcW w:type="dxa" w:w="1944"/>
            <w:shd w:val="clear" w:color="auto" w:fill="EAF1F4"/>
          </w:tcPr>
          <w:p>
            <w:r/>
            <w:r>
              <w:rPr>
                <w:b/>
                <w:sz w:val="19"/>
              </w:rPr>
              <w:t>Test Steps</w:t>
            </w:r>
          </w:p>
        </w:tc>
        <w:tc>
          <w:tcPr>
            <w:tcW w:type="dxa" w:w="7704"/>
          </w:tcPr>
          <w:p>
            <w:pPr>
              <w:spacing w:after="20"/>
            </w:pPr>
            <w:r/>
            <w:r>
              <w:rPr>
                <w:sz w:val="19"/>
              </w:rPr>
              <w:t>1. Provide a normal, non-manipulative email.</w:t>
            </w:r>
          </w:p>
          <w:p>
            <w:pPr>
              <w:spacing w:after="20"/>
            </w:pPr>
            <w:r>
              <w:rPr>
                <w:sz w:val="19"/>
              </w:rPr>
              <w:t>2. Run the analyzer.</w:t>
            </w:r>
          </w:p>
        </w:tc>
      </w:tr>
      <w:tr>
        <w:tc>
          <w:tcPr>
            <w:tcW w:type="dxa" w:w="1944"/>
            <w:shd w:val="clear" w:color="auto" w:fill="EAF1F4"/>
          </w:tcPr>
          <w:p>
            <w:r/>
            <w:r>
              <w:rPr>
                <w:b/>
                <w:sz w:val="19"/>
              </w:rPr>
              <w:t>Test Data</w:t>
            </w:r>
          </w:p>
        </w:tc>
        <w:tc>
          <w:tcPr>
            <w:tcW w:type="dxa" w:w="7704"/>
          </w:tcPr>
          <w:p>
            <w:r/>
            <w:r>
              <w:rPr>
                <w:sz w:val="19"/>
              </w:rPr>
              <w:t>A routine meeting-confirmation email with neutral tone.</w:t>
            </w:r>
          </w:p>
        </w:tc>
      </w:tr>
      <w:tr>
        <w:tc>
          <w:tcPr>
            <w:tcW w:type="dxa" w:w="1944"/>
            <w:shd w:val="clear" w:color="auto" w:fill="EAF1F4"/>
          </w:tcPr>
          <w:p>
            <w:r/>
            <w:r>
              <w:rPr>
                <w:b/>
                <w:sz w:val="19"/>
              </w:rPr>
              <w:t>Expected Result</w:t>
            </w:r>
          </w:p>
        </w:tc>
        <w:tc>
          <w:tcPr>
            <w:tcW w:type="dxa" w:w="7704"/>
          </w:tcPr>
          <w:p>
            <w:r/>
            <w:r>
              <w:rPr>
                <w:sz w:val="19"/>
              </w:rPr>
              <w:t>Zero manipulation techniques are flagged — no false positives (HM-FR-01).</w:t>
            </w:r>
          </w:p>
        </w:tc>
      </w:tr>
    </w:tbl>
    <w:p>
      <w:pPr>
        <w:spacing w:after="80"/>
      </w:pPr>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C4402F"/>
          </w:tcPr>
          <w:p>
            <w:r/>
            <w:r>
              <w:rPr>
                <w:b/>
                <w:color w:val="FFFFFF"/>
                <w:sz w:val="21"/>
              </w:rPr>
              <w:t>TC-N-07   Explanation requested with no trained model available</w:t>
            </w:r>
            <w:r>
              <w:rPr>
                <w:b/>
                <w:color w:val="FFFFFF"/>
                <w:sz w:val="18"/>
              </w:rPr>
              <w:t xml:space="preserve">    [High]</w:t>
            </w:r>
          </w:p>
        </w:tc>
      </w:tr>
      <w:tr>
        <w:tc>
          <w:tcPr>
            <w:tcW w:type="dxa" w:w="1944"/>
            <w:shd w:val="clear" w:color="auto" w:fill="EAF1F4"/>
          </w:tcPr>
          <w:p>
            <w:r/>
            <w:r>
              <w:rPr>
                <w:b/>
                <w:sz w:val="19"/>
              </w:rPr>
              <w:t>Requirement ID</w:t>
            </w:r>
          </w:p>
        </w:tc>
        <w:tc>
          <w:tcPr>
            <w:tcW w:type="dxa" w:w="7704"/>
          </w:tcPr>
          <w:p>
            <w:r/>
            <w:r>
              <w:rPr>
                <w:sz w:val="19"/>
              </w:rPr>
              <w:t>XAI-FR-01, ML-FR-06</w:t>
            </w:r>
          </w:p>
        </w:tc>
      </w:tr>
      <w:tr>
        <w:tc>
          <w:tcPr>
            <w:tcW w:type="dxa" w:w="1944"/>
            <w:shd w:val="clear" w:color="auto" w:fill="EAF1F4"/>
          </w:tcPr>
          <w:p>
            <w:r/>
            <w:r>
              <w:rPr>
                <w:b/>
                <w:sz w:val="19"/>
              </w:rPr>
              <w:t>Preconditions</w:t>
            </w:r>
          </w:p>
        </w:tc>
        <w:tc>
          <w:tcPr>
            <w:tcW w:type="dxa" w:w="7704"/>
          </w:tcPr>
          <w:p>
            <w:r/>
            <w:r>
              <w:rPr>
                <w:sz w:val="19"/>
              </w:rPr>
              <w:t>No trained model has been persisted.</w:t>
            </w:r>
          </w:p>
        </w:tc>
      </w:tr>
      <w:tr>
        <w:tc>
          <w:tcPr>
            <w:tcW w:type="dxa" w:w="1944"/>
            <w:shd w:val="clear" w:color="auto" w:fill="EAF1F4"/>
          </w:tcPr>
          <w:p>
            <w:r/>
            <w:r>
              <w:rPr>
                <w:b/>
                <w:sz w:val="19"/>
              </w:rPr>
              <w:t>Test Steps</w:t>
            </w:r>
          </w:p>
        </w:tc>
        <w:tc>
          <w:tcPr>
            <w:tcW w:type="dxa" w:w="7704"/>
          </w:tcPr>
          <w:p>
            <w:pPr>
              <w:spacing w:after="20"/>
            </w:pPr>
            <w:r/>
            <w:r>
              <w:rPr>
                <w:sz w:val="19"/>
              </w:rPr>
              <w:t>1. Request a prediction/explanation for a sample.</w:t>
            </w:r>
          </w:p>
          <w:p>
            <w:pPr>
              <w:spacing w:after="20"/>
            </w:pPr>
            <w:r>
              <w:rPr>
                <w:sz w:val="19"/>
              </w:rPr>
              <w:t>2. Observe the system response.</w:t>
            </w:r>
          </w:p>
        </w:tc>
      </w:tr>
      <w:tr>
        <w:tc>
          <w:tcPr>
            <w:tcW w:type="dxa" w:w="1944"/>
            <w:shd w:val="clear" w:color="auto" w:fill="EAF1F4"/>
          </w:tcPr>
          <w:p>
            <w:r/>
            <w:r>
              <w:rPr>
                <w:b/>
                <w:sz w:val="19"/>
              </w:rPr>
              <w:t>Test Data</w:t>
            </w:r>
          </w:p>
        </w:tc>
        <w:tc>
          <w:tcPr>
            <w:tcW w:type="dxa" w:w="7704"/>
          </w:tcPr>
          <w:p>
            <w:r/>
            <w:r>
              <w:rPr>
                <w:sz w:val="19"/>
              </w:rPr>
              <w:t>Any valid sample, with the model store empty.</w:t>
            </w:r>
          </w:p>
        </w:tc>
      </w:tr>
      <w:tr>
        <w:tc>
          <w:tcPr>
            <w:tcW w:type="dxa" w:w="1944"/>
            <w:shd w:val="clear" w:color="auto" w:fill="EAF1F4"/>
          </w:tcPr>
          <w:p>
            <w:r/>
            <w:r>
              <w:rPr>
                <w:b/>
                <w:sz w:val="19"/>
              </w:rPr>
              <w:t>Expected Result</w:t>
            </w:r>
          </w:p>
        </w:tc>
        <w:tc>
          <w:tcPr>
            <w:tcW w:type="dxa" w:w="7704"/>
          </w:tcPr>
          <w:p>
            <w:r/>
            <w:r>
              <w:rPr>
                <w:sz w:val="19"/>
              </w:rPr>
              <w:t>A clear, handled message is returned (e.g., "no trained model available"); the app does not raise an unhandled stack trace or crash (XAI-FR-01, ML-FR-06).</w:t>
            </w:r>
          </w:p>
        </w:tc>
      </w:tr>
    </w:tbl>
    <w:p>
      <w:pPr>
        <w:spacing w:after="80"/>
      </w:pPr>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C4402F"/>
          </w:tcPr>
          <w:p>
            <w:r/>
            <w:r>
              <w:rPr>
                <w:b/>
                <w:color w:val="FFFFFF"/>
                <w:sz w:val="21"/>
              </w:rPr>
              <w:t>TC-N-08   Unsupported file type upload is rejected</w:t>
            </w:r>
            <w:r>
              <w:rPr>
                <w:b/>
                <w:color w:val="FFFFFF"/>
                <w:sz w:val="18"/>
              </w:rPr>
              <w:t xml:space="preserve">    [High]</w:t>
            </w:r>
          </w:p>
        </w:tc>
      </w:tr>
      <w:tr>
        <w:tc>
          <w:tcPr>
            <w:tcW w:type="dxa" w:w="1944"/>
            <w:shd w:val="clear" w:color="auto" w:fill="EAF1F4"/>
          </w:tcPr>
          <w:p>
            <w:r/>
            <w:r>
              <w:rPr>
                <w:b/>
                <w:sz w:val="19"/>
              </w:rPr>
              <w:t>Requirement ID</w:t>
            </w:r>
          </w:p>
        </w:tc>
        <w:tc>
          <w:tcPr>
            <w:tcW w:type="dxa" w:w="7704"/>
          </w:tcPr>
          <w:p>
            <w:r/>
            <w:r>
              <w:rPr>
                <w:sz w:val="19"/>
              </w:rPr>
              <w:t>DASH-FR-02, NFR-07</w:t>
            </w:r>
          </w:p>
        </w:tc>
      </w:tr>
      <w:tr>
        <w:tc>
          <w:tcPr>
            <w:tcW w:type="dxa" w:w="1944"/>
            <w:shd w:val="clear" w:color="auto" w:fill="EAF1F4"/>
          </w:tcPr>
          <w:p>
            <w:r/>
            <w:r>
              <w:rPr>
                <w:b/>
                <w:sz w:val="19"/>
              </w:rPr>
              <w:t>Preconditions</w:t>
            </w:r>
          </w:p>
        </w:tc>
        <w:tc>
          <w:tcPr>
            <w:tcW w:type="dxa" w:w="7704"/>
          </w:tcPr>
          <w:p>
            <w:r/>
            <w:r>
              <w:rPr>
                <w:sz w:val="19"/>
              </w:rPr>
              <w:t>The Email Analysis view is open.</w:t>
            </w:r>
          </w:p>
        </w:tc>
      </w:tr>
      <w:tr>
        <w:tc>
          <w:tcPr>
            <w:tcW w:type="dxa" w:w="1944"/>
            <w:shd w:val="clear" w:color="auto" w:fill="EAF1F4"/>
          </w:tcPr>
          <w:p>
            <w:r/>
            <w:r>
              <w:rPr>
                <w:b/>
                <w:sz w:val="19"/>
              </w:rPr>
              <w:t>Test Steps</w:t>
            </w:r>
          </w:p>
        </w:tc>
        <w:tc>
          <w:tcPr>
            <w:tcW w:type="dxa" w:w="7704"/>
          </w:tcPr>
          <w:p>
            <w:pPr>
              <w:spacing w:after="20"/>
            </w:pPr>
            <w:r/>
            <w:r>
              <w:rPr>
                <w:sz w:val="19"/>
              </w:rPr>
              <w:t>1. Upload a file with a disallowed type.</w:t>
            </w:r>
          </w:p>
          <w:p>
            <w:pPr>
              <w:spacing w:after="20"/>
            </w:pPr>
            <w:r>
              <w:rPr>
                <w:sz w:val="19"/>
              </w:rPr>
              <w:t>2. Observe the response.</w:t>
            </w:r>
          </w:p>
        </w:tc>
      </w:tr>
      <w:tr>
        <w:tc>
          <w:tcPr>
            <w:tcW w:type="dxa" w:w="1944"/>
            <w:shd w:val="clear" w:color="auto" w:fill="EAF1F4"/>
          </w:tcPr>
          <w:p>
            <w:r/>
            <w:r>
              <w:rPr>
                <w:b/>
                <w:sz w:val="19"/>
              </w:rPr>
              <w:t>Test Data</w:t>
            </w:r>
          </w:p>
        </w:tc>
        <w:tc>
          <w:tcPr>
            <w:tcW w:type="dxa" w:w="7704"/>
          </w:tcPr>
          <w:p>
            <w:r/>
            <w:r>
              <w:rPr>
                <w:sz w:val="19"/>
              </w:rPr>
              <w:t>A .exe (or .zip) file uploaded in place of an .eml/.txt sample.</w:t>
            </w:r>
          </w:p>
        </w:tc>
      </w:tr>
      <w:tr>
        <w:tc>
          <w:tcPr>
            <w:tcW w:type="dxa" w:w="1944"/>
            <w:shd w:val="clear" w:color="auto" w:fill="EAF1F4"/>
          </w:tcPr>
          <w:p>
            <w:r/>
            <w:r>
              <w:rPr>
                <w:b/>
                <w:sz w:val="19"/>
              </w:rPr>
              <w:t>Expected Result</w:t>
            </w:r>
          </w:p>
        </w:tc>
        <w:tc>
          <w:tcPr>
            <w:tcW w:type="dxa" w:w="7704"/>
          </w:tcPr>
          <w:p>
            <w:r/>
            <w:r>
              <w:rPr>
                <w:sz w:val="19"/>
              </w:rPr>
              <w:t>The upload is rejected with a clear message; the file is not processed or executed (DASH-FR-02, NFR-07 data safety).</w:t>
            </w:r>
          </w:p>
        </w:tc>
      </w:tr>
    </w:tbl>
    <w:p>
      <w:pPr>
        <w:spacing w:after="80"/>
      </w:pPr>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C4402F"/>
          </w:tcPr>
          <w:p>
            <w:r/>
            <w:r>
              <w:rPr>
                <w:b/>
                <w:color w:val="FFFFFF"/>
                <w:sz w:val="21"/>
              </w:rPr>
              <w:t>TC-N-09   Oversized upload beyond the configured limit is rejected</w:t>
            </w:r>
            <w:r>
              <w:rPr>
                <w:b/>
                <w:color w:val="FFFFFF"/>
                <w:sz w:val="18"/>
              </w:rPr>
              <w:t xml:space="preserve">    [Medium]</w:t>
            </w:r>
          </w:p>
        </w:tc>
      </w:tr>
      <w:tr>
        <w:tc>
          <w:tcPr>
            <w:tcW w:type="dxa" w:w="1944"/>
            <w:shd w:val="clear" w:color="auto" w:fill="EAF1F4"/>
          </w:tcPr>
          <w:p>
            <w:r/>
            <w:r>
              <w:rPr>
                <w:b/>
                <w:sz w:val="19"/>
              </w:rPr>
              <w:t>Requirement ID</w:t>
            </w:r>
          </w:p>
        </w:tc>
        <w:tc>
          <w:tcPr>
            <w:tcW w:type="dxa" w:w="7704"/>
          </w:tcPr>
          <w:p>
            <w:r/>
            <w:r>
              <w:rPr>
                <w:sz w:val="19"/>
              </w:rPr>
              <w:t>NFR-07</w:t>
            </w:r>
          </w:p>
        </w:tc>
      </w:tr>
      <w:tr>
        <w:tc>
          <w:tcPr>
            <w:tcW w:type="dxa" w:w="1944"/>
            <w:shd w:val="clear" w:color="auto" w:fill="EAF1F4"/>
          </w:tcPr>
          <w:p>
            <w:r/>
            <w:r>
              <w:rPr>
                <w:b/>
                <w:sz w:val="19"/>
              </w:rPr>
              <w:t>Preconditions</w:t>
            </w:r>
          </w:p>
        </w:tc>
        <w:tc>
          <w:tcPr>
            <w:tcW w:type="dxa" w:w="7704"/>
          </w:tcPr>
          <w:p>
            <w:r/>
            <w:r>
              <w:rPr>
                <w:sz w:val="19"/>
              </w:rPr>
              <w:t>Upload size limit is configured (20 MB).</w:t>
            </w:r>
          </w:p>
        </w:tc>
      </w:tr>
      <w:tr>
        <w:tc>
          <w:tcPr>
            <w:tcW w:type="dxa" w:w="1944"/>
            <w:shd w:val="clear" w:color="auto" w:fill="EAF1F4"/>
          </w:tcPr>
          <w:p>
            <w:r/>
            <w:r>
              <w:rPr>
                <w:b/>
                <w:sz w:val="19"/>
              </w:rPr>
              <w:t>Test Steps</w:t>
            </w:r>
          </w:p>
        </w:tc>
        <w:tc>
          <w:tcPr>
            <w:tcW w:type="dxa" w:w="7704"/>
          </w:tcPr>
          <w:p>
            <w:pPr>
              <w:spacing w:after="20"/>
            </w:pPr>
            <w:r/>
            <w:r>
              <w:rPr>
                <w:sz w:val="19"/>
              </w:rPr>
              <w:t>1. Attempt to upload a file larger than the limit.</w:t>
            </w:r>
          </w:p>
          <w:p>
            <w:pPr>
              <w:spacing w:after="20"/>
            </w:pPr>
            <w:r>
              <w:rPr>
                <w:sz w:val="19"/>
              </w:rPr>
              <w:t>2. Observe the response.</w:t>
            </w:r>
          </w:p>
        </w:tc>
      </w:tr>
      <w:tr>
        <w:tc>
          <w:tcPr>
            <w:tcW w:type="dxa" w:w="1944"/>
            <w:shd w:val="clear" w:color="auto" w:fill="EAF1F4"/>
          </w:tcPr>
          <w:p>
            <w:r/>
            <w:r>
              <w:rPr>
                <w:b/>
                <w:sz w:val="19"/>
              </w:rPr>
              <w:t>Test Data</w:t>
            </w:r>
          </w:p>
        </w:tc>
        <w:tc>
          <w:tcPr>
            <w:tcW w:type="dxa" w:w="7704"/>
          </w:tcPr>
          <w:p>
            <w:r/>
            <w:r>
              <w:rPr>
                <w:sz w:val="19"/>
              </w:rPr>
              <w:t>A 50 MB file (limit 20 MB).</w:t>
            </w:r>
          </w:p>
        </w:tc>
      </w:tr>
      <w:tr>
        <w:tc>
          <w:tcPr>
            <w:tcW w:type="dxa" w:w="1944"/>
            <w:shd w:val="clear" w:color="auto" w:fill="EAF1F4"/>
          </w:tcPr>
          <w:p>
            <w:r/>
            <w:r>
              <w:rPr>
                <w:b/>
                <w:sz w:val="19"/>
              </w:rPr>
              <w:t>Expected Result</w:t>
            </w:r>
          </w:p>
        </w:tc>
        <w:tc>
          <w:tcPr>
            <w:tcW w:type="dxa" w:w="7704"/>
          </w:tcPr>
          <w:p>
            <w:r/>
            <w:r>
              <w:rPr>
                <w:sz w:val="19"/>
              </w:rPr>
              <w:t>The upload is rejected; the sample is neither stored nor processed; a clear message is shown (NFR-07 / server limit).</w:t>
            </w:r>
          </w:p>
        </w:tc>
      </w:tr>
    </w:tbl>
    <w:p>
      <w:pPr>
        <w:spacing w:after="80"/>
      </w:pPr>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C4402F"/>
          </w:tcPr>
          <w:p>
            <w:r/>
            <w:r>
              <w:rPr>
                <w:b/>
                <w:color w:val="FFFFFF"/>
                <w:sz w:val="21"/>
              </w:rPr>
              <w:t>TC-N-10   Analyze invoked with no sample / empty input</w:t>
            </w:r>
            <w:r>
              <w:rPr>
                <w:b/>
                <w:color w:val="FFFFFF"/>
                <w:sz w:val="18"/>
              </w:rPr>
              <w:t xml:space="preserve">    [Medium]</w:t>
            </w:r>
          </w:p>
        </w:tc>
      </w:tr>
      <w:tr>
        <w:tc>
          <w:tcPr>
            <w:tcW w:type="dxa" w:w="1944"/>
            <w:shd w:val="clear" w:color="auto" w:fill="EAF1F4"/>
          </w:tcPr>
          <w:p>
            <w:r/>
            <w:r>
              <w:rPr>
                <w:b/>
                <w:sz w:val="19"/>
              </w:rPr>
              <w:t>Requirement ID</w:t>
            </w:r>
          </w:p>
        </w:tc>
        <w:tc>
          <w:tcPr>
            <w:tcW w:type="dxa" w:w="7704"/>
          </w:tcPr>
          <w:p>
            <w:r/>
            <w:r>
              <w:rPr>
                <w:sz w:val="19"/>
              </w:rPr>
              <w:t>DASH-FR-02, DASH-FR-04</w:t>
            </w:r>
          </w:p>
        </w:tc>
      </w:tr>
      <w:tr>
        <w:tc>
          <w:tcPr>
            <w:tcW w:type="dxa" w:w="1944"/>
            <w:shd w:val="clear" w:color="auto" w:fill="EAF1F4"/>
          </w:tcPr>
          <w:p>
            <w:r/>
            <w:r>
              <w:rPr>
                <w:b/>
                <w:sz w:val="19"/>
              </w:rPr>
              <w:t>Preconditions</w:t>
            </w:r>
          </w:p>
        </w:tc>
        <w:tc>
          <w:tcPr>
            <w:tcW w:type="dxa" w:w="7704"/>
          </w:tcPr>
          <w:p>
            <w:r/>
            <w:r>
              <w:rPr>
                <w:sz w:val="19"/>
              </w:rPr>
              <w:t>The Email Analysis view is open with no sample selected.</w:t>
            </w:r>
          </w:p>
        </w:tc>
      </w:tr>
      <w:tr>
        <w:tc>
          <w:tcPr>
            <w:tcW w:type="dxa" w:w="1944"/>
            <w:shd w:val="clear" w:color="auto" w:fill="EAF1F4"/>
          </w:tcPr>
          <w:p>
            <w:r/>
            <w:r>
              <w:rPr>
                <w:b/>
                <w:sz w:val="19"/>
              </w:rPr>
              <w:t>Test Steps</w:t>
            </w:r>
          </w:p>
        </w:tc>
        <w:tc>
          <w:tcPr>
            <w:tcW w:type="dxa" w:w="7704"/>
          </w:tcPr>
          <w:p>
            <w:pPr>
              <w:spacing w:after="20"/>
            </w:pPr>
            <w:r/>
            <w:r>
              <w:rPr>
                <w:sz w:val="19"/>
              </w:rPr>
              <w:t>1. Click Analyze without selecting or entering a sample.</w:t>
            </w:r>
          </w:p>
          <w:p>
            <w:pPr>
              <w:spacing w:after="20"/>
            </w:pPr>
            <w:r>
              <w:rPr>
                <w:sz w:val="19"/>
              </w:rPr>
              <w:t>2. Observe the response.</w:t>
            </w:r>
          </w:p>
        </w:tc>
      </w:tr>
      <w:tr>
        <w:tc>
          <w:tcPr>
            <w:tcW w:type="dxa" w:w="1944"/>
            <w:shd w:val="clear" w:color="auto" w:fill="EAF1F4"/>
          </w:tcPr>
          <w:p>
            <w:r/>
            <w:r>
              <w:rPr>
                <w:b/>
                <w:sz w:val="19"/>
              </w:rPr>
              <w:t>Test Data</w:t>
            </w:r>
          </w:p>
        </w:tc>
        <w:tc>
          <w:tcPr>
            <w:tcW w:type="dxa" w:w="7704"/>
          </w:tcPr>
          <w:p>
            <w:r/>
            <w:r>
              <w:rPr>
                <w:sz w:val="19"/>
              </w:rPr>
              <w:t>No input provided.</w:t>
            </w:r>
          </w:p>
        </w:tc>
      </w:tr>
      <w:tr>
        <w:tc>
          <w:tcPr>
            <w:tcW w:type="dxa" w:w="1944"/>
            <w:shd w:val="clear" w:color="auto" w:fill="EAF1F4"/>
          </w:tcPr>
          <w:p>
            <w:r/>
            <w:r>
              <w:rPr>
                <w:b/>
                <w:sz w:val="19"/>
              </w:rPr>
              <w:t>Expected Result</w:t>
            </w:r>
          </w:p>
        </w:tc>
        <w:tc>
          <w:tcPr>
            <w:tcW w:type="dxa" w:w="7704"/>
          </w:tcPr>
          <w:p>
            <w:r/>
            <w:r>
              <w:rPr>
                <w:sz w:val="19"/>
              </w:rPr>
              <w:t>The user is prompted to provide input; no analysis is attempted and no error is raised (DASH-FR-02/04).</w:t>
            </w:r>
          </w:p>
        </w:tc>
      </w:tr>
    </w:tbl>
    <w:p>
      <w:pPr>
        <w:spacing w:after="80"/>
      </w:pPr>
    </w:p>
    <w:p>
      <w:r>
        <w:br w:type="page"/>
      </w:r>
    </w:p>
    <w:p>
      <w:pPr>
        <w:pStyle w:val="Heading1"/>
      </w:pPr>
      <w:r>
        <w:t>4. Requirement Traceability Matrix</w:t>
      </w:r>
    </w:p>
    <w:p>
      <w:r>
        <w:rPr>
          <w:b w:val="0"/>
          <w:i w:val="0"/>
        </w:rPr>
        <w:t>Maps SRD components/requirements to the test cases that cover them.</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44E63"/>
          </w:tcPr>
          <w:p>
            <w:r/>
            <w:r>
              <w:rPr>
                <w:b/>
                <w:color w:val="FFFFFF"/>
                <w:sz w:val="20"/>
              </w:rPr>
              <w:t>Component</w:t>
            </w:r>
          </w:p>
        </w:tc>
        <w:tc>
          <w:tcPr>
            <w:tcW w:type="dxa" w:w="2880"/>
            <w:shd w:val="clear" w:color="auto" w:fill="144E63"/>
          </w:tcPr>
          <w:p>
            <w:r/>
            <w:r>
              <w:rPr>
                <w:b/>
                <w:color w:val="FFFFFF"/>
                <w:sz w:val="20"/>
              </w:rPr>
              <w:t>Requirement IDs</w:t>
            </w:r>
          </w:p>
        </w:tc>
        <w:tc>
          <w:tcPr>
            <w:tcW w:type="dxa" w:w="2880"/>
            <w:shd w:val="clear" w:color="auto" w:fill="144E63"/>
          </w:tcPr>
          <w:p>
            <w:r/>
            <w:r>
              <w:rPr>
                <w:b/>
                <w:color w:val="FFFFFF"/>
                <w:sz w:val="20"/>
              </w:rPr>
              <w:t>Covering Test Cases</w:t>
            </w:r>
          </w:p>
        </w:tc>
      </w:tr>
      <w:tr>
        <w:tc>
          <w:tcPr>
            <w:tcW w:type="dxa" w:w="2880"/>
          </w:tcPr>
          <w:p>
            <w:r/>
            <w:r>
              <w:rPr>
                <w:b/>
                <w:sz w:val="19"/>
              </w:rPr>
              <w:t>Data Collection (DC)</w:t>
            </w:r>
          </w:p>
        </w:tc>
        <w:tc>
          <w:tcPr>
            <w:tcW w:type="dxa" w:w="2880"/>
          </w:tcPr>
          <w:p>
            <w:r/>
            <w:r>
              <w:rPr>
                <w:sz w:val="19"/>
              </w:rPr>
              <w:t>DC-FR-01/03/04/07</w:t>
            </w:r>
          </w:p>
        </w:tc>
        <w:tc>
          <w:tcPr>
            <w:tcW w:type="dxa" w:w="3888"/>
          </w:tcPr>
          <w:p>
            <w:r/>
            <w:r>
              <w:rPr>
                <w:sz w:val="19"/>
              </w:rPr>
              <w:t>TC-P-01, TC-N-01, TC-N-02</w:t>
            </w:r>
          </w:p>
        </w:tc>
      </w:tr>
      <w:tr>
        <w:tc>
          <w:tcPr>
            <w:tcW w:type="dxa" w:w="2880"/>
          </w:tcPr>
          <w:p>
            <w:r/>
            <w:r>
              <w:rPr>
                <w:b/>
                <w:sz w:val="19"/>
              </w:rPr>
              <w:t>Threat Taxonomy (TT)</w:t>
            </w:r>
          </w:p>
        </w:tc>
        <w:tc>
          <w:tcPr>
            <w:tcW w:type="dxa" w:w="2880"/>
          </w:tcPr>
          <w:p>
            <w:r/>
            <w:r>
              <w:rPr>
                <w:sz w:val="19"/>
              </w:rPr>
              <w:t>TT-FR-01/03</w:t>
            </w:r>
          </w:p>
        </w:tc>
        <w:tc>
          <w:tcPr>
            <w:tcW w:type="dxa" w:w="3888"/>
          </w:tcPr>
          <w:p>
            <w:r/>
            <w:r>
              <w:rPr>
                <w:sz w:val="19"/>
              </w:rPr>
              <w:t>TC-P-02, TC-N-04</w:t>
            </w:r>
          </w:p>
        </w:tc>
      </w:tr>
      <w:tr>
        <w:tc>
          <w:tcPr>
            <w:tcW w:type="dxa" w:w="2880"/>
          </w:tcPr>
          <w:p>
            <w:r/>
            <w:r>
              <w:rPr>
                <w:b/>
                <w:sz w:val="19"/>
              </w:rPr>
              <w:t>Feature Extraction (FE)</w:t>
            </w:r>
          </w:p>
        </w:tc>
        <w:tc>
          <w:tcPr>
            <w:tcW w:type="dxa" w:w="2880"/>
          </w:tcPr>
          <w:p>
            <w:r/>
            <w:r>
              <w:rPr>
                <w:sz w:val="19"/>
              </w:rPr>
              <w:t>FE-FR-01/02/03/04/05</w:t>
            </w:r>
          </w:p>
        </w:tc>
        <w:tc>
          <w:tcPr>
            <w:tcW w:type="dxa" w:w="3888"/>
          </w:tcPr>
          <w:p>
            <w:r/>
            <w:r>
              <w:rPr>
                <w:sz w:val="19"/>
              </w:rPr>
              <w:t>TC-P-03, TC-P-04, TC-N-03</w:t>
            </w:r>
          </w:p>
        </w:tc>
      </w:tr>
      <w:tr>
        <w:tc>
          <w:tcPr>
            <w:tcW w:type="dxa" w:w="2880"/>
          </w:tcPr>
          <w:p>
            <w:r/>
            <w:r>
              <w:rPr>
                <w:b/>
                <w:sz w:val="19"/>
              </w:rPr>
              <w:t>Threat Intelligence (TI)</w:t>
            </w:r>
          </w:p>
        </w:tc>
        <w:tc>
          <w:tcPr>
            <w:tcW w:type="dxa" w:w="2880"/>
          </w:tcPr>
          <w:p>
            <w:r/>
            <w:r>
              <w:rPr>
                <w:sz w:val="19"/>
              </w:rPr>
              <w:t>TI-FR-01/04/05/06</w:t>
            </w:r>
          </w:p>
        </w:tc>
        <w:tc>
          <w:tcPr>
            <w:tcW w:type="dxa" w:w="3888"/>
          </w:tcPr>
          <w:p>
            <w:r/>
            <w:r>
              <w:rPr>
                <w:sz w:val="19"/>
              </w:rPr>
              <w:t>TC-P-05, TC-P-06, TC-N-05</w:t>
            </w:r>
          </w:p>
        </w:tc>
      </w:tr>
      <w:tr>
        <w:tc>
          <w:tcPr>
            <w:tcW w:type="dxa" w:w="2880"/>
          </w:tcPr>
          <w:p>
            <w:r/>
            <w:r>
              <w:rPr>
                <w:b/>
                <w:sz w:val="19"/>
              </w:rPr>
              <w:t>Human Manipulation (HM)</w:t>
            </w:r>
          </w:p>
        </w:tc>
        <w:tc>
          <w:tcPr>
            <w:tcW w:type="dxa" w:w="2880"/>
          </w:tcPr>
          <w:p>
            <w:r/>
            <w:r>
              <w:rPr>
                <w:sz w:val="19"/>
              </w:rPr>
              <w:t>HM-FR-01/03</w:t>
            </w:r>
          </w:p>
        </w:tc>
        <w:tc>
          <w:tcPr>
            <w:tcW w:type="dxa" w:w="3888"/>
          </w:tcPr>
          <w:p>
            <w:r/>
            <w:r>
              <w:rPr>
                <w:sz w:val="19"/>
              </w:rPr>
              <w:t>TC-P-07, TC-N-06</w:t>
            </w:r>
          </w:p>
        </w:tc>
      </w:tr>
      <w:tr>
        <w:tc>
          <w:tcPr>
            <w:tcW w:type="dxa" w:w="2880"/>
          </w:tcPr>
          <w:p>
            <w:r/>
            <w:r>
              <w:rPr>
                <w:b/>
                <w:sz w:val="19"/>
              </w:rPr>
              <w:t>Machine Learning (ML)</w:t>
            </w:r>
          </w:p>
        </w:tc>
        <w:tc>
          <w:tcPr>
            <w:tcW w:type="dxa" w:w="2880"/>
          </w:tcPr>
          <w:p>
            <w:r/>
            <w:r>
              <w:rPr>
                <w:sz w:val="19"/>
              </w:rPr>
              <w:t>ML-FR-01/02/03/04/06</w:t>
            </w:r>
          </w:p>
        </w:tc>
        <w:tc>
          <w:tcPr>
            <w:tcW w:type="dxa" w:w="3888"/>
          </w:tcPr>
          <w:p>
            <w:r/>
            <w:r>
              <w:rPr>
                <w:sz w:val="19"/>
              </w:rPr>
              <w:t>TC-P-08, TC-N-04, TC-N-07</w:t>
            </w:r>
          </w:p>
        </w:tc>
      </w:tr>
      <w:tr>
        <w:tc>
          <w:tcPr>
            <w:tcW w:type="dxa" w:w="2880"/>
          </w:tcPr>
          <w:p>
            <w:r/>
            <w:r>
              <w:rPr>
                <w:b/>
                <w:sz w:val="19"/>
              </w:rPr>
              <w:t>Explainable AI (XAI)</w:t>
            </w:r>
          </w:p>
        </w:tc>
        <w:tc>
          <w:tcPr>
            <w:tcW w:type="dxa" w:w="2880"/>
          </w:tcPr>
          <w:p>
            <w:r/>
            <w:r>
              <w:rPr>
                <w:sz w:val="19"/>
              </w:rPr>
              <w:t>XAI-FR-01/02/03</w:t>
            </w:r>
          </w:p>
        </w:tc>
        <w:tc>
          <w:tcPr>
            <w:tcW w:type="dxa" w:w="3888"/>
          </w:tcPr>
          <w:p>
            <w:r/>
            <w:r>
              <w:rPr>
                <w:sz w:val="19"/>
              </w:rPr>
              <w:t>TC-P-09, TC-P-10, TC-N-07</w:t>
            </w:r>
          </w:p>
        </w:tc>
      </w:tr>
      <w:tr>
        <w:tc>
          <w:tcPr>
            <w:tcW w:type="dxa" w:w="2880"/>
          </w:tcPr>
          <w:p>
            <w:r/>
            <w:r>
              <w:rPr>
                <w:b/>
                <w:sz w:val="19"/>
              </w:rPr>
              <w:t>Dashboard (DASH)</w:t>
            </w:r>
          </w:p>
        </w:tc>
        <w:tc>
          <w:tcPr>
            <w:tcW w:type="dxa" w:w="2880"/>
          </w:tcPr>
          <w:p>
            <w:r/>
            <w:r>
              <w:rPr>
                <w:sz w:val="19"/>
              </w:rPr>
              <w:t>DASH-FR-02/04</w:t>
            </w:r>
          </w:p>
        </w:tc>
        <w:tc>
          <w:tcPr>
            <w:tcW w:type="dxa" w:w="3888"/>
          </w:tcPr>
          <w:p>
            <w:r/>
            <w:r>
              <w:rPr>
                <w:sz w:val="19"/>
              </w:rPr>
              <w:t>TC-P-10, TC-N-08, TC-N-10</w:t>
            </w:r>
          </w:p>
        </w:tc>
      </w:tr>
      <w:tr>
        <w:tc>
          <w:tcPr>
            <w:tcW w:type="dxa" w:w="2880"/>
          </w:tcPr>
          <w:p>
            <w:r/>
            <w:r>
              <w:rPr>
                <w:b/>
                <w:sz w:val="19"/>
              </w:rPr>
              <w:t>Reporting (REP)</w:t>
            </w:r>
          </w:p>
        </w:tc>
        <w:tc>
          <w:tcPr>
            <w:tcW w:type="dxa" w:w="2880"/>
          </w:tcPr>
          <w:p>
            <w:r/>
            <w:r>
              <w:rPr>
                <w:sz w:val="19"/>
              </w:rPr>
              <w:t>REP-FR-01</w:t>
            </w:r>
          </w:p>
        </w:tc>
        <w:tc>
          <w:tcPr>
            <w:tcW w:type="dxa" w:w="3888"/>
          </w:tcPr>
          <w:p>
            <w:r/>
            <w:r>
              <w:rPr>
                <w:sz w:val="19"/>
              </w:rPr>
              <w:t>TC-P-10</w:t>
            </w:r>
          </w:p>
        </w:tc>
      </w:tr>
      <w:tr>
        <w:tc>
          <w:tcPr>
            <w:tcW w:type="dxa" w:w="2880"/>
          </w:tcPr>
          <w:p>
            <w:r/>
            <w:r>
              <w:rPr>
                <w:b/>
                <w:sz w:val="19"/>
              </w:rPr>
              <w:t>Non-Functional</w:t>
            </w:r>
          </w:p>
        </w:tc>
        <w:tc>
          <w:tcPr>
            <w:tcW w:type="dxa" w:w="2880"/>
          </w:tcPr>
          <w:p>
            <w:r/>
            <w:r>
              <w:rPr>
                <w:sz w:val="19"/>
              </w:rPr>
              <w:t>NFR-07 (data safety)</w:t>
            </w:r>
          </w:p>
        </w:tc>
        <w:tc>
          <w:tcPr>
            <w:tcW w:type="dxa" w:w="3888"/>
          </w:tcPr>
          <w:p>
            <w:r/>
            <w:r>
              <w:rPr>
                <w:sz w:val="19"/>
              </w:rPr>
              <w:t>TC-N-08, TC-N-09</w:t>
            </w:r>
          </w:p>
        </w:tc>
      </w:tr>
    </w:tbl>
    <w:p/>
    <w:p>
      <w:r>
        <w:rPr>
          <w:b w:val="0"/>
          <w:i/>
          <w:color w:val="555555"/>
        </w:rPr>
        <w:t>Note: this baseline set targets breadth of coverage (at least one positive and, where applicable, one negative per component). Deeper per-requirement suites can be layered on top.</w:t>
      </w:r>
    </w:p>
    <w:p>
      <w:r>
        <w:br w:type="page"/>
      </w:r>
    </w:p>
    <w:p>
      <w:pPr>
        <w:pStyle w:val="Heading1"/>
      </w:pPr>
      <w:r>
        <w:t>5. Test Data Strategy</w:t>
      </w:r>
    </w:p>
    <w:p>
      <w:r>
        <w:rPr>
          <w:b w:val="0"/>
          <w:i w:val="0"/>
        </w:rPr>
        <w:t>ThreatLens is a phishing-analysis platform, so realistic test data must include both real phishing samples (positive class) and legitimate email (negative class). The following approach builds a safe, labeled, reproducible test corpus from public Internet sources.</w:t>
      </w:r>
    </w:p>
    <w:p>
      <w:pPr>
        <w:pStyle w:val="Heading2"/>
      </w:pPr>
      <w:r>
        <w:t>5.1 Public data sources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44E63"/>
          </w:tcPr>
          <w:p>
            <w:r/>
            <w:r>
              <w:rPr>
                <w:b/>
                <w:color w:val="FFFFFF"/>
                <w:sz w:val="20"/>
              </w:rPr>
              <w:t>Source</w:t>
            </w:r>
          </w:p>
        </w:tc>
        <w:tc>
          <w:tcPr>
            <w:tcW w:type="dxa" w:w="2880"/>
            <w:shd w:val="clear" w:color="auto" w:fill="144E63"/>
          </w:tcPr>
          <w:p>
            <w:r/>
            <w:r>
              <w:rPr>
                <w:b/>
                <w:color w:val="FFFFFF"/>
                <w:sz w:val="20"/>
              </w:rPr>
              <w:t>What it provides</w:t>
            </w:r>
          </w:p>
        </w:tc>
        <w:tc>
          <w:tcPr>
            <w:tcW w:type="dxa" w:w="2880"/>
            <w:shd w:val="clear" w:color="auto" w:fill="144E63"/>
          </w:tcPr>
          <w:p>
            <w:r/>
            <w:r>
              <w:rPr>
                <w:b/>
                <w:color w:val="FFFFFF"/>
                <w:sz w:val="20"/>
              </w:rPr>
              <w:t>Use for</w:t>
            </w:r>
          </w:p>
        </w:tc>
      </w:tr>
      <w:tr>
        <w:tc>
          <w:tcPr>
            <w:tcW w:type="dxa" w:w="2736"/>
          </w:tcPr>
          <w:p>
            <w:r/>
            <w:r>
              <w:rPr>
                <w:b/>
                <w:sz w:val="19"/>
              </w:rPr>
              <w:t>Nazario Phishing Corpus</w:t>
            </w:r>
          </w:p>
        </w:tc>
        <w:tc>
          <w:tcPr>
            <w:tcW w:type="dxa" w:w="4320"/>
          </w:tcPr>
          <w:p>
            <w:r/>
            <w:r>
              <w:rPr>
                <w:sz w:val="19"/>
              </w:rPr>
              <w:t>Classic collection of real phishing emails (.mbox).</w:t>
            </w:r>
          </w:p>
        </w:tc>
        <w:tc>
          <w:tcPr>
            <w:tcW w:type="dxa" w:w="2592"/>
          </w:tcPr>
          <w:p>
            <w:r/>
            <w:r>
              <w:rPr>
                <w:sz w:val="19"/>
              </w:rPr>
              <w:t>Positive samples (emails)</w:t>
            </w:r>
          </w:p>
        </w:tc>
      </w:tr>
      <w:tr>
        <w:tc>
          <w:tcPr>
            <w:tcW w:type="dxa" w:w="2736"/>
          </w:tcPr>
          <w:p>
            <w:r/>
            <w:r>
              <w:rPr>
                <w:b/>
                <w:sz w:val="19"/>
              </w:rPr>
              <w:t>SpamAssassin public corpus</w:t>
            </w:r>
          </w:p>
        </w:tc>
        <w:tc>
          <w:tcPr>
            <w:tcW w:type="dxa" w:w="4320"/>
          </w:tcPr>
          <w:p>
            <w:r/>
            <w:r>
              <w:rPr>
                <w:sz w:val="19"/>
              </w:rPr>
              <w:t>Labeled spam plus easy_ham / hard_ham legitimate email.</w:t>
            </w:r>
          </w:p>
        </w:tc>
        <w:tc>
          <w:tcPr>
            <w:tcW w:type="dxa" w:w="2592"/>
          </w:tcPr>
          <w:p>
            <w:r/>
            <w:r>
              <w:rPr>
                <w:sz w:val="19"/>
              </w:rPr>
              <w:t>Negative (ham) + spam</w:t>
            </w:r>
          </w:p>
        </w:tc>
      </w:tr>
      <w:tr>
        <w:tc>
          <w:tcPr>
            <w:tcW w:type="dxa" w:w="2736"/>
          </w:tcPr>
          <w:p>
            <w:r/>
            <w:r>
              <w:rPr>
                <w:b/>
                <w:sz w:val="19"/>
              </w:rPr>
              <w:t>Enron Email Dataset</w:t>
            </w:r>
          </w:p>
        </w:tc>
        <w:tc>
          <w:tcPr>
            <w:tcW w:type="dxa" w:w="4320"/>
          </w:tcPr>
          <w:p>
            <w:r/>
            <w:r>
              <w:rPr>
                <w:sz w:val="19"/>
              </w:rPr>
              <w:t>Large set of real legitimate business emails.</w:t>
            </w:r>
          </w:p>
        </w:tc>
        <w:tc>
          <w:tcPr>
            <w:tcW w:type="dxa" w:w="2592"/>
          </w:tcPr>
          <w:p>
            <w:r/>
            <w:r>
              <w:rPr>
                <w:sz w:val="19"/>
              </w:rPr>
              <w:t>Negative (ham) samples</w:t>
            </w:r>
          </w:p>
        </w:tc>
      </w:tr>
      <w:tr>
        <w:tc>
          <w:tcPr>
            <w:tcW w:type="dxa" w:w="2736"/>
          </w:tcPr>
          <w:p>
            <w:r/>
            <w:r>
              <w:rPr>
                <w:b/>
                <w:sz w:val="19"/>
              </w:rPr>
              <w:t>PhishTank / OpenPhish</w:t>
            </w:r>
          </w:p>
        </w:tc>
        <w:tc>
          <w:tcPr>
            <w:tcW w:type="dxa" w:w="4320"/>
          </w:tcPr>
          <w:p>
            <w:r/>
            <w:r>
              <w:rPr>
                <w:sz w:val="19"/>
              </w:rPr>
              <w:t>Community-verified phishing URLs (free feeds/API).</w:t>
            </w:r>
          </w:p>
        </w:tc>
        <w:tc>
          <w:tcPr>
            <w:tcW w:type="dxa" w:w="2592"/>
          </w:tcPr>
          <w:p>
            <w:r/>
            <w:r>
              <w:rPr>
                <w:sz w:val="19"/>
              </w:rPr>
              <w:t>URL &amp; IOC test data</w:t>
            </w:r>
          </w:p>
        </w:tc>
      </w:tr>
      <w:tr>
        <w:tc>
          <w:tcPr>
            <w:tcW w:type="dxa" w:w="2736"/>
          </w:tcPr>
          <w:p>
            <w:r/>
            <w:r>
              <w:rPr>
                <w:b/>
                <w:sz w:val="19"/>
              </w:rPr>
              <w:t>UCI Phishing Websites Dataset</w:t>
            </w:r>
          </w:p>
        </w:tc>
        <w:tc>
          <w:tcPr>
            <w:tcW w:type="dxa" w:w="4320"/>
          </w:tcPr>
          <w:p>
            <w:r/>
            <w:r>
              <w:rPr>
                <w:sz w:val="19"/>
              </w:rPr>
              <w:t>Pre-computed URL/website features with labels.</w:t>
            </w:r>
          </w:p>
        </w:tc>
        <w:tc>
          <w:tcPr>
            <w:tcW w:type="dxa" w:w="2592"/>
          </w:tcPr>
          <w:p>
            <w:r/>
            <w:r>
              <w:rPr>
                <w:sz w:val="19"/>
              </w:rPr>
              <w:t>Feature-extraction &amp; ML validation</w:t>
            </w:r>
          </w:p>
        </w:tc>
      </w:tr>
      <w:tr>
        <w:tc>
          <w:tcPr>
            <w:tcW w:type="dxa" w:w="2736"/>
          </w:tcPr>
          <w:p>
            <w:r/>
            <w:r>
              <w:rPr>
                <w:b/>
                <w:sz w:val="19"/>
              </w:rPr>
              <w:t>Kaggle phishing email datasets</w:t>
            </w:r>
          </w:p>
        </w:tc>
        <w:tc>
          <w:tcPr>
            <w:tcW w:type="dxa" w:w="4320"/>
          </w:tcPr>
          <w:p>
            <w:r/>
            <w:r>
              <w:rPr>
                <w:sz w:val="19"/>
              </w:rPr>
              <w:t>Various labeled phishing/legitimate email CSVs.</w:t>
            </w:r>
          </w:p>
        </w:tc>
        <w:tc>
          <w:tcPr>
            <w:tcW w:type="dxa" w:w="2592"/>
          </w:tcPr>
          <w:p>
            <w:r/>
            <w:r>
              <w:rPr>
                <w:sz w:val="19"/>
              </w:rPr>
              <w:t>Bulk positive/negative samples</w:t>
            </w:r>
          </w:p>
        </w:tc>
      </w:tr>
    </w:tbl>
    <w:p/>
    <w:p>
      <w:pPr>
        <w:pStyle w:val="Heading2"/>
      </w:pPr>
      <w:r>
        <w:t>5.2 Building the labeled test corpus</w:t>
      </w:r>
    </w:p>
    <w:p>
      <w:pPr>
        <w:pStyle w:val="ListBullet"/>
      </w:pPr>
      <w:r>
        <w:rPr>
          <w:b/>
        </w:rPr>
        <w:t xml:space="preserve">1. Collect — </w:t>
      </w:r>
      <w:r>
        <w:t>download raw phishing (.mbox/.eml/CSV) and legitimate (ham) email from the sources above. Keep the two classes from separate, trusted origins.</w:t>
      </w:r>
    </w:p>
    <w:p>
      <w:pPr>
        <w:pStyle w:val="ListBullet"/>
      </w:pPr>
      <w:r>
        <w:rPr>
          <w:b/>
        </w:rPr>
        <w:t xml:space="preserve">2. Label — </w:t>
      </w:r>
      <w:r>
        <w:t>assign the class from the source (phishing source → phishing; ham source → legitimate), then tag phishing samples with a taxonomy category (Credential Theft, BEC, etc.).</w:t>
      </w:r>
    </w:p>
    <w:p>
      <w:pPr>
        <w:pStyle w:val="ListBullet"/>
      </w:pPr>
      <w:r>
        <w:rPr>
          <w:b/>
        </w:rPr>
        <w:t xml:space="preserve">3. Normalize — </w:t>
      </w:r>
      <w:r>
        <w:t>parse each message into the ThreatLens schema (id, source, collected_at, sender, subject, body, url, label) and de-duplicate.</w:t>
      </w:r>
    </w:p>
    <w:p>
      <w:pPr>
        <w:pStyle w:val="ListBullet"/>
      </w:pPr>
      <w:r>
        <w:rPr>
          <w:b/>
        </w:rPr>
        <w:t xml:space="preserve">4. Split — </w:t>
      </w:r>
      <w:r>
        <w:t>reserve a hold-out test set (e.g., 20%) that is never used for training, so ML and XAI results are reproducible (supports ML-FR-05).</w:t>
      </w:r>
    </w:p>
    <w:p>
      <w:pPr>
        <w:pStyle w:val="ListBullet"/>
      </w:pPr>
      <w:r>
        <w:rPr>
          <w:b/>
        </w:rPr>
        <w:t xml:space="preserve">5. Balance — </w:t>
      </w:r>
      <w:r>
        <w:t>ensure a reasonable phishing/legitimate ratio so false-positive tests (TC-N-04) are meaningful.</w:t>
      </w:r>
    </w:p>
    <w:p>
      <w:pPr>
        <w:pStyle w:val="Heading2"/>
      </w:pPr>
      <w:r>
        <w:t>5.3 Safety handling (important)</w:t>
      </w:r>
    </w:p>
    <w:p>
      <w:pPr>
        <w:pStyle w:val="ListBullet"/>
      </w:pPr>
      <w:r>
        <w:rPr>
          <w:b/>
        </w:rPr>
        <w:t xml:space="preserve">Process offline — </w:t>
      </w:r>
      <w:r>
        <w:t>analyze samples on the local-first install; never fetch or click live phishing URLs from a production browser.</w:t>
      </w:r>
    </w:p>
    <w:p>
      <w:pPr>
        <w:pStyle w:val="ListBullet"/>
      </w:pPr>
      <w:r>
        <w:rPr>
          <w:b/>
        </w:rPr>
        <w:t xml:space="preserve">Defang indicators — </w:t>
      </w:r>
      <w:r>
        <w:t>store URLs/domains defanged (hxxp://, domain[.]tld) so they are not accidentally clickable.</w:t>
      </w:r>
    </w:p>
    <w:p>
      <w:pPr>
        <w:pStyle w:val="ListBullet"/>
      </w:pPr>
      <w:r>
        <w:rPr>
          <w:b/>
        </w:rPr>
        <w:t xml:space="preserve">Neutralize attachments — </w:t>
      </w:r>
      <w:r>
        <w:t>do not open or execute attachments; strip or hash them. This is what TC-N-08 verifies at the UI layer.</w:t>
      </w:r>
    </w:p>
    <w:p>
      <w:pPr>
        <w:pStyle w:val="ListBullet"/>
      </w:pPr>
      <w:r>
        <w:rPr>
          <w:b/>
        </w:rPr>
        <w:t xml:space="preserve">Respect licenses &amp; privacy — </w:t>
      </w:r>
      <w:r>
        <w:t>use only public datasets within their terms; anonymize any PII.</w:t>
      </w:r>
    </w:p>
    <w:p>
      <w:pPr>
        <w:pStyle w:val="Heading2"/>
      </w:pPr>
      <w:r>
        <w:t>5.4 Purpose-built edge-case fixtures</w:t>
      </w:r>
    </w:p>
    <w:p>
      <w:r>
        <w:rPr>
          <w:b w:val="0"/>
          <w:i w:val="0"/>
        </w:rPr>
        <w:t>In addition to bulk data, hand-craft a small set of fixtures so the negative tests are deterministic and repeatable:</w:t>
      </w:r>
    </w:p>
    <w:p>
      <w:pPr>
        <w:pStyle w:val="ListBullet"/>
      </w:pPr>
      <w:r>
        <w:rPr>
          <w:b/>
        </w:rPr>
        <w:t xml:space="preserve">Corrupt file — </w:t>
      </w:r>
      <w:r>
        <w:t>a truncated/binary file for TC-N-01.</w:t>
      </w:r>
    </w:p>
    <w:p>
      <w:pPr>
        <w:pStyle w:val="ListBullet"/>
      </w:pPr>
      <w:r>
        <w:rPr>
          <w:b/>
        </w:rPr>
        <w:t xml:space="preserve">Duplicate — </w:t>
      </w:r>
      <w:r>
        <w:t>an exact copy of an existing sample for TC-N-02.</w:t>
      </w:r>
    </w:p>
    <w:p>
      <w:pPr>
        <w:pStyle w:val="ListBullet"/>
      </w:pPr>
      <w:r>
        <w:rPr>
          <w:b/>
        </w:rPr>
        <w:t xml:space="preserve">Incomplete email — </w:t>
      </w:r>
      <w:r>
        <w:t>missing From header / empty body for TC-N-03.</w:t>
      </w:r>
    </w:p>
    <w:p>
      <w:pPr>
        <w:pStyle w:val="ListBullet"/>
      </w:pPr>
      <w:r>
        <w:rPr>
          <w:b/>
        </w:rPr>
        <w:t xml:space="preserve">Benign look-alike — </w:t>
      </w:r>
      <w:r>
        <w:t>a legitimate email with urgent-sounding but harmless wording, to stress the false-positive guard (TC-N-04, TC-N-06).</w:t>
      </w:r>
    </w:p>
    <w:p>
      <w:pPr>
        <w:pStyle w:val="ListBullet"/>
      </w:pPr>
      <w:r>
        <w:rPr>
          <w:b/>
        </w:rPr>
        <w:t xml:space="preserve">No-IOC email — </w:t>
      </w:r>
      <w:r>
        <w:t>a plain email with no links for TC-N-05.</w:t>
      </w:r>
    </w:p>
    <w:p>
      <w:pPr>
        <w:pStyle w:val="ListBullet"/>
      </w:pPr>
      <w:r>
        <w:rPr>
          <w:b/>
        </w:rPr>
        <w:t xml:space="preserve">Wrong/oversized upload — </w:t>
      </w:r>
      <w:r>
        <w:t>a .exe and a &gt;20 MB file for TC-N-08 / TC-N-09.</w:t>
      </w:r>
    </w:p>
    <w:p>
      <w:r>
        <w:rPr>
          <w:b w:val="0"/>
          <w:i/>
        </w:rPr>
        <w:t>Keep these fixtures in a version-controlled test folder (e.g., tests/fixtures/) alongside a "golden set" of hand-labeled samples for regression testing as the models evolve.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44E6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44E63"/>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44E6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