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40"/>
        <w:jc w:val="center"/>
      </w:pPr>
      <w:r>
        <w:rPr>
          <w:b/>
          <w:i w:val="0"/>
          <w:color w:val="144E63"/>
          <w:sz w:val="64"/>
        </w:rPr>
        <w:t>ThreatLens</w:t>
      </w:r>
    </w:p>
    <w:p>
      <w:pPr>
        <w:spacing w:after="40"/>
        <w:jc w:val="center"/>
      </w:pPr>
      <w:r>
        <w:rPr>
          <w:b/>
          <w:i w:val="0"/>
          <w:color w:val="1A1A1A"/>
          <w:sz w:val="36"/>
        </w:rPr>
        <w:t>Software Design Document (SDD)</w:t>
      </w:r>
    </w:p>
    <w:p>
      <w:pPr>
        <w:spacing w:after="520"/>
        <w:jc w:val="center"/>
      </w:pPr>
      <w:r>
        <w:rPr>
          <w:b w:val="0"/>
          <w:i/>
          <w:color w:val="555555"/>
          <w:sz w:val="23"/>
        </w:rPr>
        <w:t>Architecture, Data, Component &amp; Interface Design — traceable to the ThreatLens SRD</w:t>
      </w:r>
    </w:p>
    <w:p/>
    <w:p/>
    <w:p/>
    <w:p/>
    <w:p/>
    <w:p/>
    <w:tbl>
      <w:tblPr>
        <w:tblStyle w:val="TableGrid"/>
        <w:tblW w:type="auto" w:w="0"/>
        <w:tblLook w:firstColumn="1" w:firstRow="1" w:lastColumn="0" w:lastRow="0" w:noHBand="0" w:noVBand="1" w:val="04A0"/>
      </w:tblPr>
      <w:tblGrid>
        <w:gridCol w:w="4320"/>
        <w:gridCol w:w="4320"/>
      </w:tblGrid>
      <w:tr>
        <w:tc>
          <w:tcPr>
            <w:tcW w:type="dxa" w:w="2448"/>
            <w:shd w:val="clear" w:color="auto" w:fill="EAF1F4"/>
          </w:tcPr>
          <w:p>
            <w:r/>
            <w:r>
              <w:rPr>
                <w:b/>
                <w:sz w:val="19"/>
              </w:rPr>
              <w:t>Document Title</w:t>
            </w:r>
          </w:p>
        </w:tc>
        <w:tc>
          <w:tcPr>
            <w:tcW w:type="dxa" w:w="7200"/>
          </w:tcPr>
          <w:p>
            <w:r/>
            <w:r>
              <w:rPr>
                <w:sz w:val="19"/>
              </w:rPr>
              <w:t>ThreatLens — Software Design Document</w:t>
            </w:r>
          </w:p>
        </w:tc>
      </w:tr>
      <w:tr>
        <w:tc>
          <w:tcPr>
            <w:tcW w:type="dxa" w:w="2448"/>
            <w:shd w:val="clear" w:color="auto" w:fill="EAF1F4"/>
          </w:tcPr>
          <w:p>
            <w:r/>
            <w:r>
              <w:rPr>
                <w:b/>
                <w:sz w:val="19"/>
              </w:rPr>
              <w:t>Version</w:t>
            </w:r>
          </w:p>
        </w:tc>
        <w:tc>
          <w:tcPr>
            <w:tcW w:type="dxa" w:w="7200"/>
          </w:tcPr>
          <w:p>
            <w:r/>
            <w:r>
              <w:rPr>
                <w:sz w:val="19"/>
              </w:rPr>
              <w:t>1.0 (baseline — Platform Version 1)</w:t>
            </w:r>
          </w:p>
        </w:tc>
      </w:tr>
      <w:tr>
        <w:tc>
          <w:tcPr>
            <w:tcW w:type="dxa" w:w="2448"/>
            <w:shd w:val="clear" w:color="auto" w:fill="EAF1F4"/>
          </w:tcPr>
          <w:p>
            <w:r/>
            <w:r>
              <w:rPr>
                <w:b/>
                <w:sz w:val="19"/>
              </w:rPr>
              <w:t>Traces To</w:t>
            </w:r>
          </w:p>
        </w:tc>
        <w:tc>
          <w:tcPr>
            <w:tcW w:type="dxa" w:w="7200"/>
          </w:tcPr>
          <w:p>
            <w:r/>
            <w:r>
              <w:rPr>
                <w:sz w:val="19"/>
              </w:rPr>
              <w:t>ThreatLens System Requirements Document v1.0</w:t>
            </w:r>
          </w:p>
        </w:tc>
      </w:tr>
      <w:tr>
        <w:tc>
          <w:tcPr>
            <w:tcW w:type="dxa" w:w="2448"/>
            <w:shd w:val="clear" w:color="auto" w:fill="EAF1F4"/>
          </w:tcPr>
          <w:p>
            <w:r/>
            <w:r>
              <w:rPr>
                <w:b/>
                <w:sz w:val="19"/>
              </w:rPr>
              <w:t>Implements</w:t>
            </w:r>
          </w:p>
        </w:tc>
        <w:tc>
          <w:tcPr>
            <w:tcW w:type="dxa" w:w="7200"/>
          </w:tcPr>
          <w:p>
            <w:r/>
            <w:r>
              <w:rPr>
                <w:sz w:val="19"/>
              </w:rPr>
              <w:t>ThreatLens Streamlit reference scaffold (Python 3.11)</w:t>
            </w:r>
          </w:p>
        </w:tc>
      </w:tr>
      <w:tr>
        <w:tc>
          <w:tcPr>
            <w:tcW w:type="dxa" w:w="2448"/>
            <w:shd w:val="clear" w:color="auto" w:fill="EAF1F4"/>
          </w:tcPr>
          <w:p>
            <w:r/>
            <w:r>
              <w:rPr>
                <w:b/>
                <w:sz w:val="19"/>
              </w:rPr>
              <w:t>Scope</w:t>
            </w:r>
          </w:p>
        </w:tc>
        <w:tc>
          <w:tcPr>
            <w:tcW w:type="dxa" w:w="7200"/>
          </w:tcPr>
          <w:p>
            <w:r/>
            <w:r>
              <w:rPr>
                <w:sz w:val="19"/>
              </w:rPr>
              <w:t>Version 1 — Email Phishing Campaign Analysis</w:t>
            </w:r>
          </w:p>
        </w:tc>
      </w:tr>
      <w:tr>
        <w:tc>
          <w:tcPr>
            <w:tcW w:type="dxa" w:w="2448"/>
            <w:shd w:val="clear" w:color="auto" w:fill="EAF1F4"/>
          </w:tcPr>
          <w:p>
            <w:r/>
            <w:r>
              <w:rPr>
                <w:b/>
                <w:sz w:val="19"/>
              </w:rPr>
              <w:t>Date</w:t>
            </w:r>
          </w:p>
        </w:tc>
        <w:tc>
          <w:tcPr>
            <w:tcW w:type="dxa" w:w="7200"/>
          </w:tcPr>
          <w:p>
            <w:r/>
            <w:r>
              <w:rPr>
                <w:sz w:val="19"/>
              </w:rPr>
              <w:t>09 July 2026</w:t>
            </w:r>
          </w:p>
        </w:tc>
      </w:tr>
    </w:tbl>
    <w:p>
      <w:pPr>
        <w:spacing w:after="40"/>
      </w:pPr>
    </w:p>
    <w:p>
      <w:r>
        <w:br w:type="page"/>
      </w:r>
    </w:p>
    <w:p>
      <w:pPr>
        <w:pStyle w:val="Heading1"/>
      </w:pPr>
      <w:r>
        <w:t>1. Introduction</w:t>
      </w:r>
    </w:p>
    <w:p>
      <w:pPr>
        <w:pStyle w:val="Heading2"/>
      </w:pPr>
      <w:r>
        <w:t>1.1 Purpose</w:t>
      </w:r>
    </w:p>
    <w:p>
      <w:r>
        <w:rPr>
          <w:b w:val="0"/>
          <w:i w:val="0"/>
        </w:rPr>
        <w:t>This Software Design Document (SDD) describes how the requirements defined in the ThreatLens System Requirements Document (SRD) are realized in software. It sits between the SRD (what the system must do) and the source code (how it is built), specifying the architecture, data model, per-component design, and interfaces of the Version 1 platform.</w:t>
      </w:r>
    </w:p>
    <w:p>
      <w:pPr>
        <w:pStyle w:val="Heading2"/>
      </w:pPr>
      <w:r>
        <w:t>1.2 Scope</w:t>
      </w:r>
    </w:p>
    <w:p>
      <w:r>
        <w:rPr>
          <w:b w:val="0"/>
          <w:i w:val="0"/>
        </w:rPr>
        <w:t>Covers the design of Version 1 — the Email Phishing Intelligence Platform — as implemented by the reference Streamlit scaffold: nine functional components, the local-first SQLite data store, and the three dashboard views.</w:t>
      </w:r>
    </w:p>
    <w:p>
      <w:pPr>
        <w:pStyle w:val="Heading2"/>
      </w:pPr>
      <w:r>
        <w:t>1.3 Relationship to the SRD</w:t>
      </w:r>
    </w:p>
    <w:p>
      <w:r>
        <w:rPr>
          <w:b w:val="0"/>
          <w:i w:val="0"/>
        </w:rPr>
        <w:t>Every design element in this document cites the SRD requirement IDs it satisfies (e.g., DC-FR-01). Section 8 provides a full requirement-to-design traceability matrix, so coverage of the SRD by the design can be verified directly. Requirement identifiers, priorities, and component names are used exactly as defined in the SRD.</w:t>
      </w:r>
    </w:p>
    <w:p>
      <w:pPr>
        <w:pStyle w:val="Heading2"/>
      </w:pPr>
      <w:r>
        <w:t>1.4 Definitions &amp; References</w:t>
      </w:r>
    </w:p>
    <w:p>
      <w:pPr>
        <w:pStyle w:val="ListBullet"/>
      </w:pPr>
      <w:r>
        <w:rPr>
          <w:b/>
        </w:rPr>
        <w:t xml:space="preserve">SRD — </w:t>
      </w:r>
      <w:r>
        <w:t>ThreatLens System Requirements Document v1.0 (the governing specification).</w:t>
      </w:r>
    </w:p>
    <w:p>
      <w:pPr>
        <w:pStyle w:val="ListBullet"/>
      </w:pPr>
      <w:r>
        <w:rPr>
          <w:b/>
        </w:rPr>
        <w:t xml:space="preserve">Component — </w:t>
      </w:r>
      <w:r>
        <w:t>a module realizing an SRD component (DC, TT, FE, TI, HM, ML, XAI, DASH, REP).</w:t>
      </w:r>
    </w:p>
    <w:p>
      <w:pPr>
        <w:pStyle w:val="ListBullet"/>
      </w:pPr>
      <w:r>
        <w:rPr>
          <w:b/>
        </w:rPr>
        <w:t xml:space="preserve">View — </w:t>
      </w:r>
      <w:r>
        <w:t>a Streamlit screen (Campaign, Email Analysis, Research).</w:t>
      </w:r>
    </w:p>
    <w:p>
      <w:pPr>
        <w:pStyle w:val="ListBullet"/>
      </w:pPr>
      <w:r>
        <w:rPr>
          <w:b/>
        </w:rPr>
        <w:t xml:space="preserve">IOC / XAI / CTI — </w:t>
      </w:r>
      <w:r>
        <w:t>as defined in the SRD glossary.</w:t>
      </w:r>
    </w:p>
    <w:p>
      <w:r>
        <w:br w:type="page"/>
      </w:r>
    </w:p>
    <w:p>
      <w:pPr>
        <w:pStyle w:val="Heading1"/>
      </w:pPr>
      <w:r>
        <w:t>2. Architectural Design</w:t>
      </w:r>
    </w:p>
    <w:p>
      <w:pPr>
        <w:pStyle w:val="Heading2"/>
      </w:pPr>
      <w:r>
        <w:t>2.1 Design goals &amp; constraints</w:t>
      </w:r>
    </w:p>
    <w:p>
      <w:r>
        <w:rPr>
          <w:b w:val="0"/>
          <w:i w:val="0"/>
        </w:rPr>
        <w:t>The architecture is shaped by the SRD non-functional requirements: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44E63"/>
          </w:tcPr>
          <w:p>
            <w:r/>
            <w:r>
              <w:rPr>
                <w:b/>
                <w:color w:val="FFFFFF"/>
                <w:sz w:val="20"/>
              </w:rPr>
              <w:t>Driver (SRD)</w:t>
            </w:r>
          </w:p>
        </w:tc>
        <w:tc>
          <w:tcPr>
            <w:tcW w:type="dxa" w:w="4320"/>
            <w:shd w:val="clear" w:color="auto" w:fill="144E63"/>
          </w:tcPr>
          <w:p>
            <w:r/>
            <w:r>
              <w:rPr>
                <w:b/>
                <w:color w:val="FFFFFF"/>
                <w:sz w:val="20"/>
              </w:rPr>
              <w:t>Design response</w:t>
            </w:r>
          </w:p>
        </w:tc>
      </w:tr>
      <w:tr>
        <w:tc>
          <w:tcPr>
            <w:tcW w:type="dxa" w:w="2880"/>
          </w:tcPr>
          <w:p>
            <w:r/>
            <w:r>
              <w:rPr>
                <w:b/>
                <w:sz w:val="19"/>
              </w:rPr>
              <w:t>Modularity (NFR-02)</w:t>
            </w:r>
          </w:p>
        </w:tc>
        <w:tc>
          <w:tcPr>
            <w:tcW w:type="dxa" w:w="6768"/>
          </w:tcPr>
          <w:p>
            <w:r/>
            <w:r>
              <w:rPr>
                <w:sz w:val="19"/>
              </w:rPr>
              <w:t>One self-contained module per component under threatlens/modules; thin UI layer.</w:t>
            </w:r>
          </w:p>
        </w:tc>
      </w:tr>
      <w:tr>
        <w:tc>
          <w:tcPr>
            <w:tcW w:type="dxa" w:w="2880"/>
          </w:tcPr>
          <w:p>
            <w:r/>
            <w:r>
              <w:rPr>
                <w:b/>
                <w:sz w:val="19"/>
              </w:rPr>
              <w:t>Reproducibility (NFR-03)</w:t>
            </w:r>
          </w:p>
        </w:tc>
        <w:tc>
          <w:tcPr>
            <w:tcW w:type="dxa" w:w="6768"/>
          </w:tcPr>
          <w:p>
            <w:r/>
            <w:r>
              <w:rPr>
                <w:sz w:val="19"/>
              </w:rPr>
              <w:t>Deterministic pipeline; documented feature schema; fixed train/test splits.</w:t>
            </w:r>
          </w:p>
        </w:tc>
      </w:tr>
      <w:tr>
        <w:tc>
          <w:tcPr>
            <w:tcW w:type="dxa" w:w="2880"/>
          </w:tcPr>
          <w:p>
            <w:r/>
            <w:r>
              <w:rPr>
                <w:b/>
                <w:sz w:val="19"/>
              </w:rPr>
              <w:t>Explainability (NFR-04)</w:t>
            </w:r>
          </w:p>
        </w:tc>
        <w:tc>
          <w:tcPr>
            <w:tcW w:type="dxa" w:w="6768"/>
          </w:tcPr>
          <w:p>
            <w:r/>
            <w:r>
              <w:rPr>
                <w:sz w:val="19"/>
              </w:rPr>
              <w:t>A dedicated XAI layer sits between the ML engine and the UI.</w:t>
            </w:r>
          </w:p>
        </w:tc>
      </w:tr>
      <w:tr>
        <w:tc>
          <w:tcPr>
            <w:tcW w:type="dxa" w:w="2880"/>
          </w:tcPr>
          <w:p>
            <w:r/>
            <w:r>
              <w:rPr>
                <w:b/>
                <w:sz w:val="19"/>
              </w:rPr>
              <w:t>Open source, no cost (NFR-01)</w:t>
            </w:r>
          </w:p>
        </w:tc>
        <w:tc>
          <w:tcPr>
            <w:tcW w:type="dxa" w:w="6768"/>
          </w:tcPr>
          <w:p>
            <w:r/>
            <w:r>
              <w:rPr>
                <w:sz w:val="19"/>
              </w:rPr>
              <w:t>Only free/OSS libraries; local-first deployment; SQLite (no DB server).</w:t>
            </w:r>
          </w:p>
        </w:tc>
      </w:tr>
      <w:tr>
        <w:tc>
          <w:tcPr>
            <w:tcW w:type="dxa" w:w="2880"/>
          </w:tcPr>
          <w:p>
            <w:r/>
            <w:r>
              <w:rPr>
                <w:b/>
                <w:sz w:val="19"/>
              </w:rPr>
              <w:t>Educational usability (NFR-05)</w:t>
            </w:r>
          </w:p>
        </w:tc>
        <w:tc>
          <w:tcPr>
            <w:tcW w:type="dxa" w:w="6768"/>
          </w:tcPr>
          <w:p>
            <w:r/>
            <w:r>
              <w:rPr>
                <w:sz w:val="19"/>
              </w:rPr>
              <w:t>Streamlit dashboard with visual, plain-language explanations.</w:t>
            </w:r>
          </w:p>
        </w:tc>
      </w:tr>
      <w:tr>
        <w:tc>
          <w:tcPr>
            <w:tcW w:type="dxa" w:w="2880"/>
          </w:tcPr>
          <w:p>
            <w:r/>
            <w:r>
              <w:rPr>
                <w:b/>
                <w:sz w:val="19"/>
              </w:rPr>
              <w:t>Extensibility (NFR-06)</w:t>
            </w:r>
          </w:p>
        </w:tc>
        <w:tc>
          <w:tcPr>
            <w:tcW w:type="dxa" w:w="6768"/>
          </w:tcPr>
          <w:p>
            <w:r/>
            <w:r>
              <w:rPr>
                <w:sz w:val="19"/>
              </w:rPr>
              <w:t>Layered pipeline lets roadmap versions add modules without redesign.</w:t>
            </w:r>
          </w:p>
        </w:tc>
      </w:tr>
      <w:tr>
        <w:tc>
          <w:tcPr>
            <w:tcW w:type="dxa" w:w="2880"/>
          </w:tcPr>
          <w:p>
            <w:r/>
            <w:r>
              <w:rPr>
                <w:b/>
                <w:sz w:val="19"/>
              </w:rPr>
              <w:t>Data safety (NFR-07)</w:t>
            </w:r>
          </w:p>
        </w:tc>
        <w:tc>
          <w:tcPr>
            <w:tcW w:type="dxa" w:w="6768"/>
          </w:tcPr>
          <w:p>
            <w:r/>
            <w:r>
              <w:rPr>
                <w:sz w:val="19"/>
              </w:rPr>
              <w:t>Local-first processing; defanged IOCs; upload type/size limits.</w:t>
            </w:r>
          </w:p>
        </w:tc>
      </w:tr>
    </w:tbl>
    <w:p>
      <w:pPr>
        <w:spacing w:after="40"/>
      </w:pPr>
    </w:p>
    <w:p>
      <w:pPr>
        <w:pStyle w:val="Heading2"/>
      </w:pPr>
      <w:r>
        <w:t>2.2 Technology stack &amp; rationale</w:t>
      </w:r>
    </w:p>
    <w:p>
      <w:r>
        <w:rPr>
          <w:b w:val="0"/>
          <w:i w:val="0"/>
        </w:rPr>
        <w:t>The stack is decisive because the SRD mandates XGBoost, SHAP and LIME — all Python-only. A single-language design keeps model output flowing straight into the UI with no separate API.</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44E63"/>
          </w:tcPr>
          <w:p>
            <w:r/>
            <w:r>
              <w:rPr>
                <w:b/>
                <w:color w:val="FFFFFF"/>
                <w:sz w:val="20"/>
              </w:rPr>
              <w:t>Layer</w:t>
            </w:r>
          </w:p>
        </w:tc>
        <w:tc>
          <w:tcPr>
            <w:tcW w:type="dxa" w:w="2880"/>
            <w:shd w:val="clear" w:color="auto" w:fill="144E63"/>
          </w:tcPr>
          <w:p>
            <w:r/>
            <w:r>
              <w:rPr>
                <w:b/>
                <w:color w:val="FFFFFF"/>
                <w:sz w:val="20"/>
              </w:rPr>
              <w:t>Choice</w:t>
            </w:r>
          </w:p>
        </w:tc>
        <w:tc>
          <w:tcPr>
            <w:tcW w:type="dxa" w:w="2880"/>
            <w:shd w:val="clear" w:color="auto" w:fill="144E63"/>
          </w:tcPr>
          <w:p>
            <w:r/>
            <w:r>
              <w:rPr>
                <w:b/>
                <w:color w:val="FFFFFF"/>
                <w:sz w:val="20"/>
              </w:rPr>
              <w:t>Rationale</w:t>
            </w:r>
          </w:p>
        </w:tc>
      </w:tr>
      <w:tr>
        <w:tc>
          <w:tcPr>
            <w:tcW w:type="dxa" w:w="1872"/>
          </w:tcPr>
          <w:p>
            <w:r/>
            <w:r>
              <w:rPr>
                <w:b/>
                <w:sz w:val="19"/>
              </w:rPr>
              <w:t>Language</w:t>
            </w:r>
          </w:p>
        </w:tc>
        <w:tc>
          <w:tcPr>
            <w:tcW w:type="dxa" w:w="2736"/>
          </w:tcPr>
          <w:p>
            <w:r/>
            <w:r>
              <w:rPr>
                <w:sz w:val="19"/>
              </w:rPr>
              <w:t>Python 3.11</w:t>
            </w:r>
          </w:p>
        </w:tc>
        <w:tc>
          <w:tcPr>
            <w:tcW w:type="dxa" w:w="5040"/>
          </w:tcPr>
          <w:p>
            <w:r/>
            <w:r>
              <w:rPr>
                <w:sz w:val="19"/>
              </w:rPr>
              <w:t>ML/XAI ecosystem is Python-native (ML-FR-04, XAI-FR-04).</w:t>
            </w:r>
          </w:p>
        </w:tc>
      </w:tr>
      <w:tr>
        <w:tc>
          <w:tcPr>
            <w:tcW w:type="dxa" w:w="1872"/>
          </w:tcPr>
          <w:p>
            <w:r/>
            <w:r>
              <w:rPr>
                <w:b/>
                <w:sz w:val="19"/>
              </w:rPr>
              <w:t>UI / app</w:t>
            </w:r>
          </w:p>
        </w:tc>
        <w:tc>
          <w:tcPr>
            <w:tcW w:type="dxa" w:w="2736"/>
          </w:tcPr>
          <w:p>
            <w:r/>
            <w:r>
              <w:rPr>
                <w:sz w:val="19"/>
              </w:rPr>
              <w:t>Streamlit</w:t>
            </w:r>
          </w:p>
        </w:tc>
        <w:tc>
          <w:tcPr>
            <w:tcW w:type="dxa" w:w="5040"/>
          </w:tcPr>
          <w:p>
            <w:r/>
            <w:r>
              <w:rPr>
                <w:sz w:val="19"/>
              </w:rPr>
              <w:t>Pure-Python dashboards; charts &amp; SHAP render inline; free hosting.</w:t>
            </w:r>
          </w:p>
        </w:tc>
      </w:tr>
      <w:tr>
        <w:tc>
          <w:tcPr>
            <w:tcW w:type="dxa" w:w="1872"/>
          </w:tcPr>
          <w:p>
            <w:r/>
            <w:r>
              <w:rPr>
                <w:b/>
                <w:sz w:val="19"/>
              </w:rPr>
              <w:t>ML</w:t>
            </w:r>
          </w:p>
        </w:tc>
        <w:tc>
          <w:tcPr>
            <w:tcW w:type="dxa" w:w="2736"/>
          </w:tcPr>
          <w:p>
            <w:r/>
            <w:r>
              <w:rPr>
                <w:sz w:val="19"/>
              </w:rPr>
              <w:t>scikit-learn, XGBoost</w:t>
            </w:r>
          </w:p>
        </w:tc>
        <w:tc>
          <w:tcPr>
            <w:tcW w:type="dxa" w:w="5040"/>
          </w:tcPr>
          <w:p>
            <w:r/>
            <w:r>
              <w:rPr>
                <w:sz w:val="19"/>
              </w:rPr>
              <w:t>Required model families (ML-FR-04).</w:t>
            </w:r>
          </w:p>
        </w:tc>
      </w:tr>
      <w:tr>
        <w:tc>
          <w:tcPr>
            <w:tcW w:type="dxa" w:w="1872"/>
          </w:tcPr>
          <w:p>
            <w:r/>
            <w:r>
              <w:rPr>
                <w:b/>
                <w:sz w:val="19"/>
              </w:rPr>
              <w:t>Explainability</w:t>
            </w:r>
          </w:p>
        </w:tc>
        <w:tc>
          <w:tcPr>
            <w:tcW w:type="dxa" w:w="2736"/>
          </w:tcPr>
          <w:p>
            <w:r/>
            <w:r>
              <w:rPr>
                <w:sz w:val="19"/>
              </w:rPr>
              <w:t>SHAP, LIME</w:t>
            </w:r>
          </w:p>
        </w:tc>
        <w:tc>
          <w:tcPr>
            <w:tcW w:type="dxa" w:w="5040"/>
          </w:tcPr>
          <w:p>
            <w:r/>
            <w:r>
              <w:rPr>
                <w:sz w:val="19"/>
              </w:rPr>
              <w:t>Required XAI techniques (XAI-FR-04).</w:t>
            </w:r>
          </w:p>
        </w:tc>
      </w:tr>
      <w:tr>
        <w:tc>
          <w:tcPr>
            <w:tcW w:type="dxa" w:w="1872"/>
          </w:tcPr>
          <w:p>
            <w:r/>
            <w:r>
              <w:rPr>
                <w:b/>
                <w:sz w:val="19"/>
              </w:rPr>
              <w:t>Storage</w:t>
            </w:r>
          </w:p>
        </w:tc>
        <w:tc>
          <w:tcPr>
            <w:tcW w:type="dxa" w:w="2736"/>
          </w:tcPr>
          <w:p>
            <w:r/>
            <w:r>
              <w:rPr>
                <w:sz w:val="19"/>
              </w:rPr>
              <w:t>SQLite (file)</w:t>
            </w:r>
          </w:p>
        </w:tc>
        <w:tc>
          <w:tcPr>
            <w:tcW w:type="dxa" w:w="5040"/>
          </w:tcPr>
          <w:p>
            <w:r/>
            <w:r>
              <w:rPr>
                <w:sz w:val="19"/>
              </w:rPr>
              <w:t>Local-first, no server, zero cost.</w:t>
            </w:r>
          </w:p>
        </w:tc>
      </w:tr>
      <w:tr>
        <w:tc>
          <w:tcPr>
            <w:tcW w:type="dxa" w:w="1872"/>
          </w:tcPr>
          <w:p>
            <w:r/>
            <w:r>
              <w:rPr>
                <w:b/>
                <w:sz w:val="19"/>
              </w:rPr>
              <w:t>Packaging</w:t>
            </w:r>
          </w:p>
        </w:tc>
        <w:tc>
          <w:tcPr>
            <w:tcW w:type="dxa" w:w="2736"/>
          </w:tcPr>
          <w:p>
            <w:r/>
            <w:r>
              <w:rPr>
                <w:sz w:val="19"/>
              </w:rPr>
              <w:t>Docker</w:t>
            </w:r>
          </w:p>
        </w:tc>
        <w:tc>
          <w:tcPr>
            <w:tcW w:type="dxa" w:w="5040"/>
          </w:tcPr>
          <w:p>
            <w:r/>
            <w:r>
              <w:rPr>
                <w:sz w:val="19"/>
              </w:rPr>
              <w:t>Reproducible local install (NFR-03).</w:t>
            </w:r>
          </w:p>
        </w:tc>
      </w:tr>
    </w:tbl>
    <w:p>
      <w:pPr>
        <w:spacing w:after="40"/>
      </w:pPr>
    </w:p>
    <w:p>
      <w:pPr>
        <w:pStyle w:val="Heading2"/>
      </w:pPr>
      <w:r>
        <w:t>2.3 Architectural style — layered pipeline</w:t>
      </w:r>
    </w:p>
    <w:p>
      <w:r>
        <w:rPr>
          <w:b w:val="0"/>
          <w:i w:val="0"/>
        </w:rPr>
        <w:t>ThreatLens uses a layered data-processing pipeline. Data flows top-to-bottom; after collection and processing, three analysis engines run in parallel and converge on the ML engine. This mirrors the SRD high-level architecture (SRD §2.2).</w:t>
      </w:r>
    </w:p>
    <w:tbl>
      <w:tblPr>
        <w:tblStyle w:val="TableGrid"/>
        <w:tblW w:type="auto" w:w="0"/>
        <w:tblLook w:firstColumn="1" w:firstRow="1" w:lastColumn="0" w:lastRow="0" w:noHBand="0" w:noVBand="1" w:val="04A0"/>
      </w:tblPr>
      <w:tblGrid>
        <w:gridCol w:w="8640"/>
      </w:tblGrid>
      <w:tr>
        <w:tc>
          <w:tcPr>
            <w:tcW w:type="dxa" w:w="8640"/>
            <w:shd w:val="clear" w:color="auto" w:fill="F1F5F6"/>
          </w:tcPr>
          <w:p>
            <w:pPr>
              <w:spacing w:after="0" w:line="240" w:lineRule="auto"/>
            </w:pPr>
            <w:r/>
            <w:r>
              <w:rPr>
                <w:rFonts w:ascii="Consolas" w:hAnsi="Consolas"/>
                <w:color w:val="122A30"/>
                <w:sz w:val="17"/>
              </w:rPr>
              <w:t>Public Threat Data Sources</w:t>
            </w:r>
          </w:p>
          <w:p>
            <w:pPr>
              <w:spacing w:after="0" w:line="240" w:lineRule="auto"/>
            </w:pPr>
            <w:r>
              <w:rPr>
                <w:rFonts w:ascii="Consolas" w:hAnsi="Consolas"/>
                <w:color w:val="122A30"/>
                <w:sz w:val="17"/>
              </w:rPr>
              <w:t xml:space="preserve">        |</w:t>
            </w:r>
          </w:p>
          <w:p>
            <w:pPr>
              <w:spacing w:after="0" w:line="240" w:lineRule="auto"/>
            </w:pPr>
            <w:r>
              <w:rPr>
                <w:rFonts w:ascii="Consolas" w:hAnsi="Consolas"/>
                <w:color w:val="122A30"/>
                <w:sz w:val="17"/>
              </w:rPr>
              <w:t xml:space="preserve">        v</w:t>
            </w:r>
          </w:p>
          <w:p>
            <w:pPr>
              <w:spacing w:after="0" w:line="240" w:lineRule="auto"/>
            </w:pPr>
            <w:r>
              <w:rPr>
                <w:rFonts w:ascii="Consolas" w:hAnsi="Consolas"/>
                <w:color w:val="122A30"/>
                <w:sz w:val="17"/>
              </w:rPr>
              <w:t>Data Collection  (DC)  ---&gt;  Data Processing + Taxonomy (TT)</w:t>
            </w:r>
          </w:p>
          <w:p>
            <w:pPr>
              <w:spacing w:after="0" w:line="240" w:lineRule="auto"/>
            </w:pPr>
            <w:r>
              <w:rPr>
                <w:rFonts w:ascii="Consolas" w:hAnsi="Consolas"/>
                <w:color w:val="122A30"/>
                <w:sz w:val="17"/>
              </w:rPr>
              <w:t xml:space="preserve">        |</w:t>
            </w:r>
          </w:p>
          <w:p>
            <w:pPr>
              <w:spacing w:after="0" w:line="240" w:lineRule="auto"/>
            </w:pPr>
            <w:r>
              <w:rPr>
                <w:rFonts w:ascii="Consolas" w:hAnsi="Consolas"/>
                <w:color w:val="122A30"/>
                <w:sz w:val="17"/>
              </w:rPr>
              <w:t xml:space="preserve">   +----+-------------------+-------------------+</w:t>
            </w:r>
          </w:p>
          <w:p>
            <w:pPr>
              <w:spacing w:after="0" w:line="240" w:lineRule="auto"/>
            </w:pPr>
            <w:r>
              <w:rPr>
                <w:rFonts w:ascii="Consolas" w:hAnsi="Consolas"/>
                <w:color w:val="122A30"/>
                <w:sz w:val="17"/>
              </w:rPr>
              <w:t xml:space="preserve">   v                        v                   v</w:t>
            </w:r>
          </w:p>
          <w:p>
            <w:pPr>
              <w:spacing w:after="0" w:line="240" w:lineRule="auto"/>
            </w:pPr>
            <w:r>
              <w:rPr>
                <w:rFonts w:ascii="Consolas" w:hAnsi="Consolas"/>
                <w:color w:val="122A30"/>
                <w:sz w:val="17"/>
              </w:rPr>
              <w:t>Feature Extraction (FE)  Threat Intel (TI)  Human Manipulation (HM)</w:t>
            </w:r>
          </w:p>
          <w:p>
            <w:pPr>
              <w:spacing w:after="0" w:line="240" w:lineRule="auto"/>
            </w:pPr>
            <w:r>
              <w:rPr>
                <w:rFonts w:ascii="Consolas" w:hAnsi="Consolas"/>
                <w:color w:val="122A30"/>
                <w:sz w:val="17"/>
              </w:rPr>
              <w:t xml:space="preserve">        |                        |                   |</w:t>
            </w:r>
          </w:p>
          <w:p>
            <w:pPr>
              <w:spacing w:after="0" w:line="240" w:lineRule="auto"/>
            </w:pPr>
            <w:r>
              <w:rPr>
                <w:rFonts w:ascii="Consolas" w:hAnsi="Consolas"/>
                <w:color w:val="122A30"/>
                <w:sz w:val="17"/>
              </w:rPr>
              <w:t xml:space="preserve">        +-----------+------------+-------------------+</w:t>
            </w:r>
          </w:p>
          <w:p>
            <w:pPr>
              <w:spacing w:after="0" w:line="240" w:lineRule="auto"/>
            </w:pPr>
            <w:r>
              <w:rPr>
                <w:rFonts w:ascii="Consolas" w:hAnsi="Consolas"/>
                <w:color w:val="122A30"/>
                <w:sz w:val="17"/>
              </w:rPr>
              <w:t xml:space="preserve">                    v</w:t>
            </w:r>
          </w:p>
          <w:p>
            <w:pPr>
              <w:spacing w:after="0" w:line="240" w:lineRule="auto"/>
            </w:pPr>
            <w:r>
              <w:rPr>
                <w:rFonts w:ascii="Consolas" w:hAnsi="Consolas"/>
                <w:color w:val="122A30"/>
                <w:sz w:val="17"/>
              </w:rPr>
              <w:t xml:space="preserve">         Machine Learning Engine (ML)</w:t>
            </w:r>
          </w:p>
          <w:p>
            <w:pPr>
              <w:spacing w:after="0" w:line="240" w:lineRule="auto"/>
            </w:pPr>
            <w:r>
              <w:rPr>
                <w:rFonts w:ascii="Consolas" w:hAnsi="Consolas"/>
                <w:color w:val="122A30"/>
                <w:sz w:val="17"/>
              </w:rPr>
              <w:t xml:space="preserve">                    v</w:t>
            </w:r>
          </w:p>
          <w:p>
            <w:pPr>
              <w:spacing w:after="0" w:line="240" w:lineRule="auto"/>
            </w:pPr>
            <w:r>
              <w:rPr>
                <w:rFonts w:ascii="Consolas" w:hAnsi="Consolas"/>
                <w:color w:val="122A30"/>
                <w:sz w:val="17"/>
              </w:rPr>
              <w:t xml:space="preserve">         Explainable AI Layer (XAI)</w:t>
            </w:r>
          </w:p>
          <w:p>
            <w:pPr>
              <w:spacing w:after="0" w:line="240" w:lineRule="auto"/>
            </w:pPr>
            <w:r>
              <w:rPr>
                <w:rFonts w:ascii="Consolas" w:hAnsi="Consolas"/>
                <w:color w:val="122A30"/>
                <w:sz w:val="17"/>
              </w:rPr>
              <w:t xml:space="preserve">                    v</w:t>
            </w:r>
          </w:p>
          <w:p>
            <w:pPr>
              <w:spacing w:after="0" w:line="240" w:lineRule="auto"/>
            </w:pPr>
            <w:r>
              <w:rPr>
                <w:rFonts w:ascii="Consolas" w:hAnsi="Consolas"/>
                <w:color w:val="122A30"/>
                <w:sz w:val="17"/>
              </w:rPr>
              <w:t xml:space="preserve">   Interactive Dashboard (DASH)  --&gt;  Reporting / Dataset (REP)</w:t>
            </w:r>
          </w:p>
        </w:tc>
      </w:tr>
    </w:tbl>
    <w:p>
      <w:pPr>
        <w:spacing w:after="40"/>
      </w:pPr>
    </w:p>
    <w:p>
      <w:pPr>
        <w:pStyle w:val="Heading2"/>
      </w:pPr>
      <w:r>
        <w:t>2.4 Package structure (as implemented)</w:t>
      </w:r>
    </w:p>
    <w:p>
      <w:r>
        <w:rPr>
          <w:b w:val="0"/>
          <w:i w:val="0"/>
        </w:rPr>
        <w:t>The code layout maps one-to-one to the components, satisfying the modularity requirement (NFR-02):</w:t>
      </w:r>
    </w:p>
    <w:tbl>
      <w:tblPr>
        <w:tblStyle w:val="TableGrid"/>
        <w:tblW w:type="auto" w:w="0"/>
        <w:tblLook w:firstColumn="1" w:firstRow="1" w:lastColumn="0" w:lastRow="0" w:noHBand="0" w:noVBand="1" w:val="04A0"/>
      </w:tblPr>
      <w:tblGrid>
        <w:gridCol w:w="8640"/>
      </w:tblGrid>
      <w:tr>
        <w:tc>
          <w:tcPr>
            <w:tcW w:type="dxa" w:w="8640"/>
            <w:shd w:val="clear" w:color="auto" w:fill="F1F5F6"/>
          </w:tcPr>
          <w:p>
            <w:pPr>
              <w:spacing w:after="0" w:line="240" w:lineRule="auto"/>
            </w:pPr>
            <w:r/>
            <w:r>
              <w:rPr>
                <w:rFonts w:ascii="Consolas" w:hAnsi="Consolas"/>
                <w:color w:val="122A30"/>
                <w:sz w:val="17"/>
              </w:rPr>
              <w:t>threatlens/                     project root (future git repo)</w:t>
            </w:r>
          </w:p>
          <w:p>
            <w:pPr>
              <w:spacing w:after="0" w:line="240" w:lineRule="auto"/>
            </w:pPr>
            <w:r>
              <w:rPr>
                <w:rFonts w:ascii="Consolas" w:hAnsi="Consolas"/>
                <w:color w:val="122A30"/>
                <w:sz w:val="17"/>
              </w:rPr>
              <w:t>|- app.py                       entry point + sidebar navigation</w:t>
            </w:r>
          </w:p>
          <w:p>
            <w:pPr>
              <w:spacing w:after="0" w:line="240" w:lineRule="auto"/>
            </w:pPr>
            <w:r>
              <w:rPr>
                <w:rFonts w:ascii="Consolas" w:hAnsi="Consolas"/>
                <w:color w:val="122A30"/>
                <w:sz w:val="17"/>
              </w:rPr>
              <w:t>|- requirements.txt  Dockerfile  README.md  .gitignore</w:t>
            </w:r>
          </w:p>
          <w:p>
            <w:pPr>
              <w:spacing w:after="0" w:line="240" w:lineRule="auto"/>
            </w:pPr>
            <w:r>
              <w:rPr>
                <w:rFonts w:ascii="Consolas" w:hAnsi="Consolas"/>
                <w:color w:val="122A30"/>
                <w:sz w:val="17"/>
              </w:rPr>
              <w:t>|- .streamlit/config.toml       theme (teal accent, cool neutrals)</w:t>
            </w:r>
          </w:p>
          <w:p>
            <w:pPr>
              <w:spacing w:after="0" w:line="240" w:lineRule="auto"/>
            </w:pPr>
            <w:r>
              <w:rPr>
                <w:rFonts w:ascii="Consolas" w:hAnsi="Consolas"/>
                <w:color w:val="122A30"/>
                <w:sz w:val="17"/>
              </w:rPr>
              <w:t>|- sample_data/sample_emails.csv</w:t>
            </w:r>
          </w:p>
          <w:p>
            <w:pPr>
              <w:spacing w:after="0" w:line="240" w:lineRule="auto"/>
            </w:pPr>
            <w:r>
              <w:rPr>
                <w:rFonts w:ascii="Consolas" w:hAnsi="Consolas"/>
                <w:color w:val="122A30"/>
                <w:sz w:val="17"/>
              </w:rPr>
              <w:t>|- data/                        local SQLite DB (git-ignored)</w:t>
            </w:r>
          </w:p>
          <w:p>
            <w:pPr>
              <w:spacing w:after="0" w:line="240" w:lineRule="auto"/>
            </w:pPr>
            <w:r>
              <w:rPr>
                <w:rFonts w:ascii="Consolas" w:hAnsi="Consolas"/>
                <w:color w:val="122A30"/>
                <w:sz w:val="17"/>
              </w:rPr>
              <w:t>\- threatlens/                  the package</w:t>
            </w:r>
          </w:p>
          <w:p>
            <w:pPr>
              <w:spacing w:after="0" w:line="240" w:lineRule="auto"/>
            </w:pPr>
            <w:r>
              <w:rPr>
                <w:rFonts w:ascii="Consolas" w:hAnsi="Consolas"/>
                <w:color w:val="122A30"/>
                <w:sz w:val="17"/>
              </w:rPr>
              <w:t xml:space="preserve">   |- config.py                 paths, taxonomy, models, feature groups</w:t>
            </w:r>
          </w:p>
          <w:p>
            <w:pPr>
              <w:spacing w:after="0" w:line="240" w:lineRule="auto"/>
            </w:pPr>
            <w:r>
              <w:rPr>
                <w:rFonts w:ascii="Consolas" w:hAnsi="Consolas"/>
                <w:color w:val="122A30"/>
                <w:sz w:val="17"/>
              </w:rPr>
              <w:t xml:space="preserve">   |- db.py                     SQLite schema + connection</w:t>
            </w:r>
          </w:p>
          <w:p>
            <w:pPr>
              <w:spacing w:after="0" w:line="240" w:lineRule="auto"/>
            </w:pPr>
            <w:r>
              <w:rPr>
                <w:rFonts w:ascii="Consolas" w:hAnsi="Consolas"/>
                <w:color w:val="122A30"/>
                <w:sz w:val="17"/>
              </w:rPr>
              <w:t xml:space="preserve">   |- modules/                  one file per component (business logic)</w:t>
            </w:r>
          </w:p>
          <w:p>
            <w:pPr>
              <w:spacing w:after="0" w:line="240" w:lineRule="auto"/>
            </w:pPr>
            <w:r>
              <w:rPr>
                <w:rFonts w:ascii="Consolas" w:hAnsi="Consolas"/>
                <w:color w:val="122A30"/>
                <w:sz w:val="17"/>
              </w:rPr>
              <w:t xml:space="preserve">   |    data_collection.py  taxonomy.py  feature_extraction.py</w:t>
            </w:r>
          </w:p>
          <w:p>
            <w:pPr>
              <w:spacing w:after="0" w:line="240" w:lineRule="auto"/>
            </w:pPr>
            <w:r>
              <w:rPr>
                <w:rFonts w:ascii="Consolas" w:hAnsi="Consolas"/>
                <w:color w:val="122A30"/>
                <w:sz w:val="17"/>
              </w:rPr>
              <w:t xml:space="preserve">   |    threat_intel.py  human_manipulation.py  ml_engine.py</w:t>
            </w:r>
          </w:p>
          <w:p>
            <w:pPr>
              <w:spacing w:after="0" w:line="240" w:lineRule="auto"/>
            </w:pPr>
            <w:r>
              <w:rPr>
                <w:rFonts w:ascii="Consolas" w:hAnsi="Consolas"/>
                <w:color w:val="122A30"/>
                <w:sz w:val="17"/>
              </w:rPr>
              <w:t xml:space="preserve">   |    explainability.py  reporting.py</w:t>
            </w:r>
          </w:p>
          <w:p>
            <w:pPr>
              <w:spacing w:after="0" w:line="240" w:lineRule="auto"/>
            </w:pPr>
            <w:r>
              <w:rPr>
                <w:rFonts w:ascii="Consolas" w:hAnsi="Consolas"/>
                <w:color w:val="122A30"/>
                <w:sz w:val="17"/>
              </w:rPr>
              <w:t xml:space="preserve">   \- ui/                       campaign_view / email_analysis_view /</w:t>
            </w:r>
          </w:p>
          <w:p>
            <w:pPr>
              <w:spacing w:after="0" w:line="240" w:lineRule="auto"/>
            </w:pPr>
            <w:r>
              <w:rPr>
                <w:rFonts w:ascii="Consolas" w:hAnsi="Consolas"/>
                <w:color w:val="122A30"/>
                <w:sz w:val="17"/>
              </w:rPr>
              <w:t xml:space="preserve">        research_view / style.py</w:t>
            </w:r>
          </w:p>
        </w:tc>
      </w:tr>
    </w:tbl>
    <w:p>
      <w:pPr>
        <w:spacing w:after="40"/>
      </w:pPr>
    </w:p>
    <w:p>
      <w:r>
        <w:br w:type="page"/>
      </w:r>
    </w:p>
    <w:p>
      <w:pPr>
        <w:pStyle w:val="Heading1"/>
      </w:pPr>
      <w:r>
        <w:t>3. Data Design</w:t>
      </w:r>
    </w:p>
    <w:p>
      <w:pPr>
        <w:pStyle w:val="Heading2"/>
      </w:pPr>
      <w:r>
        <w:t>3.1 Persistent data model (SQLite)</w:t>
      </w:r>
    </w:p>
    <w:p>
      <w:r>
        <w:rPr>
          <w:b w:val="0"/>
          <w:i w:val="0"/>
        </w:rPr>
        <w:t>A single local SQLite file (data/threatlens.db) holds all state — no database server, per the local-first / zero-cost constraint. Four tables model the pipeline: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44E63"/>
          </w:tcPr>
          <w:p>
            <w:r/>
            <w:r>
              <w:rPr>
                <w:b/>
                <w:color w:val="FFFFFF"/>
                <w:sz w:val="20"/>
              </w:rPr>
              <w:t>Table</w:t>
            </w:r>
          </w:p>
        </w:tc>
        <w:tc>
          <w:tcPr>
            <w:tcW w:type="dxa" w:w="2880"/>
            <w:shd w:val="clear" w:color="auto" w:fill="144E63"/>
          </w:tcPr>
          <w:p>
            <w:r/>
            <w:r>
              <w:rPr>
                <w:b/>
                <w:color w:val="FFFFFF"/>
                <w:sz w:val="20"/>
              </w:rPr>
              <w:t>Key columns</w:t>
            </w:r>
          </w:p>
        </w:tc>
        <w:tc>
          <w:tcPr>
            <w:tcW w:type="dxa" w:w="2880"/>
            <w:shd w:val="clear" w:color="auto" w:fill="144E63"/>
          </w:tcPr>
          <w:p>
            <w:r/>
            <w:r>
              <w:rPr>
                <w:b/>
                <w:color w:val="FFFFFF"/>
                <w:sz w:val="20"/>
              </w:rPr>
              <w:t>Realizes</w:t>
            </w:r>
          </w:p>
        </w:tc>
      </w:tr>
      <w:tr>
        <w:tc>
          <w:tcPr>
            <w:tcW w:type="dxa" w:w="2016"/>
          </w:tcPr>
          <w:p>
            <w:r/>
            <w:r>
              <w:rPr>
                <w:b/>
                <w:sz w:val="19"/>
              </w:rPr>
              <w:t>samples</w:t>
            </w:r>
          </w:p>
        </w:tc>
        <w:tc>
          <w:tcPr>
            <w:tcW w:type="dxa" w:w="5184"/>
          </w:tcPr>
          <w:p>
            <w:r/>
            <w:r>
              <w:rPr>
                <w:sz w:val="19"/>
              </w:rPr>
              <w:t>id, source, collected_at, sender, subject, body, url, label</w:t>
            </w:r>
          </w:p>
        </w:tc>
        <w:tc>
          <w:tcPr>
            <w:tcW w:type="dxa" w:w="2448"/>
          </w:tcPr>
          <w:p>
            <w:r/>
            <w:r>
              <w:rPr>
                <w:sz w:val="19"/>
              </w:rPr>
              <w:t>DC-FR-02/04, TT-FR-03</w:t>
            </w:r>
          </w:p>
        </w:tc>
      </w:tr>
      <w:tr>
        <w:tc>
          <w:tcPr>
            <w:tcW w:type="dxa" w:w="2016"/>
          </w:tcPr>
          <w:p>
            <w:r/>
            <w:r>
              <w:rPr>
                <w:b/>
                <w:sz w:val="19"/>
              </w:rPr>
              <w:t>features</w:t>
            </w:r>
          </w:p>
        </w:tc>
        <w:tc>
          <w:tcPr>
            <w:tcW w:type="dxa" w:w="5184"/>
          </w:tcPr>
          <w:p>
            <w:r/>
            <w:r>
              <w:rPr>
                <w:sz w:val="19"/>
              </w:rPr>
              <w:t>sample_id, name, value</w:t>
            </w:r>
          </w:p>
        </w:tc>
        <w:tc>
          <w:tcPr>
            <w:tcW w:type="dxa" w:w="2448"/>
          </w:tcPr>
          <w:p>
            <w:r/>
            <w:r>
              <w:rPr>
                <w:sz w:val="19"/>
              </w:rPr>
              <w:t>FE-FR-04</w:t>
            </w:r>
          </w:p>
        </w:tc>
      </w:tr>
      <w:tr>
        <w:tc>
          <w:tcPr>
            <w:tcW w:type="dxa" w:w="2016"/>
          </w:tcPr>
          <w:p>
            <w:r/>
            <w:r>
              <w:rPr>
                <w:b/>
                <w:sz w:val="19"/>
              </w:rPr>
              <w:t>campaigns</w:t>
            </w:r>
          </w:p>
        </w:tc>
        <w:tc>
          <w:tcPr>
            <w:tcW w:type="dxa" w:w="5184"/>
          </w:tcPr>
          <w:p>
            <w:r/>
            <w:r>
              <w:rPr>
                <w:sz w:val="19"/>
              </w:rPr>
              <w:t>id, first_seen, sample_count, type, shared_ioc</w:t>
            </w:r>
          </w:p>
        </w:tc>
        <w:tc>
          <w:tcPr>
            <w:tcW w:type="dxa" w:w="2448"/>
          </w:tcPr>
          <w:p>
            <w:r/>
            <w:r>
              <w:rPr>
                <w:sz w:val="19"/>
              </w:rPr>
              <w:t>TI-FR-04/06</w:t>
            </w:r>
          </w:p>
        </w:tc>
      </w:tr>
      <w:tr>
        <w:tc>
          <w:tcPr>
            <w:tcW w:type="dxa" w:w="2016"/>
          </w:tcPr>
          <w:p>
            <w:r/>
            <w:r>
              <w:rPr>
                <w:b/>
                <w:sz w:val="19"/>
              </w:rPr>
              <w:t>predictions</w:t>
            </w:r>
          </w:p>
        </w:tc>
        <w:tc>
          <w:tcPr>
            <w:tcW w:type="dxa" w:w="5184"/>
          </w:tcPr>
          <w:p>
            <w:r/>
            <w:r>
              <w:rPr>
                <w:sz w:val="19"/>
              </w:rPr>
              <w:t>sample_id, model, prediction, confidence</w:t>
            </w:r>
          </w:p>
        </w:tc>
        <w:tc>
          <w:tcPr>
            <w:tcW w:type="dxa" w:w="2448"/>
          </w:tcPr>
          <w:p>
            <w:r/>
            <w:r>
              <w:rPr>
                <w:sz w:val="19"/>
              </w:rPr>
              <w:t>ML-FR-06</w:t>
            </w:r>
          </w:p>
        </w:tc>
      </w:tr>
    </w:tbl>
    <w:p>
      <w:pPr>
        <w:spacing w:after="40"/>
      </w:pPr>
    </w:p>
    <w:p>
      <w:pPr>
        <w:spacing w:after="40"/>
      </w:pPr>
      <w:r>
        <w:rPr>
          <w:b w:val="0"/>
          <w:i/>
        </w:rPr>
        <w:t>Schema (from threatlens/db.py):</w:t>
      </w:r>
    </w:p>
    <w:tbl>
      <w:tblPr>
        <w:tblStyle w:val="TableGrid"/>
        <w:tblW w:type="auto" w:w="0"/>
        <w:tblLook w:firstColumn="1" w:firstRow="1" w:lastColumn="0" w:lastRow="0" w:noHBand="0" w:noVBand="1" w:val="04A0"/>
      </w:tblPr>
      <w:tblGrid>
        <w:gridCol w:w="8640"/>
      </w:tblGrid>
      <w:tr>
        <w:tc>
          <w:tcPr>
            <w:tcW w:type="dxa" w:w="8640"/>
            <w:shd w:val="clear" w:color="auto" w:fill="F1F5F6"/>
          </w:tcPr>
          <w:p>
            <w:pPr>
              <w:spacing w:after="0" w:line="240" w:lineRule="auto"/>
            </w:pPr>
            <w:r/>
            <w:r>
              <w:rPr>
                <w:rFonts w:ascii="Consolas" w:hAnsi="Consolas"/>
                <w:color w:val="122A30"/>
                <w:sz w:val="17"/>
              </w:rPr>
              <w:t>samples(     id INTEGER PK, source, collected_at, sender,</w:t>
            </w:r>
          </w:p>
          <w:p>
            <w:pPr>
              <w:spacing w:after="0" w:line="240" w:lineRule="auto"/>
            </w:pPr>
            <w:r>
              <w:rPr>
                <w:rFonts w:ascii="Consolas" w:hAnsi="Consolas"/>
                <w:color w:val="122A30"/>
                <w:sz w:val="17"/>
              </w:rPr>
              <w:t xml:space="preserve">             subject, body, url, label )</w:t>
            </w:r>
          </w:p>
          <w:p>
            <w:pPr>
              <w:spacing w:after="0" w:line="240" w:lineRule="auto"/>
            </w:pPr>
            <w:r>
              <w:rPr>
                <w:rFonts w:ascii="Consolas" w:hAnsi="Consolas"/>
                <w:color w:val="122A30"/>
                <w:sz w:val="17"/>
              </w:rPr>
              <w:t>features(    sample_id FK, name, value )</w:t>
            </w:r>
          </w:p>
          <w:p>
            <w:pPr>
              <w:spacing w:after="0" w:line="240" w:lineRule="auto"/>
            </w:pPr>
            <w:r>
              <w:rPr>
                <w:rFonts w:ascii="Consolas" w:hAnsi="Consolas"/>
                <w:color w:val="122A30"/>
                <w:sz w:val="17"/>
              </w:rPr>
              <w:t>campaigns(   id TEXT PK, first_seen, sample_count, type, shared_ioc )</w:t>
            </w:r>
          </w:p>
          <w:p>
            <w:pPr>
              <w:spacing w:after="0" w:line="240" w:lineRule="auto"/>
            </w:pPr>
            <w:r>
              <w:rPr>
                <w:rFonts w:ascii="Consolas" w:hAnsi="Consolas"/>
                <w:color w:val="122A30"/>
                <w:sz w:val="17"/>
              </w:rPr>
              <w:t>predictions( sample_id FK, model, prediction, confidence )</w:t>
            </w:r>
          </w:p>
        </w:tc>
      </w:tr>
    </w:tbl>
    <w:p>
      <w:pPr>
        <w:spacing w:after="40"/>
      </w:pPr>
    </w:p>
    <w:p>
      <w:pPr>
        <w:pStyle w:val="Heading2"/>
      </w:pPr>
      <w:r>
        <w:t>3.2 Feature vector design</w:t>
      </w:r>
    </w:p>
    <w:p>
      <w:r>
        <w:rPr>
          <w:b w:val="0"/>
          <w:i w:val="0"/>
        </w:rPr>
        <w:t>Feature Extraction produces a documented vector in three groups (config.FEATURE_GROUPS), satisfying FE-FR-01/02/03/06:</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44E63"/>
          </w:tcPr>
          <w:p>
            <w:r/>
            <w:r>
              <w:rPr>
                <w:b/>
                <w:color w:val="FFFFFF"/>
                <w:sz w:val="20"/>
              </w:rPr>
              <w:t>Group</w:t>
            </w:r>
          </w:p>
        </w:tc>
        <w:tc>
          <w:tcPr>
            <w:tcW w:type="dxa" w:w="4320"/>
            <w:shd w:val="clear" w:color="auto" w:fill="144E63"/>
          </w:tcPr>
          <w:p>
            <w:r/>
            <w:r>
              <w:rPr>
                <w:b/>
                <w:color w:val="FFFFFF"/>
                <w:sz w:val="20"/>
              </w:rPr>
              <w:t>Features</w:t>
            </w:r>
          </w:p>
        </w:tc>
      </w:tr>
      <w:tr>
        <w:tc>
          <w:tcPr>
            <w:tcW w:type="dxa" w:w="2016"/>
          </w:tcPr>
          <w:p>
            <w:r/>
            <w:r>
              <w:rPr>
                <w:b/>
                <w:sz w:val="19"/>
              </w:rPr>
              <w:t>email</w:t>
            </w:r>
          </w:p>
        </w:tc>
        <w:tc>
          <w:tcPr>
            <w:tcW w:type="dxa" w:w="7632"/>
          </w:tcPr>
          <w:p>
            <w:r/>
            <w:r>
              <w:rPr>
                <w:sz w:val="19"/>
              </w:rPr>
              <w:t>sender_domain, language_pattern, keyword_score, grammar_score</w:t>
            </w:r>
          </w:p>
        </w:tc>
      </w:tr>
      <w:tr>
        <w:tc>
          <w:tcPr>
            <w:tcW w:type="dxa" w:w="2016"/>
          </w:tcPr>
          <w:p>
            <w:r/>
            <w:r>
              <w:rPr>
                <w:b/>
                <w:sz w:val="19"/>
              </w:rPr>
              <w:t>url</w:t>
            </w:r>
          </w:p>
        </w:tc>
        <w:tc>
          <w:tcPr>
            <w:tcW w:type="dxa" w:w="7632"/>
          </w:tcPr>
          <w:p>
            <w:r/>
            <w:r>
              <w:rPr>
                <w:sz w:val="19"/>
              </w:rPr>
              <w:t>domain_age_days, url_length, suspicious_pattern</w:t>
            </w:r>
          </w:p>
        </w:tc>
      </w:tr>
      <w:tr>
        <w:tc>
          <w:tcPr>
            <w:tcW w:type="dxa" w:w="2016"/>
          </w:tcPr>
          <w:p>
            <w:r/>
            <w:r>
              <w:rPr>
                <w:b/>
                <w:sz w:val="19"/>
              </w:rPr>
              <w:t>behavioral</w:t>
            </w:r>
          </w:p>
        </w:tc>
        <w:tc>
          <w:tcPr>
            <w:tcW w:type="dxa" w:w="7632"/>
          </w:tcPr>
          <w:p>
            <w:r/>
            <w:r>
              <w:rPr>
                <w:sz w:val="19"/>
              </w:rPr>
              <w:t>urgency_score, authority_impersonation, fear_tactic</w:t>
            </w:r>
          </w:p>
        </w:tc>
      </w:tr>
    </w:tbl>
    <w:p>
      <w:pPr>
        <w:spacing w:after="40"/>
      </w:pPr>
    </w:p>
    <w:p>
      <w:pPr>
        <w:pStyle w:val="Heading2"/>
      </w:pPr>
      <w:r>
        <w:t>3.3 Taxonomy structure</w:t>
      </w:r>
    </w:p>
    <w:p>
      <w:r>
        <w:rPr>
          <w:b w:val="0"/>
          <w:i w:val="0"/>
        </w:rPr>
        <w:t>The taxonomy is a versioned dictionary {category: description} in config.TAXONOMY (TT-FR-01/05), currently six categories: Credential Theft, Business Email Compromise, Malware Delivery, Fake Login Page, Financial Scam, AI Generated Phishing.</w:t>
      </w:r>
    </w:p>
    <w:p>
      <w:pPr>
        <w:pStyle w:val="Heading2"/>
      </w:pPr>
      <w:r>
        <w:t>3.4 Data flow</w:t>
      </w:r>
    </w:p>
    <w:p>
      <w:pPr>
        <w:pStyle w:val="ListBullet"/>
      </w:pPr>
      <w:r>
        <w:t>Raw sample → Data Collection normalizes it into the samples table.</w:t>
      </w:r>
    </w:p>
    <w:p>
      <w:pPr>
        <w:pStyle w:val="ListBullet"/>
      </w:pPr>
      <w:r>
        <w:t>Feature Extraction reads a sample and writes rows into features.</w:t>
      </w:r>
    </w:p>
    <w:p>
      <w:pPr>
        <w:pStyle w:val="ListBullet"/>
      </w:pPr>
      <w:r>
        <w:t>Threat Intelligence groups samples into campaigns.</w:t>
      </w:r>
    </w:p>
    <w:p>
      <w:pPr>
        <w:pStyle w:val="ListBullet"/>
      </w:pPr>
      <w:r>
        <w:t>ML Engine reads features + labels, writes predictions.</w:t>
      </w:r>
    </w:p>
    <w:p>
      <w:pPr>
        <w:pStyle w:val="ListBullet"/>
      </w:pPr>
      <w:r>
        <w:t>XAI reads a prediction + features to produce an explanation (not persisted; computed on demand).</w:t>
      </w:r>
    </w:p>
    <w:p>
      <w:pPr>
        <w:pStyle w:val="ListBullet"/>
      </w:pPr>
      <w:r>
        <w:t>Dashboard reads all of the above; Reporting exports them.</w:t>
      </w:r>
    </w:p>
    <w:p>
      <w:r>
        <w:br w:type="page"/>
      </w:r>
    </w:p>
    <w:p>
      <w:pPr>
        <w:pStyle w:val="Heading1"/>
      </w:pPr>
      <w:r>
        <w:t>4. Component (Detailed) Design</w:t>
      </w:r>
    </w:p>
    <w:p>
      <w:r>
        <w:rPr>
          <w:b w:val="0"/>
          <w:i/>
        </w:rPr>
        <w:t>Each component is a module with a small, documented public interface. Signatures below are the actual contracts in the reference scaffold; bodies currently return documented placeholder data (marked # TODO) so the pipeline runs end-to-end before the algorithms are implemented.</w:t>
      </w:r>
    </w:p>
    <w:p>
      <w:pPr>
        <w:pStyle w:val="Heading2"/>
      </w:pPr>
      <w:r>
        <w:t>4.1 Data Collection</w:t>
      </w:r>
    </w:p>
    <w:tbl>
      <w:tblPr>
        <w:tblStyle w:val="TableGrid"/>
        <w:tblW w:type="auto" w:w="0"/>
        <w:tblLook w:firstColumn="1" w:firstRow="1" w:lastColumn="0" w:lastRow="0" w:noHBand="0" w:noVBand="1" w:val="04A0"/>
      </w:tblPr>
      <w:tblGrid>
        <w:gridCol w:w="4320"/>
        <w:gridCol w:w="4320"/>
      </w:tblGrid>
      <w:tr>
        <w:tc>
          <w:tcPr>
            <w:tcW w:type="dxa" w:w="2448"/>
            <w:shd w:val="clear" w:color="auto" w:fill="EAF1F4"/>
          </w:tcPr>
          <w:p>
            <w:r/>
            <w:r>
              <w:rPr>
                <w:b/>
                <w:sz w:val="19"/>
              </w:rPr>
              <w:t>Location</w:t>
            </w:r>
          </w:p>
        </w:tc>
        <w:tc>
          <w:tcPr>
            <w:tcW w:type="dxa" w:w="7200"/>
          </w:tcPr>
          <w:p>
            <w:r/>
            <w:r>
              <w:rPr>
                <w:sz w:val="19"/>
              </w:rPr>
              <w:t>threatlens/modules/data_collection.py</w:t>
            </w:r>
          </w:p>
        </w:tc>
      </w:tr>
      <w:tr>
        <w:tc>
          <w:tcPr>
            <w:tcW w:type="dxa" w:w="2448"/>
            <w:shd w:val="clear" w:color="auto" w:fill="EAF1F4"/>
          </w:tcPr>
          <w:p>
            <w:r/>
            <w:r>
              <w:rPr>
                <w:b/>
                <w:sz w:val="19"/>
              </w:rPr>
              <w:t>Realizes (SRD)</w:t>
            </w:r>
          </w:p>
        </w:tc>
        <w:tc>
          <w:tcPr>
            <w:tcW w:type="dxa" w:w="7200"/>
          </w:tcPr>
          <w:p>
            <w:r/>
            <w:r>
              <w:rPr>
                <w:sz w:val="19"/>
              </w:rPr>
              <w:t>DC-FR-01, DC-FR-02, DC-FR-03, DC-FR-04, DC-FR-07</w:t>
            </w:r>
          </w:p>
        </w:tc>
      </w:tr>
      <w:tr>
        <w:tc>
          <w:tcPr>
            <w:tcW w:type="dxa" w:w="2448"/>
            <w:shd w:val="clear" w:color="auto" w:fill="EAF1F4"/>
          </w:tcPr>
          <w:p>
            <w:r/>
            <w:r>
              <w:rPr>
                <w:b/>
                <w:sz w:val="19"/>
              </w:rPr>
              <w:t>Responsibility</w:t>
            </w:r>
          </w:p>
        </w:tc>
        <w:tc>
          <w:tcPr>
            <w:tcW w:type="dxa" w:w="7200"/>
          </w:tcPr>
          <w:p>
            <w:r/>
            <w:r>
              <w:rPr>
                <w:sz w:val="19"/>
              </w:rPr>
              <w:t>Create a curated, de-duplicated, normalized phishing dataset.</w:t>
            </w:r>
          </w:p>
        </w:tc>
      </w:tr>
    </w:tbl>
    <w:p>
      <w:pPr>
        <w:spacing w:after="40"/>
      </w:pPr>
    </w:p>
    <w:p>
      <w:pPr>
        <w:spacing w:after="40"/>
      </w:pPr>
      <w:r>
        <w:rPr>
          <w:b w:val="0"/>
          <w:i/>
        </w:rPr>
        <w:t>Public interface:</w:t>
      </w:r>
    </w:p>
    <w:tbl>
      <w:tblPr>
        <w:tblStyle w:val="TableGrid"/>
        <w:tblW w:type="auto" w:w="0"/>
        <w:tblLook w:firstColumn="1" w:firstRow="1" w:lastColumn="0" w:lastRow="0" w:noHBand="0" w:noVBand="1" w:val="04A0"/>
      </w:tblPr>
      <w:tblGrid>
        <w:gridCol w:w="8640"/>
      </w:tblGrid>
      <w:tr>
        <w:tc>
          <w:tcPr>
            <w:tcW w:type="dxa" w:w="8640"/>
            <w:shd w:val="clear" w:color="auto" w:fill="F1F5F6"/>
          </w:tcPr>
          <w:p>
            <w:pPr>
              <w:spacing w:after="0" w:line="240" w:lineRule="auto"/>
            </w:pPr>
            <w:r/>
            <w:r>
              <w:rPr>
                <w:rFonts w:ascii="Consolas" w:hAnsi="Consolas"/>
                <w:color w:val="122A30"/>
                <w:sz w:val="17"/>
              </w:rPr>
              <w:t>load_sample_dataset() -&gt; pandas.DataFrame</w:t>
            </w:r>
          </w:p>
          <w:p>
            <w:pPr>
              <w:spacing w:after="0" w:line="240" w:lineRule="auto"/>
            </w:pPr>
            <w:r>
              <w:rPr>
                <w:rFonts w:ascii="Consolas" w:hAnsi="Consolas"/>
                <w:color w:val="122A30"/>
                <w:sz w:val="17"/>
              </w:rPr>
              <w:t>collect(sources: list[str] | None = None) -&gt; pandas.DataFrame</w:t>
            </w:r>
          </w:p>
          <w:p>
            <w:pPr>
              <w:spacing w:after="0" w:line="240" w:lineRule="auto"/>
            </w:pPr>
            <w:r>
              <w:rPr>
                <w:rFonts w:ascii="Consolas" w:hAnsi="Consolas"/>
                <w:color w:val="122A30"/>
                <w:sz w:val="17"/>
              </w:rPr>
              <w:t>get_dataset_stats() -&gt; dict</w:t>
            </w:r>
          </w:p>
        </w:tc>
      </w:tr>
    </w:tbl>
    <w:p>
      <w:pPr>
        <w:spacing w:after="40"/>
      </w:pPr>
    </w:p>
    <w:p>
      <w:pPr>
        <w:spacing w:after="40"/>
      </w:pPr>
      <w:r>
        <w:rPr>
          <w:b w:val="0"/>
          <w:i/>
        </w:rPr>
        <w:t>Design notes:</w:t>
      </w:r>
    </w:p>
    <w:p>
      <w:pPr>
        <w:pStyle w:val="ListBullet"/>
      </w:pPr>
      <w:r>
        <w:t>collect() is the ingestion entry point; de-duplication and normalization happen here (DC-FR-03/04).</w:t>
      </w:r>
    </w:p>
    <w:p>
      <w:pPr>
        <w:pStyle w:val="ListBullet"/>
      </w:pPr>
      <w:r>
        <w:t>get_dataset_stats() feeds the dashboard KPI tiles.</w:t>
      </w:r>
    </w:p>
    <w:p>
      <w:pPr>
        <w:pStyle w:val="ListBullet"/>
      </w:pPr>
      <w:r>
        <w:t>Malformed samples are to be quarantined rather than aborting the run (DC-FR-07).</w:t>
      </w:r>
    </w:p>
    <w:p>
      <w:pPr>
        <w:pStyle w:val="Heading2"/>
      </w:pPr>
      <w:r>
        <w:t>4.2 Threat Taxonomy Engine</w:t>
      </w:r>
    </w:p>
    <w:tbl>
      <w:tblPr>
        <w:tblStyle w:val="TableGrid"/>
        <w:tblW w:type="auto" w:w="0"/>
        <w:tblLook w:firstColumn="1" w:firstRow="1" w:lastColumn="0" w:lastRow="0" w:noHBand="0" w:noVBand="1" w:val="04A0"/>
      </w:tblPr>
      <w:tblGrid>
        <w:gridCol w:w="4320"/>
        <w:gridCol w:w="4320"/>
      </w:tblGrid>
      <w:tr>
        <w:tc>
          <w:tcPr>
            <w:tcW w:type="dxa" w:w="2448"/>
            <w:shd w:val="clear" w:color="auto" w:fill="EAF1F4"/>
          </w:tcPr>
          <w:p>
            <w:r/>
            <w:r>
              <w:rPr>
                <w:b/>
                <w:sz w:val="19"/>
              </w:rPr>
              <w:t>Location</w:t>
            </w:r>
          </w:p>
        </w:tc>
        <w:tc>
          <w:tcPr>
            <w:tcW w:type="dxa" w:w="7200"/>
          </w:tcPr>
          <w:p>
            <w:r/>
            <w:r>
              <w:rPr>
                <w:sz w:val="19"/>
              </w:rPr>
              <w:t>threatlens/modules/taxonomy.py</w:t>
            </w:r>
          </w:p>
        </w:tc>
      </w:tr>
      <w:tr>
        <w:tc>
          <w:tcPr>
            <w:tcW w:type="dxa" w:w="2448"/>
            <w:shd w:val="clear" w:color="auto" w:fill="EAF1F4"/>
          </w:tcPr>
          <w:p>
            <w:r/>
            <w:r>
              <w:rPr>
                <w:b/>
                <w:sz w:val="19"/>
              </w:rPr>
              <w:t>Realizes (SRD)</w:t>
            </w:r>
          </w:p>
        </w:tc>
        <w:tc>
          <w:tcPr>
            <w:tcW w:type="dxa" w:w="7200"/>
          </w:tcPr>
          <w:p>
            <w:r/>
            <w:r>
              <w:rPr>
                <w:sz w:val="19"/>
              </w:rPr>
              <w:t>TT-FR-01, TT-FR-03, TT-FR-05</w:t>
            </w:r>
          </w:p>
        </w:tc>
      </w:tr>
      <w:tr>
        <w:tc>
          <w:tcPr>
            <w:tcW w:type="dxa" w:w="2448"/>
            <w:shd w:val="clear" w:color="auto" w:fill="EAF1F4"/>
          </w:tcPr>
          <w:p>
            <w:r/>
            <w:r>
              <w:rPr>
                <w:b/>
                <w:sz w:val="19"/>
              </w:rPr>
              <w:t>Responsibility</w:t>
            </w:r>
          </w:p>
        </w:tc>
        <w:tc>
          <w:tcPr>
            <w:tcW w:type="dxa" w:w="7200"/>
          </w:tcPr>
          <w:p>
            <w:r/>
            <w:r>
              <w:rPr>
                <w:sz w:val="19"/>
              </w:rPr>
              <w:t>Provide the structured classification vocabulary and assign categories to samples.</w:t>
            </w:r>
          </w:p>
        </w:tc>
      </w:tr>
    </w:tbl>
    <w:p>
      <w:pPr>
        <w:spacing w:after="40"/>
      </w:pPr>
    </w:p>
    <w:p>
      <w:pPr>
        <w:spacing w:after="40"/>
      </w:pPr>
      <w:r>
        <w:rPr>
          <w:b w:val="0"/>
          <w:i/>
        </w:rPr>
        <w:t>Public interface:</w:t>
      </w:r>
    </w:p>
    <w:tbl>
      <w:tblPr>
        <w:tblStyle w:val="TableGrid"/>
        <w:tblW w:type="auto" w:w="0"/>
        <w:tblLook w:firstColumn="1" w:firstRow="1" w:lastColumn="0" w:lastRow="0" w:noHBand="0" w:noVBand="1" w:val="04A0"/>
      </w:tblPr>
      <w:tblGrid>
        <w:gridCol w:w="8640"/>
      </w:tblGrid>
      <w:tr>
        <w:tc>
          <w:tcPr>
            <w:tcW w:type="dxa" w:w="8640"/>
            <w:shd w:val="clear" w:color="auto" w:fill="F1F5F6"/>
          </w:tcPr>
          <w:p>
            <w:pPr>
              <w:spacing w:after="0" w:line="240" w:lineRule="auto"/>
            </w:pPr>
            <w:r/>
            <w:r>
              <w:rPr>
                <w:rFonts w:ascii="Consolas" w:hAnsi="Consolas"/>
                <w:color w:val="122A30"/>
                <w:sz w:val="17"/>
              </w:rPr>
              <w:t>get_taxonomy() -&gt; dict[str, str]</w:t>
            </w:r>
          </w:p>
          <w:p>
            <w:pPr>
              <w:spacing w:after="0" w:line="240" w:lineRule="auto"/>
            </w:pPr>
            <w:r>
              <w:rPr>
                <w:rFonts w:ascii="Consolas" w:hAnsi="Consolas"/>
                <w:color w:val="122A30"/>
                <w:sz w:val="17"/>
              </w:rPr>
              <w:t>classify(sample: dict) -&gt; str</w:t>
            </w:r>
          </w:p>
          <w:p>
            <w:pPr>
              <w:spacing w:after="0" w:line="240" w:lineRule="auto"/>
            </w:pPr>
            <w:r>
              <w:rPr>
                <w:rFonts w:ascii="Consolas" w:hAnsi="Consolas"/>
                <w:color w:val="122A30"/>
                <w:sz w:val="17"/>
              </w:rPr>
              <w:t>get_distribution() -&gt; dict[str, float]</w:t>
            </w:r>
          </w:p>
        </w:tc>
      </w:tr>
    </w:tbl>
    <w:p>
      <w:pPr>
        <w:spacing w:after="40"/>
      </w:pPr>
    </w:p>
    <w:p>
      <w:pPr>
        <w:spacing w:after="40"/>
      </w:pPr>
      <w:r>
        <w:rPr>
          <w:b w:val="0"/>
          <w:i/>
        </w:rPr>
        <w:t>Design notes:</w:t>
      </w:r>
    </w:p>
    <w:p>
      <w:pPr>
        <w:pStyle w:val="ListBullet"/>
      </w:pPr>
      <w:r>
        <w:t>Taxonomy sourced from config.TAXONOMY so it is machine-readable and publishable (TT-FR-05).</w:t>
      </w:r>
    </w:p>
    <w:p>
      <w:pPr>
        <w:pStyle w:val="ListBullet"/>
      </w:pPr>
      <w:r>
        <w:t>classify() returns a category label attached to the sample (TT-FR-03).</w:t>
      </w:r>
    </w:p>
    <w:p>
      <w:pPr>
        <w:pStyle w:val="Heading2"/>
      </w:pPr>
      <w:r>
        <w:t>4.3 Feature Extraction Pipeline</w:t>
      </w:r>
    </w:p>
    <w:tbl>
      <w:tblPr>
        <w:tblStyle w:val="TableGrid"/>
        <w:tblW w:type="auto" w:w="0"/>
        <w:tblLook w:firstColumn="1" w:firstRow="1" w:lastColumn="0" w:lastRow="0" w:noHBand="0" w:noVBand="1" w:val="04A0"/>
      </w:tblPr>
      <w:tblGrid>
        <w:gridCol w:w="4320"/>
        <w:gridCol w:w="4320"/>
      </w:tblGrid>
      <w:tr>
        <w:tc>
          <w:tcPr>
            <w:tcW w:type="dxa" w:w="2448"/>
            <w:shd w:val="clear" w:color="auto" w:fill="EAF1F4"/>
          </w:tcPr>
          <w:p>
            <w:r/>
            <w:r>
              <w:rPr>
                <w:b/>
                <w:sz w:val="19"/>
              </w:rPr>
              <w:t>Location</w:t>
            </w:r>
          </w:p>
        </w:tc>
        <w:tc>
          <w:tcPr>
            <w:tcW w:type="dxa" w:w="7200"/>
          </w:tcPr>
          <w:p>
            <w:r/>
            <w:r>
              <w:rPr>
                <w:sz w:val="19"/>
              </w:rPr>
              <w:t>threatlens/modules/feature_extraction.py</w:t>
            </w:r>
          </w:p>
        </w:tc>
      </w:tr>
      <w:tr>
        <w:tc>
          <w:tcPr>
            <w:tcW w:type="dxa" w:w="2448"/>
            <w:shd w:val="clear" w:color="auto" w:fill="EAF1F4"/>
          </w:tcPr>
          <w:p>
            <w:r/>
            <w:r>
              <w:rPr>
                <w:b/>
                <w:sz w:val="19"/>
              </w:rPr>
              <w:t>Realizes (SRD)</w:t>
            </w:r>
          </w:p>
        </w:tc>
        <w:tc>
          <w:tcPr>
            <w:tcW w:type="dxa" w:w="7200"/>
          </w:tcPr>
          <w:p>
            <w:r/>
            <w:r>
              <w:rPr>
                <w:sz w:val="19"/>
              </w:rPr>
              <w:t>FE-FR-01, FE-FR-02, FE-FR-03, FE-FR-04, FE-FR-05, FE-FR-06</w:t>
            </w:r>
          </w:p>
        </w:tc>
      </w:tr>
      <w:tr>
        <w:tc>
          <w:tcPr>
            <w:tcW w:type="dxa" w:w="2448"/>
            <w:shd w:val="clear" w:color="auto" w:fill="EAF1F4"/>
          </w:tcPr>
          <w:p>
            <w:r/>
            <w:r>
              <w:rPr>
                <w:b/>
                <w:sz w:val="19"/>
              </w:rPr>
              <w:t>Responsibility</w:t>
            </w:r>
          </w:p>
        </w:tc>
        <w:tc>
          <w:tcPr>
            <w:tcW w:type="dxa" w:w="7200"/>
          </w:tcPr>
          <w:p>
            <w:r/>
            <w:r>
              <w:rPr>
                <w:sz w:val="19"/>
              </w:rPr>
              <w:t>Convert a raw sample into a documented feature vector (email, URL, behavioral).</w:t>
            </w:r>
          </w:p>
        </w:tc>
      </w:tr>
    </w:tbl>
    <w:p>
      <w:pPr>
        <w:spacing w:after="40"/>
      </w:pPr>
    </w:p>
    <w:p>
      <w:pPr>
        <w:spacing w:after="40"/>
      </w:pPr>
      <w:r>
        <w:rPr>
          <w:b w:val="0"/>
          <w:i/>
        </w:rPr>
        <w:t>Public interface:</w:t>
      </w:r>
    </w:p>
    <w:tbl>
      <w:tblPr>
        <w:tblStyle w:val="TableGrid"/>
        <w:tblW w:type="auto" w:w="0"/>
        <w:tblLook w:firstColumn="1" w:firstRow="1" w:lastColumn="0" w:lastRow="0" w:noHBand="0" w:noVBand="1" w:val="04A0"/>
      </w:tblPr>
      <w:tblGrid>
        <w:gridCol w:w="8640"/>
      </w:tblGrid>
      <w:tr>
        <w:tc>
          <w:tcPr>
            <w:tcW w:type="dxa" w:w="8640"/>
            <w:shd w:val="clear" w:color="auto" w:fill="F1F5F6"/>
          </w:tcPr>
          <w:p>
            <w:pPr>
              <w:spacing w:after="0" w:line="240" w:lineRule="auto"/>
            </w:pPr>
            <w:r/>
            <w:r>
              <w:rPr>
                <w:rFonts w:ascii="Consolas" w:hAnsi="Consolas"/>
                <w:color w:val="122A30"/>
                <w:sz w:val="17"/>
              </w:rPr>
              <w:t>extract(sample: dict) -&gt; dict[str, float]</w:t>
            </w:r>
          </w:p>
          <w:p>
            <w:pPr>
              <w:spacing w:after="0" w:line="240" w:lineRule="auto"/>
            </w:pPr>
            <w:r>
              <w:rPr>
                <w:rFonts w:ascii="Consolas" w:hAnsi="Consolas"/>
                <w:color w:val="122A30"/>
                <w:sz w:val="17"/>
              </w:rPr>
              <w:t>feature_docs() -&gt; dict[str, list[str]]</w:t>
            </w:r>
          </w:p>
        </w:tc>
      </w:tr>
    </w:tbl>
    <w:p>
      <w:pPr>
        <w:spacing w:after="40"/>
      </w:pPr>
    </w:p>
    <w:p>
      <w:pPr>
        <w:spacing w:after="40"/>
      </w:pPr>
      <w:r>
        <w:rPr>
          <w:b w:val="0"/>
          <w:i/>
        </w:rPr>
        <w:t>Design notes:</w:t>
      </w:r>
    </w:p>
    <w:p>
      <w:pPr>
        <w:pStyle w:val="ListBullet"/>
      </w:pPr>
      <w:r>
        <w:t>Output schema is fixed and documented via feature_docs() (FE-FR-04/06).</w:t>
      </w:r>
    </w:p>
    <w:p>
      <w:pPr>
        <w:pStyle w:val="ListBullet"/>
      </w:pPr>
      <w:r>
        <w:t>Missing/unparseable fields must be recorded, not raised (FE-FR-05).</w:t>
      </w:r>
    </w:p>
    <w:p>
      <w:pPr>
        <w:pStyle w:val="ListBullet"/>
      </w:pPr>
      <w:r>
        <w:t>Behavioral features are shared with the Human Manipulation analyzer.</w:t>
      </w:r>
    </w:p>
    <w:p>
      <w:pPr>
        <w:pStyle w:val="Heading2"/>
      </w:pPr>
      <w:r>
        <w:t>4.4 Threat Intelligence Engine</w:t>
      </w:r>
    </w:p>
    <w:tbl>
      <w:tblPr>
        <w:tblStyle w:val="TableGrid"/>
        <w:tblW w:type="auto" w:w="0"/>
        <w:tblLook w:firstColumn="1" w:firstRow="1" w:lastColumn="0" w:lastRow="0" w:noHBand="0" w:noVBand="1" w:val="04A0"/>
      </w:tblPr>
      <w:tblGrid>
        <w:gridCol w:w="4320"/>
        <w:gridCol w:w="4320"/>
      </w:tblGrid>
      <w:tr>
        <w:tc>
          <w:tcPr>
            <w:tcW w:type="dxa" w:w="2448"/>
            <w:shd w:val="clear" w:color="auto" w:fill="EAF1F4"/>
          </w:tcPr>
          <w:p>
            <w:r/>
            <w:r>
              <w:rPr>
                <w:b/>
                <w:sz w:val="19"/>
              </w:rPr>
              <w:t>Location</w:t>
            </w:r>
          </w:p>
        </w:tc>
        <w:tc>
          <w:tcPr>
            <w:tcW w:type="dxa" w:w="7200"/>
          </w:tcPr>
          <w:p>
            <w:r/>
            <w:r>
              <w:rPr>
                <w:sz w:val="19"/>
              </w:rPr>
              <w:t>threatlens/modules/threat_intel.py</w:t>
            </w:r>
          </w:p>
        </w:tc>
      </w:tr>
      <w:tr>
        <w:tc>
          <w:tcPr>
            <w:tcW w:type="dxa" w:w="2448"/>
            <w:shd w:val="clear" w:color="auto" w:fill="EAF1F4"/>
          </w:tcPr>
          <w:p>
            <w:r/>
            <w:r>
              <w:rPr>
                <w:b/>
                <w:sz w:val="19"/>
              </w:rPr>
              <w:t>Realizes (SRD)</w:t>
            </w:r>
          </w:p>
        </w:tc>
        <w:tc>
          <w:tcPr>
            <w:tcW w:type="dxa" w:w="7200"/>
          </w:tcPr>
          <w:p>
            <w:r/>
            <w:r>
              <w:rPr>
                <w:sz w:val="19"/>
              </w:rPr>
              <w:t>TI-FR-01, TI-FR-04, TI-FR-05, TI-FR-06</w:t>
            </w:r>
          </w:p>
        </w:tc>
      </w:tr>
      <w:tr>
        <w:tc>
          <w:tcPr>
            <w:tcW w:type="dxa" w:w="2448"/>
            <w:shd w:val="clear" w:color="auto" w:fill="EAF1F4"/>
          </w:tcPr>
          <w:p>
            <w:r/>
            <w:r>
              <w:rPr>
                <w:b/>
                <w:sz w:val="19"/>
              </w:rPr>
              <w:t>Responsibility</w:t>
            </w:r>
          </w:p>
        </w:tc>
        <w:tc>
          <w:tcPr>
            <w:tcW w:type="dxa" w:w="7200"/>
          </w:tcPr>
          <w:p>
            <w:r/>
            <w:r>
              <w:rPr>
                <w:sz w:val="19"/>
              </w:rPr>
              <w:t>Extract IOCs and correlate samples into campaigns.</w:t>
            </w:r>
          </w:p>
        </w:tc>
      </w:tr>
    </w:tbl>
    <w:p>
      <w:pPr>
        <w:spacing w:after="40"/>
      </w:pPr>
    </w:p>
    <w:p>
      <w:pPr>
        <w:spacing w:after="40"/>
      </w:pPr>
      <w:r>
        <w:rPr>
          <w:b w:val="0"/>
          <w:i/>
        </w:rPr>
        <w:t>Public interface:</w:t>
      </w:r>
    </w:p>
    <w:tbl>
      <w:tblPr>
        <w:tblStyle w:val="TableGrid"/>
        <w:tblW w:type="auto" w:w="0"/>
        <w:tblLook w:firstColumn="1" w:firstRow="1" w:lastColumn="0" w:lastRow="0" w:noHBand="0" w:noVBand="1" w:val="04A0"/>
      </w:tblPr>
      <w:tblGrid>
        <w:gridCol w:w="8640"/>
      </w:tblGrid>
      <w:tr>
        <w:tc>
          <w:tcPr>
            <w:tcW w:type="dxa" w:w="8640"/>
            <w:shd w:val="clear" w:color="auto" w:fill="F1F5F6"/>
          </w:tcPr>
          <w:p>
            <w:pPr>
              <w:spacing w:after="0" w:line="240" w:lineRule="auto"/>
            </w:pPr>
            <w:r/>
            <w:r>
              <w:rPr>
                <w:rFonts w:ascii="Consolas" w:hAnsi="Consolas"/>
                <w:color w:val="122A30"/>
                <w:sz w:val="17"/>
              </w:rPr>
              <w:t>extract_iocs(sample: dict) -&gt; dict[str, str]</w:t>
            </w:r>
          </w:p>
          <w:p>
            <w:pPr>
              <w:spacing w:after="0" w:line="240" w:lineRule="auto"/>
            </w:pPr>
            <w:r>
              <w:rPr>
                <w:rFonts w:ascii="Consolas" w:hAnsi="Consolas"/>
                <w:color w:val="122A30"/>
                <w:sz w:val="17"/>
              </w:rPr>
              <w:t>get_campaigns() -&gt; pandas.DataFrame</w:t>
            </w:r>
          </w:p>
          <w:p>
            <w:pPr>
              <w:spacing w:after="0" w:line="240" w:lineRule="auto"/>
            </w:pPr>
            <w:r>
              <w:rPr>
                <w:rFonts w:ascii="Consolas" w:hAnsi="Consolas"/>
                <w:color w:val="122A30"/>
                <w:sz w:val="17"/>
              </w:rPr>
              <w:t>get_trend() -&gt; pandas.DataFrame</w:t>
            </w:r>
          </w:p>
        </w:tc>
      </w:tr>
    </w:tbl>
    <w:p>
      <w:pPr>
        <w:spacing w:after="40"/>
      </w:pPr>
    </w:p>
    <w:p>
      <w:pPr>
        <w:spacing w:after="40"/>
      </w:pPr>
      <w:r>
        <w:rPr>
          <w:b w:val="0"/>
          <w:i/>
        </w:rPr>
        <w:t>Design notes:</w:t>
      </w:r>
    </w:p>
    <w:p>
      <w:pPr>
        <w:pStyle w:val="ListBullet"/>
      </w:pPr>
      <w:r>
        <w:t>extract_iocs() returns indicators in a documented format (TI-FR-01/05).</w:t>
      </w:r>
    </w:p>
    <w:p>
      <w:pPr>
        <w:pStyle w:val="ListBullet"/>
      </w:pPr>
      <w:r>
        <w:t>get_campaigns() correlates by shared IOC/infrastructure and feeds the Campaign View (TI-FR-04/06).</w:t>
      </w:r>
    </w:p>
    <w:p>
      <w:pPr>
        <w:pStyle w:val="Heading2"/>
      </w:pPr>
      <w:r>
        <w:t>4.5 Human Manipulation Analyzer</w:t>
      </w:r>
    </w:p>
    <w:tbl>
      <w:tblPr>
        <w:tblStyle w:val="TableGrid"/>
        <w:tblW w:type="auto" w:w="0"/>
        <w:tblLook w:firstColumn="1" w:firstRow="1" w:lastColumn="0" w:lastRow="0" w:noHBand="0" w:noVBand="1" w:val="04A0"/>
      </w:tblPr>
      <w:tblGrid>
        <w:gridCol w:w="4320"/>
        <w:gridCol w:w="4320"/>
      </w:tblGrid>
      <w:tr>
        <w:tc>
          <w:tcPr>
            <w:tcW w:type="dxa" w:w="2448"/>
            <w:shd w:val="clear" w:color="auto" w:fill="EAF1F4"/>
          </w:tcPr>
          <w:p>
            <w:r/>
            <w:r>
              <w:rPr>
                <w:b/>
                <w:sz w:val="19"/>
              </w:rPr>
              <w:t>Location</w:t>
            </w:r>
          </w:p>
        </w:tc>
        <w:tc>
          <w:tcPr>
            <w:tcW w:type="dxa" w:w="7200"/>
          </w:tcPr>
          <w:p>
            <w:r/>
            <w:r>
              <w:rPr>
                <w:sz w:val="19"/>
              </w:rPr>
              <w:t>threatlens/modules/human_manipulation.py</w:t>
            </w:r>
          </w:p>
        </w:tc>
      </w:tr>
      <w:tr>
        <w:tc>
          <w:tcPr>
            <w:tcW w:type="dxa" w:w="2448"/>
            <w:shd w:val="clear" w:color="auto" w:fill="EAF1F4"/>
          </w:tcPr>
          <w:p>
            <w:r/>
            <w:r>
              <w:rPr>
                <w:b/>
                <w:sz w:val="19"/>
              </w:rPr>
              <w:t>Realizes (SRD)</w:t>
            </w:r>
          </w:p>
        </w:tc>
        <w:tc>
          <w:tcPr>
            <w:tcW w:type="dxa" w:w="7200"/>
          </w:tcPr>
          <w:p>
            <w:r/>
            <w:r>
              <w:rPr>
                <w:sz w:val="19"/>
              </w:rPr>
              <w:t>HM-FR-01, HM-FR-03, HM-FR-05</w:t>
            </w:r>
          </w:p>
        </w:tc>
      </w:tr>
      <w:tr>
        <w:tc>
          <w:tcPr>
            <w:tcW w:type="dxa" w:w="2448"/>
            <w:shd w:val="clear" w:color="auto" w:fill="EAF1F4"/>
          </w:tcPr>
          <w:p>
            <w:r/>
            <w:r>
              <w:rPr>
                <w:b/>
                <w:sz w:val="19"/>
              </w:rPr>
              <w:t>Responsibility</w:t>
            </w:r>
          </w:p>
        </w:tc>
        <w:tc>
          <w:tcPr>
            <w:tcW w:type="dxa" w:w="7200"/>
          </w:tcPr>
          <w:p>
            <w:r/>
            <w:r>
              <w:rPr>
                <w:sz w:val="19"/>
              </w:rPr>
              <w:t>Detect psychological manipulation techniques in a sample.</w:t>
            </w:r>
          </w:p>
        </w:tc>
      </w:tr>
    </w:tbl>
    <w:p>
      <w:pPr>
        <w:spacing w:after="40"/>
      </w:pPr>
    </w:p>
    <w:p>
      <w:pPr>
        <w:spacing w:after="40"/>
      </w:pPr>
      <w:r>
        <w:rPr>
          <w:b w:val="0"/>
          <w:i/>
        </w:rPr>
        <w:t>Public interface:</w:t>
      </w:r>
    </w:p>
    <w:tbl>
      <w:tblPr>
        <w:tblStyle w:val="TableGrid"/>
        <w:tblW w:type="auto" w:w="0"/>
        <w:tblLook w:firstColumn="1" w:firstRow="1" w:lastColumn="0" w:lastRow="0" w:noHBand="0" w:noVBand="1" w:val="04A0"/>
      </w:tblPr>
      <w:tblGrid>
        <w:gridCol w:w="8640"/>
      </w:tblGrid>
      <w:tr>
        <w:tc>
          <w:tcPr>
            <w:tcW w:type="dxa" w:w="8640"/>
            <w:shd w:val="clear" w:color="auto" w:fill="F1F5F6"/>
          </w:tcPr>
          <w:p>
            <w:pPr>
              <w:spacing w:after="0" w:line="240" w:lineRule="auto"/>
            </w:pPr>
            <w:r/>
            <w:r>
              <w:rPr>
                <w:rFonts w:ascii="Consolas" w:hAnsi="Consolas"/>
                <w:color w:val="122A30"/>
                <w:sz w:val="17"/>
              </w:rPr>
              <w:t>analyze(sample: dict) -&gt; dict[str, bool]</w:t>
            </w:r>
          </w:p>
        </w:tc>
      </w:tr>
    </w:tbl>
    <w:p>
      <w:pPr>
        <w:spacing w:after="40"/>
      </w:pPr>
    </w:p>
    <w:p>
      <w:pPr>
        <w:spacing w:after="40"/>
      </w:pPr>
      <w:r>
        <w:rPr>
          <w:b w:val="0"/>
          <w:i/>
        </w:rPr>
        <w:t>Design notes:</w:t>
      </w:r>
    </w:p>
    <w:p>
      <w:pPr>
        <w:pStyle w:val="ListBullet"/>
      </w:pPr>
      <w:r>
        <w:t>Technique set from config.MANIPULATION_TECHNIQUES (fear, urgency, authority, curiosity, reward).</w:t>
      </w:r>
    </w:p>
    <w:p>
      <w:pPr>
        <w:pStyle w:val="ListBullet"/>
      </w:pPr>
      <w:r>
        <w:t>Detected techniques are to be linked to their triggering evidence (HM-FR-03) and exposed as behavioral features for the ML engine (HM-FR-05).</w:t>
      </w:r>
    </w:p>
    <w:p>
      <w:pPr>
        <w:pStyle w:val="Heading2"/>
      </w:pPr>
      <w:r>
        <w:t>4.6 Machine Learning Engine</w:t>
      </w:r>
    </w:p>
    <w:tbl>
      <w:tblPr>
        <w:tblStyle w:val="TableGrid"/>
        <w:tblW w:type="auto" w:w="0"/>
        <w:tblLook w:firstColumn="1" w:firstRow="1" w:lastColumn="0" w:lastRow="0" w:noHBand="0" w:noVBand="1" w:val="04A0"/>
      </w:tblPr>
      <w:tblGrid>
        <w:gridCol w:w="4320"/>
        <w:gridCol w:w="4320"/>
      </w:tblGrid>
      <w:tr>
        <w:tc>
          <w:tcPr>
            <w:tcW w:type="dxa" w:w="2448"/>
            <w:shd w:val="clear" w:color="auto" w:fill="EAF1F4"/>
          </w:tcPr>
          <w:p>
            <w:r/>
            <w:r>
              <w:rPr>
                <w:b/>
                <w:sz w:val="19"/>
              </w:rPr>
              <w:t>Location</w:t>
            </w:r>
          </w:p>
        </w:tc>
        <w:tc>
          <w:tcPr>
            <w:tcW w:type="dxa" w:w="7200"/>
          </w:tcPr>
          <w:p>
            <w:r/>
            <w:r>
              <w:rPr>
                <w:sz w:val="19"/>
              </w:rPr>
              <w:t>threatlens/modules/ml_engine.py</w:t>
            </w:r>
          </w:p>
        </w:tc>
      </w:tr>
      <w:tr>
        <w:tc>
          <w:tcPr>
            <w:tcW w:type="dxa" w:w="2448"/>
            <w:shd w:val="clear" w:color="auto" w:fill="EAF1F4"/>
          </w:tcPr>
          <w:p>
            <w:r/>
            <w:r>
              <w:rPr>
                <w:b/>
                <w:sz w:val="19"/>
              </w:rPr>
              <w:t>Realizes (SRD)</w:t>
            </w:r>
          </w:p>
        </w:tc>
        <w:tc>
          <w:tcPr>
            <w:tcW w:type="dxa" w:w="7200"/>
          </w:tcPr>
          <w:p>
            <w:r/>
            <w:r>
              <w:rPr>
                <w:sz w:val="19"/>
              </w:rPr>
              <w:t>ML-FR-01, ML-FR-02, ML-FR-03, ML-FR-04, ML-FR-06</w:t>
            </w:r>
          </w:p>
        </w:tc>
      </w:tr>
      <w:tr>
        <w:tc>
          <w:tcPr>
            <w:tcW w:type="dxa" w:w="2448"/>
            <w:shd w:val="clear" w:color="auto" w:fill="EAF1F4"/>
          </w:tcPr>
          <w:p>
            <w:r/>
            <w:r>
              <w:rPr>
                <w:b/>
                <w:sz w:val="19"/>
              </w:rPr>
              <w:t>Responsibility</w:t>
            </w:r>
          </w:p>
        </w:tc>
        <w:tc>
          <w:tcPr>
            <w:tcW w:type="dxa" w:w="7200"/>
          </w:tcPr>
          <w:p>
            <w:r/>
            <w:r>
              <w:rPr>
                <w:sz w:val="19"/>
              </w:rPr>
              <w:t>Train, evaluate, compare and serve classification models.</w:t>
            </w:r>
          </w:p>
        </w:tc>
      </w:tr>
    </w:tbl>
    <w:p>
      <w:pPr>
        <w:spacing w:after="40"/>
      </w:pPr>
    </w:p>
    <w:p>
      <w:pPr>
        <w:spacing w:after="40"/>
      </w:pPr>
      <w:r>
        <w:rPr>
          <w:b w:val="0"/>
          <w:i/>
        </w:rPr>
        <w:t>Public interface:</w:t>
      </w:r>
    </w:p>
    <w:tbl>
      <w:tblPr>
        <w:tblStyle w:val="TableGrid"/>
        <w:tblW w:type="auto" w:w="0"/>
        <w:tblLook w:firstColumn="1" w:firstRow="1" w:lastColumn="0" w:lastRow="0" w:noHBand="0" w:noVBand="1" w:val="04A0"/>
      </w:tblPr>
      <w:tblGrid>
        <w:gridCol w:w="8640"/>
      </w:tblGrid>
      <w:tr>
        <w:tc>
          <w:tcPr>
            <w:tcW w:type="dxa" w:w="8640"/>
            <w:shd w:val="clear" w:color="auto" w:fill="F1F5F6"/>
          </w:tcPr>
          <w:p>
            <w:pPr>
              <w:spacing w:after="0" w:line="240" w:lineRule="auto"/>
            </w:pPr>
            <w:r/>
            <w:r>
              <w:rPr>
                <w:rFonts w:ascii="Consolas" w:hAnsi="Consolas"/>
                <w:color w:val="122A30"/>
                <w:sz w:val="17"/>
              </w:rPr>
              <w:t>predict(sample: dict) -&gt; dict</w:t>
            </w:r>
          </w:p>
          <w:p>
            <w:pPr>
              <w:spacing w:after="0" w:line="240" w:lineRule="auto"/>
            </w:pPr>
            <w:r>
              <w:rPr>
                <w:rFonts w:ascii="Consolas" w:hAnsi="Consolas"/>
                <w:color w:val="122A30"/>
                <w:sz w:val="17"/>
              </w:rPr>
              <w:t>get_model_comparison() -&gt; pandas.DataFrame</w:t>
            </w:r>
          </w:p>
          <w:p>
            <w:pPr>
              <w:spacing w:after="0" w:line="240" w:lineRule="auto"/>
            </w:pPr>
            <w:r>
              <w:rPr>
                <w:rFonts w:ascii="Consolas" w:hAnsi="Consolas"/>
                <w:color w:val="122A30"/>
                <w:sz w:val="17"/>
              </w:rPr>
              <w:t>train(dataset: pandas.DataFrame)  # trains &amp; compares 4 models</w:t>
            </w:r>
          </w:p>
        </w:tc>
      </w:tr>
    </w:tbl>
    <w:p>
      <w:pPr>
        <w:spacing w:after="40"/>
      </w:pPr>
    </w:p>
    <w:p>
      <w:pPr>
        <w:spacing w:after="40"/>
      </w:pPr>
      <w:r>
        <w:rPr>
          <w:b w:val="0"/>
          <w:i/>
        </w:rPr>
        <w:t>Design notes:</w:t>
      </w:r>
    </w:p>
    <w:p>
      <w:pPr>
        <w:pStyle w:val="ListBullet"/>
      </w:pPr>
      <w:r>
        <w:t>Heavy ML libraries are imported lazily inside train() so the UI runs before they are installed.</w:t>
      </w:r>
    </w:p>
    <w:p>
      <w:pPr>
        <w:pStyle w:val="ListBullet"/>
      </w:pPr>
      <w:r>
        <w:t>get_model_comparison() reports accuracy/precision/recall per model (ML-FR-03/04).</w:t>
      </w:r>
    </w:p>
    <w:p>
      <w:pPr>
        <w:pStyle w:val="ListBullet"/>
      </w:pPr>
      <w:r>
        <w:t>Trained models are persisted for reuse by XAI and the dashboard (ML-FR-06).</w:t>
      </w:r>
    </w:p>
    <w:p>
      <w:pPr>
        <w:pStyle w:val="Heading2"/>
      </w:pPr>
      <w:r>
        <w:t>4.7 Explainable AI Module</w:t>
      </w:r>
    </w:p>
    <w:tbl>
      <w:tblPr>
        <w:tblStyle w:val="TableGrid"/>
        <w:tblW w:type="auto" w:w="0"/>
        <w:tblLook w:firstColumn="1" w:firstRow="1" w:lastColumn="0" w:lastRow="0" w:noHBand="0" w:noVBand="1" w:val="04A0"/>
      </w:tblPr>
      <w:tblGrid>
        <w:gridCol w:w="4320"/>
        <w:gridCol w:w="4320"/>
      </w:tblGrid>
      <w:tr>
        <w:tc>
          <w:tcPr>
            <w:tcW w:type="dxa" w:w="2448"/>
            <w:shd w:val="clear" w:color="auto" w:fill="EAF1F4"/>
          </w:tcPr>
          <w:p>
            <w:r/>
            <w:r>
              <w:rPr>
                <w:b/>
                <w:sz w:val="19"/>
              </w:rPr>
              <w:t>Location</w:t>
            </w:r>
          </w:p>
        </w:tc>
        <w:tc>
          <w:tcPr>
            <w:tcW w:type="dxa" w:w="7200"/>
          </w:tcPr>
          <w:p>
            <w:r/>
            <w:r>
              <w:rPr>
                <w:sz w:val="19"/>
              </w:rPr>
              <w:t>threatlens/modules/explainability.py</w:t>
            </w:r>
          </w:p>
        </w:tc>
      </w:tr>
      <w:tr>
        <w:tc>
          <w:tcPr>
            <w:tcW w:type="dxa" w:w="2448"/>
            <w:shd w:val="clear" w:color="auto" w:fill="EAF1F4"/>
          </w:tcPr>
          <w:p>
            <w:r/>
            <w:r>
              <w:rPr>
                <w:b/>
                <w:sz w:val="19"/>
              </w:rPr>
              <w:t>Realizes (SRD)</w:t>
            </w:r>
          </w:p>
        </w:tc>
        <w:tc>
          <w:tcPr>
            <w:tcW w:type="dxa" w:w="7200"/>
          </w:tcPr>
          <w:p>
            <w:r/>
            <w:r>
              <w:rPr>
                <w:sz w:val="19"/>
              </w:rPr>
              <w:t>XAI-FR-01, XAI-FR-02, XAI-FR-03, XAI-FR-04</w:t>
            </w:r>
          </w:p>
        </w:tc>
      </w:tr>
      <w:tr>
        <w:tc>
          <w:tcPr>
            <w:tcW w:type="dxa" w:w="2448"/>
            <w:shd w:val="clear" w:color="auto" w:fill="EAF1F4"/>
          </w:tcPr>
          <w:p>
            <w:r/>
            <w:r>
              <w:rPr>
                <w:b/>
                <w:sz w:val="19"/>
              </w:rPr>
              <w:t>Responsibility</w:t>
            </w:r>
          </w:p>
        </w:tc>
        <w:tc>
          <w:tcPr>
            <w:tcW w:type="dxa" w:w="7200"/>
          </w:tcPr>
          <w:p>
            <w:r/>
            <w:r>
              <w:rPr>
                <w:sz w:val="19"/>
              </w:rPr>
              <w:t>Turn a prediction into a weighted, human-readable explanation.</w:t>
            </w:r>
          </w:p>
        </w:tc>
      </w:tr>
    </w:tbl>
    <w:p>
      <w:pPr>
        <w:spacing w:after="40"/>
      </w:pPr>
    </w:p>
    <w:p>
      <w:pPr>
        <w:spacing w:after="40"/>
      </w:pPr>
      <w:r>
        <w:rPr>
          <w:b w:val="0"/>
          <w:i/>
        </w:rPr>
        <w:t>Public interface:</w:t>
      </w:r>
    </w:p>
    <w:tbl>
      <w:tblPr>
        <w:tblStyle w:val="TableGrid"/>
        <w:tblW w:type="auto" w:w="0"/>
        <w:tblLook w:firstColumn="1" w:firstRow="1" w:lastColumn="0" w:lastRow="0" w:noHBand="0" w:noVBand="1" w:val="04A0"/>
      </w:tblPr>
      <w:tblGrid>
        <w:gridCol w:w="8640"/>
      </w:tblGrid>
      <w:tr>
        <w:tc>
          <w:tcPr>
            <w:tcW w:type="dxa" w:w="8640"/>
            <w:shd w:val="clear" w:color="auto" w:fill="F1F5F6"/>
          </w:tcPr>
          <w:p>
            <w:pPr>
              <w:spacing w:after="0" w:line="240" w:lineRule="auto"/>
            </w:pPr>
            <w:r/>
            <w:r>
              <w:rPr>
                <w:rFonts w:ascii="Consolas" w:hAnsi="Consolas"/>
                <w:color w:val="122A30"/>
                <w:sz w:val="17"/>
              </w:rPr>
              <w:t>explain(sample: dict) -&gt; list[tuple[str, int]]   # (factor, weight%)</w:t>
            </w:r>
          </w:p>
          <w:p>
            <w:pPr>
              <w:spacing w:after="0" w:line="240" w:lineRule="auto"/>
            </w:pPr>
            <w:r>
              <w:rPr>
                <w:rFonts w:ascii="Consolas" w:hAnsi="Consolas"/>
                <w:color w:val="122A30"/>
                <w:sz w:val="17"/>
              </w:rPr>
              <w:t>global_feature_importance() -&gt; pandas.DataFrame</w:t>
            </w:r>
          </w:p>
        </w:tc>
      </w:tr>
    </w:tbl>
    <w:p>
      <w:pPr>
        <w:spacing w:after="40"/>
      </w:pPr>
    </w:p>
    <w:p>
      <w:pPr>
        <w:spacing w:after="40"/>
      </w:pPr>
      <w:r>
        <w:rPr>
          <w:b w:val="0"/>
          <w:i/>
        </w:rPr>
        <w:t>Design notes:</w:t>
      </w:r>
    </w:p>
    <w:p>
      <w:pPr>
        <w:pStyle w:val="ListBullet"/>
      </w:pPr>
      <w:r>
        <w:t>explain() returns ranked factors with relative weights (~100%) per the SRD example (XAI-FR-01/02/03).</w:t>
      </w:r>
    </w:p>
    <w:p>
      <w:pPr>
        <w:pStyle w:val="ListBullet"/>
      </w:pPr>
      <w:r>
        <w:t>To be computed with SHAP/LIME over the trained model (XAI-FR-04).</w:t>
      </w:r>
    </w:p>
    <w:p>
      <w:pPr>
        <w:pStyle w:val="Heading2"/>
      </w:pPr>
      <w:r>
        <w:t>4.8 Reporting &amp; Dataset Export</w:t>
      </w:r>
    </w:p>
    <w:tbl>
      <w:tblPr>
        <w:tblStyle w:val="TableGrid"/>
        <w:tblW w:type="auto" w:w="0"/>
        <w:tblLook w:firstColumn="1" w:firstRow="1" w:lastColumn="0" w:lastRow="0" w:noHBand="0" w:noVBand="1" w:val="04A0"/>
      </w:tblPr>
      <w:tblGrid>
        <w:gridCol w:w="4320"/>
        <w:gridCol w:w="4320"/>
      </w:tblGrid>
      <w:tr>
        <w:tc>
          <w:tcPr>
            <w:tcW w:type="dxa" w:w="2448"/>
            <w:shd w:val="clear" w:color="auto" w:fill="EAF1F4"/>
          </w:tcPr>
          <w:p>
            <w:r/>
            <w:r>
              <w:rPr>
                <w:b/>
                <w:sz w:val="19"/>
              </w:rPr>
              <w:t>Location</w:t>
            </w:r>
          </w:p>
        </w:tc>
        <w:tc>
          <w:tcPr>
            <w:tcW w:type="dxa" w:w="7200"/>
          </w:tcPr>
          <w:p>
            <w:r/>
            <w:r>
              <w:rPr>
                <w:sz w:val="19"/>
              </w:rPr>
              <w:t>threatlens/modules/reporting.py</w:t>
            </w:r>
          </w:p>
        </w:tc>
      </w:tr>
      <w:tr>
        <w:tc>
          <w:tcPr>
            <w:tcW w:type="dxa" w:w="2448"/>
            <w:shd w:val="clear" w:color="auto" w:fill="EAF1F4"/>
          </w:tcPr>
          <w:p>
            <w:r/>
            <w:r>
              <w:rPr>
                <w:b/>
                <w:sz w:val="19"/>
              </w:rPr>
              <w:t>Realizes (SRD)</w:t>
            </w:r>
          </w:p>
        </w:tc>
        <w:tc>
          <w:tcPr>
            <w:tcW w:type="dxa" w:w="7200"/>
          </w:tcPr>
          <w:p>
            <w:r/>
            <w:r>
              <w:rPr>
                <w:sz w:val="19"/>
              </w:rPr>
              <w:t>REP-FR-01, REP-FR-02, REP-FR-03</w:t>
            </w:r>
          </w:p>
        </w:tc>
      </w:tr>
      <w:tr>
        <w:tc>
          <w:tcPr>
            <w:tcW w:type="dxa" w:w="2448"/>
            <w:shd w:val="clear" w:color="auto" w:fill="EAF1F4"/>
          </w:tcPr>
          <w:p>
            <w:r/>
            <w:r>
              <w:rPr>
                <w:b/>
                <w:sz w:val="19"/>
              </w:rPr>
              <w:t>Responsibility</w:t>
            </w:r>
          </w:p>
        </w:tc>
        <w:tc>
          <w:tcPr>
            <w:tcW w:type="dxa" w:w="7200"/>
          </w:tcPr>
          <w:p>
            <w:r/>
            <w:r>
              <w:rPr>
                <w:sz w:val="19"/>
              </w:rPr>
              <w:t>Package platform outputs into shareable artifacts.</w:t>
            </w:r>
          </w:p>
        </w:tc>
      </w:tr>
    </w:tbl>
    <w:p>
      <w:pPr>
        <w:spacing w:after="40"/>
      </w:pPr>
    </w:p>
    <w:p>
      <w:pPr>
        <w:spacing w:after="40"/>
      </w:pPr>
      <w:r>
        <w:rPr>
          <w:b w:val="0"/>
          <w:i/>
        </w:rPr>
        <w:t>Public interface:</w:t>
      </w:r>
    </w:p>
    <w:tbl>
      <w:tblPr>
        <w:tblStyle w:val="TableGrid"/>
        <w:tblW w:type="auto" w:w="0"/>
        <w:tblLook w:firstColumn="1" w:firstRow="1" w:lastColumn="0" w:lastRow="0" w:noHBand="0" w:noVBand="1" w:val="04A0"/>
      </w:tblPr>
      <w:tblGrid>
        <w:gridCol w:w="8640"/>
      </w:tblGrid>
      <w:tr>
        <w:tc>
          <w:tcPr>
            <w:tcW w:type="dxa" w:w="8640"/>
            <w:shd w:val="clear" w:color="auto" w:fill="F1F5F6"/>
          </w:tcPr>
          <w:p>
            <w:pPr>
              <w:spacing w:after="0" w:line="240" w:lineRule="auto"/>
            </w:pPr>
            <w:r/>
            <w:r>
              <w:rPr>
                <w:rFonts w:ascii="Consolas" w:hAnsi="Consolas"/>
                <w:color w:val="122A30"/>
                <w:sz w:val="17"/>
              </w:rPr>
              <w:t>export_dataset_csv() -&gt; bytes</w:t>
            </w:r>
          </w:p>
          <w:p>
            <w:pPr>
              <w:spacing w:after="0" w:line="240" w:lineRule="auto"/>
            </w:pPr>
            <w:r>
              <w:rPr>
                <w:rFonts w:ascii="Consolas" w:hAnsi="Consolas"/>
                <w:color w:val="122A30"/>
                <w:sz w:val="17"/>
              </w:rPr>
              <w:t>export_taxonomy_json() -&gt; bytes</w:t>
            </w:r>
          </w:p>
          <w:p>
            <w:pPr>
              <w:spacing w:after="0" w:line="240" w:lineRule="auto"/>
            </w:pPr>
            <w:r>
              <w:rPr>
                <w:rFonts w:ascii="Consolas" w:hAnsi="Consolas"/>
                <w:color w:val="122A30"/>
                <w:sz w:val="17"/>
              </w:rPr>
              <w:t>build_report() -&gt; bytes</w:t>
            </w:r>
          </w:p>
        </w:tc>
      </w:tr>
    </w:tbl>
    <w:p>
      <w:pPr>
        <w:spacing w:after="40"/>
      </w:pPr>
    </w:p>
    <w:p>
      <w:pPr>
        <w:spacing w:after="40"/>
      </w:pPr>
      <w:r>
        <w:rPr>
          <w:b w:val="0"/>
          <w:i/>
        </w:rPr>
        <w:t>Design notes:</w:t>
      </w:r>
    </w:p>
    <w:p>
      <w:pPr>
        <w:pStyle w:val="ListBullet"/>
      </w:pPr>
      <w:r>
        <w:t>Return bytes so the UI can offer direct downloads via st.download_button.</w:t>
      </w:r>
    </w:p>
    <w:p>
      <w:pPr>
        <w:pStyle w:val="ListBullet"/>
      </w:pPr>
      <w:r>
        <w:t>Covers dataset (REP-FR-01), taxonomy (REP-FR-02) and technical report (REP-FR-03).</w:t>
      </w:r>
    </w:p>
    <w:p>
      <w:pPr>
        <w:pStyle w:val="Heading2"/>
      </w:pPr>
      <w:r>
        <w:t>4.9 UI Layer (Dashboard)</w:t>
      </w:r>
    </w:p>
    <w:tbl>
      <w:tblPr>
        <w:tblStyle w:val="TableGrid"/>
        <w:tblW w:type="auto" w:w="0"/>
        <w:tblLook w:firstColumn="1" w:firstRow="1" w:lastColumn="0" w:lastRow="0" w:noHBand="0" w:noVBand="1" w:val="04A0"/>
      </w:tblPr>
      <w:tblGrid>
        <w:gridCol w:w="4320"/>
        <w:gridCol w:w="4320"/>
      </w:tblGrid>
      <w:tr>
        <w:tc>
          <w:tcPr>
            <w:tcW w:type="dxa" w:w="2448"/>
            <w:shd w:val="clear" w:color="auto" w:fill="EAF1F4"/>
          </w:tcPr>
          <w:p>
            <w:r/>
            <w:r>
              <w:rPr>
                <w:b/>
                <w:sz w:val="19"/>
              </w:rPr>
              <w:t>Location</w:t>
            </w:r>
          </w:p>
        </w:tc>
        <w:tc>
          <w:tcPr>
            <w:tcW w:type="dxa" w:w="7200"/>
          </w:tcPr>
          <w:p>
            <w:r/>
            <w:r>
              <w:rPr>
                <w:sz w:val="19"/>
              </w:rPr>
              <w:t>threatlens/ui/ (campaign_view, email_analysis_view, research_view, style.py)</w:t>
            </w:r>
          </w:p>
        </w:tc>
      </w:tr>
      <w:tr>
        <w:tc>
          <w:tcPr>
            <w:tcW w:type="dxa" w:w="2448"/>
            <w:shd w:val="clear" w:color="auto" w:fill="EAF1F4"/>
          </w:tcPr>
          <w:p>
            <w:r/>
            <w:r>
              <w:rPr>
                <w:b/>
                <w:sz w:val="19"/>
              </w:rPr>
              <w:t>Realizes (SRD)</w:t>
            </w:r>
          </w:p>
        </w:tc>
        <w:tc>
          <w:tcPr>
            <w:tcW w:type="dxa" w:w="7200"/>
          </w:tcPr>
          <w:p>
            <w:r/>
            <w:r>
              <w:rPr>
                <w:sz w:val="19"/>
              </w:rPr>
              <w:t>DASH-FR-01, DASH-FR-02, DASH-FR-03, DASH-FR-04, DASH-FR-06</w:t>
            </w:r>
          </w:p>
        </w:tc>
      </w:tr>
      <w:tr>
        <w:tc>
          <w:tcPr>
            <w:tcW w:type="dxa" w:w="2448"/>
            <w:shd w:val="clear" w:color="auto" w:fill="EAF1F4"/>
          </w:tcPr>
          <w:p>
            <w:r/>
            <w:r>
              <w:rPr>
                <w:b/>
                <w:sz w:val="19"/>
              </w:rPr>
              <w:t>Responsibility</w:t>
            </w:r>
          </w:p>
        </w:tc>
        <w:tc>
          <w:tcPr>
            <w:tcW w:type="dxa" w:w="7200"/>
          </w:tcPr>
          <w:p>
            <w:r/>
            <w:r>
              <w:rPr>
                <w:sz w:val="19"/>
              </w:rPr>
              <w:t>Render the three views and orchestrate calls to the modules.</w:t>
            </w:r>
          </w:p>
        </w:tc>
      </w:tr>
    </w:tbl>
    <w:p>
      <w:pPr>
        <w:spacing w:after="40"/>
      </w:pPr>
    </w:p>
    <w:p>
      <w:pPr>
        <w:spacing w:after="40"/>
      </w:pPr>
      <w:r>
        <w:rPr>
          <w:b w:val="0"/>
          <w:i/>
        </w:rPr>
        <w:t>Each view exposes a single render() function called by app.py based on the sidebar selection:</w:t>
      </w:r>
    </w:p>
    <w:tbl>
      <w:tblPr>
        <w:tblStyle w:val="TableGrid"/>
        <w:tblW w:type="auto" w:w="0"/>
        <w:tblLook w:firstColumn="1" w:firstRow="1" w:lastColumn="0" w:lastRow="0" w:noHBand="0" w:noVBand="1" w:val="04A0"/>
      </w:tblPr>
      <w:tblGrid>
        <w:gridCol w:w="8640"/>
      </w:tblGrid>
      <w:tr>
        <w:tc>
          <w:tcPr>
            <w:tcW w:type="dxa" w:w="8640"/>
            <w:shd w:val="clear" w:color="auto" w:fill="F1F5F6"/>
          </w:tcPr>
          <w:p>
            <w:pPr>
              <w:spacing w:after="0" w:line="240" w:lineRule="auto"/>
            </w:pPr>
            <w:r/>
            <w:r>
              <w:rPr>
                <w:rFonts w:ascii="Consolas" w:hAnsi="Consolas"/>
                <w:color w:val="122A30"/>
                <w:sz w:val="17"/>
              </w:rPr>
              <w:t>campaign_view.render()        # DASH-FR-01  trends, techniques, timeline</w:t>
            </w:r>
          </w:p>
          <w:p>
            <w:pPr>
              <w:spacing w:after="0" w:line="240" w:lineRule="auto"/>
            </w:pPr>
            <w:r>
              <w:rPr>
                <w:rFonts w:ascii="Consolas" w:hAnsi="Consolas"/>
                <w:color w:val="122A30"/>
                <w:sz w:val="17"/>
              </w:rPr>
              <w:t>email_analysis_view.render()  # DASH-FR-02  verdict, explanation, IOCs</w:t>
            </w:r>
          </w:p>
          <w:p>
            <w:pPr>
              <w:spacing w:after="0" w:line="240" w:lineRule="auto"/>
            </w:pPr>
            <w:r>
              <w:rPr>
                <w:rFonts w:ascii="Consolas" w:hAnsi="Consolas"/>
                <w:color w:val="122A30"/>
                <w:sz w:val="17"/>
              </w:rPr>
              <w:t>research_view.render()        # DASH-FR-03  stats, model comparison, export</w:t>
            </w:r>
          </w:p>
          <w:p>
            <w:pPr>
              <w:spacing w:after="0" w:line="240" w:lineRule="auto"/>
            </w:pPr>
            <w:r>
              <w:rPr>
                <w:rFonts w:ascii="Consolas" w:hAnsi="Consolas"/>
                <w:color w:val="122A30"/>
                <w:sz w:val="17"/>
              </w:rPr>
              <w:t>style.inject_css(); style.weighted_bars(...); style.verdict_card(...)  # shared helpers</w:t>
            </w:r>
          </w:p>
        </w:tc>
      </w:tr>
    </w:tbl>
    <w:p>
      <w:pPr>
        <w:spacing w:after="40"/>
      </w:pPr>
    </w:p>
    <w:p>
      <w:pPr>
        <w:pStyle w:val="ListBullet"/>
      </w:pPr>
      <w:r>
        <w:t>Views are thin: they call module functions and render results, keeping logic out of the UI.</w:t>
      </w:r>
    </w:p>
    <w:p>
      <w:pPr>
        <w:pStyle w:val="ListBullet"/>
      </w:pPr>
      <w:r>
        <w:t>style.py centralizes the console theme and reusable render helpers (DASH-FR-06).</w:t>
      </w:r>
    </w:p>
    <w:p>
      <w:r>
        <w:br w:type="page"/>
      </w:r>
    </w:p>
    <w:p>
      <w:pPr>
        <w:pStyle w:val="Heading1"/>
      </w:pPr>
      <w:r>
        <w:t>5. Interface Design</w:t>
      </w:r>
    </w:p>
    <w:p>
      <w:pPr>
        <w:pStyle w:val="Heading2"/>
      </w:pPr>
      <w:r>
        <w:t>5.1 Internal interfaces</w:t>
      </w:r>
    </w:p>
    <w:p>
      <w:r>
        <w:rPr>
          <w:b w:val="0"/>
          <w:i w:val="0"/>
        </w:rPr>
        <w:t>Modules communicate through the plain function contracts in Section 4, exchanging Python dicts and pandas DataFrames. There is no network boundary between components — the whole platform runs in one process, consistent with the local-first design.</w:t>
      </w:r>
    </w:p>
    <w:p>
      <w:pPr>
        <w:pStyle w:val="Heading2"/>
      </w:pPr>
      <w:r>
        <w:t>5.2 User interface</w:t>
      </w:r>
    </w:p>
    <w:p>
      <w:r>
        <w:rPr>
          <w:b w:val="0"/>
          <w:i w:val="0"/>
        </w:rPr>
        <w:t>A persistent left rail (app.py) switches between the three views. Navigation is a single radio control; each selection dispatches to the corresponding render() (DASH-FR-04).</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44E63"/>
          </w:tcPr>
          <w:p>
            <w:r/>
            <w:r>
              <w:rPr>
                <w:b/>
                <w:color w:val="FFFFFF"/>
                <w:sz w:val="20"/>
              </w:rPr>
              <w:t>View</w:t>
            </w:r>
          </w:p>
        </w:tc>
        <w:tc>
          <w:tcPr>
            <w:tcW w:type="dxa" w:w="2880"/>
            <w:shd w:val="clear" w:color="auto" w:fill="144E63"/>
          </w:tcPr>
          <w:p>
            <w:r/>
            <w:r>
              <w:rPr>
                <w:b/>
                <w:color w:val="FFFFFF"/>
                <w:sz w:val="20"/>
              </w:rPr>
              <w:t>Primary content</w:t>
            </w:r>
          </w:p>
        </w:tc>
        <w:tc>
          <w:tcPr>
            <w:tcW w:type="dxa" w:w="2880"/>
            <w:shd w:val="clear" w:color="auto" w:fill="144E63"/>
          </w:tcPr>
          <w:p>
            <w:r/>
            <w:r>
              <w:rPr>
                <w:b/>
                <w:color w:val="FFFFFF"/>
                <w:sz w:val="20"/>
              </w:rPr>
              <w:t>SRD</w:t>
            </w:r>
          </w:p>
        </w:tc>
      </w:tr>
      <w:tr>
        <w:tc>
          <w:tcPr>
            <w:tcW w:type="dxa" w:w="2016"/>
          </w:tcPr>
          <w:p>
            <w:r/>
            <w:r>
              <w:rPr>
                <w:b/>
                <w:sz w:val="19"/>
              </w:rPr>
              <w:t>Campaigns</w:t>
            </w:r>
          </w:p>
        </w:tc>
        <w:tc>
          <w:tcPr>
            <w:tcW w:type="dxa" w:w="5616"/>
          </w:tcPr>
          <w:p>
            <w:r/>
            <w:r>
              <w:rPr>
                <w:sz w:val="19"/>
              </w:rPr>
              <w:t>KPI tiles, attack-trend chart, technique breakdown, campaign timeline</w:t>
            </w:r>
          </w:p>
        </w:tc>
        <w:tc>
          <w:tcPr>
            <w:tcW w:type="dxa" w:w="2016"/>
          </w:tcPr>
          <w:p>
            <w:r/>
            <w:r>
              <w:rPr>
                <w:sz w:val="19"/>
              </w:rPr>
              <w:t>DASH-FR-01</w:t>
            </w:r>
          </w:p>
        </w:tc>
      </w:tr>
      <w:tr>
        <w:tc>
          <w:tcPr>
            <w:tcW w:type="dxa" w:w="2016"/>
          </w:tcPr>
          <w:p>
            <w:r/>
            <w:r>
              <w:rPr>
                <w:b/>
                <w:sz w:val="19"/>
              </w:rPr>
              <w:t>Email Analysis</w:t>
            </w:r>
          </w:p>
        </w:tc>
        <w:tc>
          <w:tcPr>
            <w:tcW w:type="dxa" w:w="5616"/>
          </w:tcPr>
          <w:p>
            <w:r/>
            <w:r>
              <w:rPr>
                <w:sz w:val="19"/>
              </w:rPr>
              <w:t>Verdict gauge, weighted SHAP explanation, IOC list, manipulation chips</w:t>
            </w:r>
          </w:p>
        </w:tc>
        <w:tc>
          <w:tcPr>
            <w:tcW w:type="dxa" w:w="2016"/>
          </w:tcPr>
          <w:p>
            <w:r/>
            <w:r>
              <w:rPr>
                <w:sz w:val="19"/>
              </w:rPr>
              <w:t>DASH-FR-02</w:t>
            </w:r>
          </w:p>
        </w:tc>
      </w:tr>
      <w:tr>
        <w:tc>
          <w:tcPr>
            <w:tcW w:type="dxa" w:w="2016"/>
          </w:tcPr>
          <w:p>
            <w:r/>
            <w:r>
              <w:rPr>
                <w:b/>
                <w:sz w:val="19"/>
              </w:rPr>
              <w:t>Research</w:t>
            </w:r>
          </w:p>
        </w:tc>
        <w:tc>
          <w:tcPr>
            <w:tcW w:type="dxa" w:w="5616"/>
          </w:tcPr>
          <w:p>
            <w:r/>
            <w:r>
              <w:rPr>
                <w:sz w:val="19"/>
              </w:rPr>
              <w:t>Dataset stats, model comparison, feature importance, export buttons</w:t>
            </w:r>
          </w:p>
        </w:tc>
        <w:tc>
          <w:tcPr>
            <w:tcW w:type="dxa" w:w="2016"/>
          </w:tcPr>
          <w:p>
            <w:r/>
            <w:r>
              <w:rPr>
                <w:sz w:val="19"/>
              </w:rPr>
              <w:t>DASH-FR-03</w:t>
            </w:r>
          </w:p>
        </w:tc>
      </w:tr>
    </w:tbl>
    <w:p>
      <w:pPr>
        <w:spacing w:after="40"/>
      </w:pPr>
    </w:p>
    <w:p>
      <w:pPr>
        <w:pStyle w:val="Heading2"/>
      </w:pPr>
      <w:r>
        <w:t>5.3 External interfaces</w:t>
      </w:r>
    </w:p>
    <w:p>
      <w:pPr>
        <w:pStyle w:val="ListBullet"/>
      </w:pPr>
      <w:r>
        <w:rPr>
          <w:b/>
        </w:rPr>
        <w:t xml:space="preserve">Inbound — </w:t>
      </w:r>
      <w:r>
        <w:t>public phishing/ham datasets and file uploads (.eml/.txt) into Data Collection.</w:t>
      </w:r>
    </w:p>
    <w:p>
      <w:pPr>
        <w:pStyle w:val="ListBullet"/>
      </w:pPr>
      <w:r>
        <w:rPr>
          <w:b/>
        </w:rPr>
        <w:t xml:space="preserve">Outbound — </w:t>
      </w:r>
      <w:r>
        <w:t>dataset (CSV), taxonomy (JSON) and report exports via Reporting (REP-FR-01/02/03).</w:t>
      </w:r>
    </w:p>
    <w:p>
      <w:pPr>
        <w:pStyle w:val="ListBullet"/>
      </w:pPr>
      <w:r>
        <w:rPr>
          <w:b/>
        </w:rPr>
        <w:t xml:space="preserve">Safety — </w:t>
      </w:r>
      <w:r>
        <w:t>uploads restricted by type and size; malicious content processed locally, never executed (NFR-07).</w:t>
      </w:r>
    </w:p>
    <w:p>
      <w:r>
        <w:br w:type="page"/>
      </w:r>
    </w:p>
    <w:p>
      <w:pPr>
        <w:pStyle w:val="Heading1"/>
      </w:pPr>
      <w:r>
        <w:t>6. Deployment &amp; Operational Design</w:t>
      </w:r>
    </w:p>
    <w:p>
      <w:r>
        <w:rPr>
          <w:b w:val="0"/>
          <w:i w:val="0"/>
        </w:rPr>
        <w:t>The platform is local-first with an optional free public demo, satisfying the zero-recurring-cost constraint (NFR-01).</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44E63"/>
          </w:tcPr>
          <w:p>
            <w:r/>
            <w:r>
              <w:rPr>
                <w:b/>
                <w:color w:val="FFFFFF"/>
                <w:sz w:val="20"/>
              </w:rPr>
              <w:t>Mode</w:t>
            </w:r>
          </w:p>
        </w:tc>
        <w:tc>
          <w:tcPr>
            <w:tcW w:type="dxa" w:w="2880"/>
            <w:shd w:val="clear" w:color="auto" w:fill="144E63"/>
          </w:tcPr>
          <w:p>
            <w:r/>
            <w:r>
              <w:rPr>
                <w:b/>
                <w:color w:val="FFFFFF"/>
                <w:sz w:val="20"/>
              </w:rPr>
              <w:t>How</w:t>
            </w:r>
          </w:p>
        </w:tc>
        <w:tc>
          <w:tcPr>
            <w:tcW w:type="dxa" w:w="2880"/>
            <w:shd w:val="clear" w:color="auto" w:fill="144E63"/>
          </w:tcPr>
          <w:p>
            <w:r/>
            <w:r>
              <w:rPr>
                <w:b/>
                <w:color w:val="FFFFFF"/>
                <w:sz w:val="20"/>
              </w:rPr>
              <w:t>Cost</w:t>
            </w:r>
          </w:p>
        </w:tc>
      </w:tr>
      <w:tr>
        <w:tc>
          <w:tcPr>
            <w:tcW w:type="dxa" w:w="2304"/>
          </w:tcPr>
          <w:p>
            <w:r/>
            <w:r>
              <w:rPr>
                <w:b/>
                <w:sz w:val="19"/>
              </w:rPr>
              <w:t>Local (primary)</w:t>
            </w:r>
          </w:p>
        </w:tc>
        <w:tc>
          <w:tcPr>
            <w:tcW w:type="dxa" w:w="5328"/>
          </w:tcPr>
          <w:p>
            <w:r/>
            <w:r>
              <w:rPr>
                <w:sz w:val="19"/>
              </w:rPr>
              <w:t>pip install -r requirements.txt; streamlit run app.py</w:t>
            </w:r>
          </w:p>
        </w:tc>
        <w:tc>
          <w:tcPr>
            <w:tcW w:type="dxa" w:w="2016"/>
          </w:tcPr>
          <w:p>
            <w:r/>
            <w:r>
              <w:rPr>
                <w:sz w:val="19"/>
              </w:rPr>
              <w:t>$0</w:t>
            </w:r>
          </w:p>
        </w:tc>
      </w:tr>
      <w:tr>
        <w:tc>
          <w:tcPr>
            <w:tcW w:type="dxa" w:w="2304"/>
          </w:tcPr>
          <w:p>
            <w:r/>
            <w:r>
              <w:rPr>
                <w:b/>
                <w:sz w:val="19"/>
              </w:rPr>
              <w:t>Container</w:t>
            </w:r>
          </w:p>
        </w:tc>
        <w:tc>
          <w:tcPr>
            <w:tcW w:type="dxa" w:w="5328"/>
          </w:tcPr>
          <w:p>
            <w:r/>
            <w:r>
              <w:rPr>
                <w:sz w:val="19"/>
              </w:rPr>
              <w:t>docker build -t threatlens . ; docker run -p 8501:8501 threatlens</w:t>
            </w:r>
          </w:p>
        </w:tc>
        <w:tc>
          <w:tcPr>
            <w:tcW w:type="dxa" w:w="2016"/>
          </w:tcPr>
          <w:p>
            <w:r/>
            <w:r>
              <w:rPr>
                <w:sz w:val="19"/>
              </w:rPr>
              <w:t>$0</w:t>
            </w:r>
          </w:p>
        </w:tc>
      </w:tr>
      <w:tr>
        <w:tc>
          <w:tcPr>
            <w:tcW w:type="dxa" w:w="2304"/>
          </w:tcPr>
          <w:p>
            <w:r/>
            <w:r>
              <w:rPr>
                <w:b/>
                <w:sz w:val="19"/>
              </w:rPr>
              <w:t>Public demo</w:t>
            </w:r>
          </w:p>
        </w:tc>
        <w:tc>
          <w:tcPr>
            <w:tcW w:type="dxa" w:w="5328"/>
          </w:tcPr>
          <w:p>
            <w:r/>
            <w:r>
              <w:rPr>
                <w:sz w:val="19"/>
              </w:rPr>
              <w:t>Push to Hugging Face Spaces or Streamlit Community Cloud</w:t>
            </w:r>
          </w:p>
        </w:tc>
        <w:tc>
          <w:tcPr>
            <w:tcW w:type="dxa" w:w="2016"/>
          </w:tcPr>
          <w:p>
            <w:r/>
            <w:r>
              <w:rPr>
                <w:sz w:val="19"/>
              </w:rPr>
              <w:t>$0 (free tier)</w:t>
            </w:r>
          </w:p>
        </w:tc>
      </w:tr>
    </w:tbl>
    <w:p>
      <w:pPr>
        <w:spacing w:after="40"/>
      </w:pPr>
    </w:p>
    <w:p>
      <w:pPr>
        <w:pStyle w:val="ListBullet"/>
      </w:pPr>
      <w:r>
        <w:t>State lives in a single SQLite file under data/ (git-ignored); no external services.</w:t>
      </w:r>
    </w:p>
    <w:p>
      <w:pPr>
        <w:pStyle w:val="ListBullet"/>
      </w:pPr>
      <w:r>
        <w:t>Configuration and theme via .streamlit/config.toml and threatlens/config.py.</w:t>
      </w:r>
    </w:p>
    <w:p>
      <w:r>
        <w:br w:type="page"/>
      </w:r>
    </w:p>
    <w:p>
      <w:pPr>
        <w:pStyle w:val="Heading1"/>
      </w:pPr>
      <w:r>
        <w:t>7. Key Design Decisions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44E63"/>
          </w:tcPr>
          <w:p>
            <w:r/>
            <w:r>
              <w:rPr>
                <w:b/>
                <w:color w:val="FFFFFF"/>
                <w:sz w:val="20"/>
              </w:rPr>
              <w:t>Decision</w:t>
            </w:r>
          </w:p>
        </w:tc>
        <w:tc>
          <w:tcPr>
            <w:tcW w:type="dxa" w:w="2880"/>
            <w:shd w:val="clear" w:color="auto" w:fill="144E63"/>
          </w:tcPr>
          <w:p>
            <w:r/>
            <w:r>
              <w:rPr>
                <w:b/>
                <w:color w:val="FFFFFF"/>
                <w:sz w:val="20"/>
              </w:rPr>
              <w:t>Rationale</w:t>
            </w:r>
          </w:p>
        </w:tc>
        <w:tc>
          <w:tcPr>
            <w:tcW w:type="dxa" w:w="2880"/>
            <w:shd w:val="clear" w:color="auto" w:fill="144E63"/>
          </w:tcPr>
          <w:p>
            <w:r/>
            <w:r>
              <w:rPr>
                <w:b/>
                <w:color w:val="FFFFFF"/>
                <w:sz w:val="20"/>
              </w:rPr>
              <w:t>Consequence</w:t>
            </w:r>
          </w:p>
        </w:tc>
      </w:tr>
      <w:tr>
        <w:tc>
          <w:tcPr>
            <w:tcW w:type="dxa" w:w="2736"/>
          </w:tcPr>
          <w:p>
            <w:r/>
            <w:r>
              <w:rPr>
                <w:b/>
                <w:sz w:val="19"/>
              </w:rPr>
              <w:t>Python + Streamlit single stack</w:t>
            </w:r>
          </w:p>
        </w:tc>
        <w:tc>
          <w:tcPr>
            <w:tcW w:type="dxa" w:w="3600"/>
          </w:tcPr>
          <w:p>
            <w:r/>
            <w:r>
              <w:rPr>
                <w:sz w:val="19"/>
              </w:rPr>
              <w:t>Required ML/XAI libs are Python-only</w:t>
            </w:r>
          </w:p>
        </w:tc>
        <w:tc>
          <w:tcPr>
            <w:tcW w:type="dxa" w:w="3312"/>
          </w:tcPr>
          <w:p>
            <w:r/>
            <w:r>
              <w:rPr>
                <w:sz w:val="19"/>
              </w:rPr>
              <w:t>No separate API/JS frontend to maintain</w:t>
            </w:r>
          </w:p>
        </w:tc>
      </w:tr>
      <w:tr>
        <w:tc>
          <w:tcPr>
            <w:tcW w:type="dxa" w:w="2736"/>
          </w:tcPr>
          <w:p>
            <w:r/>
            <w:r>
              <w:rPr>
                <w:b/>
                <w:sz w:val="19"/>
              </w:rPr>
              <w:t>Local-first + SQLite</w:t>
            </w:r>
          </w:p>
        </w:tc>
        <w:tc>
          <w:tcPr>
            <w:tcW w:type="dxa" w:w="3600"/>
          </w:tcPr>
          <w:p>
            <w:r/>
            <w:r>
              <w:rPr>
                <w:sz w:val="19"/>
              </w:rPr>
              <w:t>Zero cost; safe handling of malicious samples</w:t>
            </w:r>
          </w:p>
        </w:tc>
        <w:tc>
          <w:tcPr>
            <w:tcW w:type="dxa" w:w="3312"/>
          </w:tcPr>
          <w:p>
            <w:r/>
            <w:r>
              <w:rPr>
                <w:sz w:val="19"/>
              </w:rPr>
              <w:t>No always-on server; user runs it themselves</w:t>
            </w:r>
          </w:p>
        </w:tc>
      </w:tr>
      <w:tr>
        <w:tc>
          <w:tcPr>
            <w:tcW w:type="dxa" w:w="2736"/>
          </w:tcPr>
          <w:p>
            <w:r/>
            <w:r>
              <w:rPr>
                <w:b/>
                <w:sz w:val="19"/>
              </w:rPr>
              <w:t>Thin views / logic in modules</w:t>
            </w:r>
          </w:p>
        </w:tc>
        <w:tc>
          <w:tcPr>
            <w:tcW w:type="dxa" w:w="3600"/>
          </w:tcPr>
          <w:p>
            <w:r/>
            <w:r>
              <w:rPr>
                <w:sz w:val="19"/>
              </w:rPr>
              <w:t>Modularity &amp; testability (NFR-02)</w:t>
            </w:r>
          </w:p>
        </w:tc>
        <w:tc>
          <w:tcPr>
            <w:tcW w:type="dxa" w:w="3312"/>
          </w:tcPr>
          <w:p>
            <w:r/>
            <w:r>
              <w:rPr>
                <w:sz w:val="19"/>
              </w:rPr>
              <w:t>UI and algorithms evolve independently</w:t>
            </w:r>
          </w:p>
        </w:tc>
      </w:tr>
      <w:tr>
        <w:tc>
          <w:tcPr>
            <w:tcW w:type="dxa" w:w="2736"/>
          </w:tcPr>
          <w:p>
            <w:r/>
            <w:r>
              <w:rPr>
                <w:b/>
                <w:sz w:val="19"/>
              </w:rPr>
              <w:t>Lazy ML imports</w:t>
            </w:r>
          </w:p>
        </w:tc>
        <w:tc>
          <w:tcPr>
            <w:tcW w:type="dxa" w:w="3600"/>
          </w:tcPr>
          <w:p>
            <w:r/>
            <w:r>
              <w:rPr>
                <w:sz w:val="19"/>
              </w:rPr>
              <w:t>UI must run before heavy libs installed</w:t>
            </w:r>
          </w:p>
        </w:tc>
        <w:tc>
          <w:tcPr>
            <w:tcW w:type="dxa" w:w="3312"/>
          </w:tcPr>
          <w:p>
            <w:r/>
            <w:r>
              <w:rPr>
                <w:sz w:val="19"/>
              </w:rPr>
              <w:t>Dashboard boots with only streamlit+pandas</w:t>
            </w:r>
          </w:p>
        </w:tc>
      </w:tr>
      <w:tr>
        <w:tc>
          <w:tcPr>
            <w:tcW w:type="dxa" w:w="2736"/>
          </w:tcPr>
          <w:p>
            <w:r/>
            <w:r>
              <w:rPr>
                <w:b/>
                <w:sz w:val="19"/>
              </w:rPr>
              <w:t>Placeholder data + # TODO</w:t>
            </w:r>
          </w:p>
        </w:tc>
        <w:tc>
          <w:tcPr>
            <w:tcW w:type="dxa" w:w="3600"/>
          </w:tcPr>
          <w:p>
            <w:r/>
            <w:r>
              <w:rPr>
                <w:sz w:val="19"/>
              </w:rPr>
              <w:t>Runnable skeleton first, algorithms later</w:t>
            </w:r>
          </w:p>
        </w:tc>
        <w:tc>
          <w:tcPr>
            <w:tcW w:type="dxa" w:w="3312"/>
          </w:tcPr>
          <w:p>
            <w:r/>
            <w:r>
              <w:rPr>
                <w:sz w:val="19"/>
              </w:rPr>
              <w:t>Views demoable immediately; clear build path</w:t>
            </w:r>
          </w:p>
        </w:tc>
      </w:tr>
    </w:tbl>
    <w:p>
      <w:pPr>
        <w:spacing w:after="40"/>
      </w:pPr>
    </w:p>
    <w:p>
      <w:r>
        <w:br w:type="page"/>
      </w:r>
    </w:p>
    <w:p>
      <w:pPr>
        <w:pStyle w:val="Heading1"/>
      </w:pPr>
      <w:r>
        <w:t>8. Requirement → Design Traceability</w:t>
      </w:r>
    </w:p>
    <w:p>
      <w:r>
        <w:rPr>
          <w:b w:val="0"/>
          <w:i w:val="0"/>
        </w:rPr>
        <w:t>Maps each SRD component to the design elements that satisfy it.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44E63"/>
          </w:tcPr>
          <w:p>
            <w:r/>
            <w:r>
              <w:rPr>
                <w:b/>
                <w:color w:val="FFFFFF"/>
                <w:sz w:val="20"/>
              </w:rPr>
              <w:t>SRD Component</w:t>
            </w:r>
          </w:p>
        </w:tc>
        <w:tc>
          <w:tcPr>
            <w:tcW w:type="dxa" w:w="2880"/>
            <w:shd w:val="clear" w:color="auto" w:fill="144E63"/>
          </w:tcPr>
          <w:p>
            <w:r/>
            <w:r>
              <w:rPr>
                <w:b/>
                <w:color w:val="FFFFFF"/>
                <w:sz w:val="20"/>
              </w:rPr>
              <w:t>Requirement IDs</w:t>
            </w:r>
          </w:p>
        </w:tc>
        <w:tc>
          <w:tcPr>
            <w:tcW w:type="dxa" w:w="2880"/>
            <w:shd w:val="clear" w:color="auto" w:fill="144E63"/>
          </w:tcPr>
          <w:p>
            <w:r/>
            <w:r>
              <w:rPr>
                <w:b/>
                <w:color w:val="FFFFFF"/>
                <w:sz w:val="20"/>
              </w:rPr>
              <w:t>Design element(s)</w:t>
            </w:r>
          </w:p>
        </w:tc>
      </w:tr>
      <w:tr>
        <w:tc>
          <w:tcPr>
            <w:tcW w:type="dxa" w:w="2448"/>
          </w:tcPr>
          <w:p>
            <w:r/>
            <w:r>
              <w:rPr>
                <w:b/>
                <w:sz w:val="19"/>
              </w:rPr>
              <w:t>Data Collection</w:t>
            </w:r>
          </w:p>
        </w:tc>
        <w:tc>
          <w:tcPr>
            <w:tcW w:type="dxa" w:w="2448"/>
          </w:tcPr>
          <w:p>
            <w:r/>
            <w:r>
              <w:rPr>
                <w:sz w:val="19"/>
              </w:rPr>
              <w:t>DC-FR-01..07</w:t>
            </w:r>
          </w:p>
        </w:tc>
        <w:tc>
          <w:tcPr>
            <w:tcW w:type="dxa" w:w="4752"/>
          </w:tcPr>
          <w:p>
            <w:r/>
            <w:r>
              <w:rPr>
                <w:sz w:val="19"/>
              </w:rPr>
              <w:t>modules/data_collection.py; samples table</w:t>
            </w:r>
          </w:p>
        </w:tc>
      </w:tr>
      <w:tr>
        <w:tc>
          <w:tcPr>
            <w:tcW w:type="dxa" w:w="2448"/>
          </w:tcPr>
          <w:p>
            <w:r/>
            <w:r>
              <w:rPr>
                <w:b/>
                <w:sz w:val="19"/>
              </w:rPr>
              <w:t>Threat Taxonomy</w:t>
            </w:r>
          </w:p>
        </w:tc>
        <w:tc>
          <w:tcPr>
            <w:tcW w:type="dxa" w:w="2448"/>
          </w:tcPr>
          <w:p>
            <w:r/>
            <w:r>
              <w:rPr>
                <w:sz w:val="19"/>
              </w:rPr>
              <w:t>TT-FR-01..06</w:t>
            </w:r>
          </w:p>
        </w:tc>
        <w:tc>
          <w:tcPr>
            <w:tcW w:type="dxa" w:w="4752"/>
          </w:tcPr>
          <w:p>
            <w:r/>
            <w:r>
              <w:rPr>
                <w:sz w:val="19"/>
              </w:rPr>
              <w:t>modules/taxonomy.py; config.TAXONOMY; samples.label</w:t>
            </w:r>
          </w:p>
        </w:tc>
      </w:tr>
      <w:tr>
        <w:tc>
          <w:tcPr>
            <w:tcW w:type="dxa" w:w="2448"/>
          </w:tcPr>
          <w:p>
            <w:r/>
            <w:r>
              <w:rPr>
                <w:b/>
                <w:sz w:val="19"/>
              </w:rPr>
              <w:t>Feature Extraction</w:t>
            </w:r>
          </w:p>
        </w:tc>
        <w:tc>
          <w:tcPr>
            <w:tcW w:type="dxa" w:w="2448"/>
          </w:tcPr>
          <w:p>
            <w:r/>
            <w:r>
              <w:rPr>
                <w:sz w:val="19"/>
              </w:rPr>
              <w:t>FE-FR-01..07</w:t>
            </w:r>
          </w:p>
        </w:tc>
        <w:tc>
          <w:tcPr>
            <w:tcW w:type="dxa" w:w="4752"/>
          </w:tcPr>
          <w:p>
            <w:r/>
            <w:r>
              <w:rPr>
                <w:sz w:val="19"/>
              </w:rPr>
              <w:t>modules/feature_extraction.py; features table; FEATURE_GROUPS</w:t>
            </w:r>
          </w:p>
        </w:tc>
      </w:tr>
      <w:tr>
        <w:tc>
          <w:tcPr>
            <w:tcW w:type="dxa" w:w="2448"/>
          </w:tcPr>
          <w:p>
            <w:r/>
            <w:r>
              <w:rPr>
                <w:b/>
                <w:sz w:val="19"/>
              </w:rPr>
              <w:t>Threat Intelligence</w:t>
            </w:r>
          </w:p>
        </w:tc>
        <w:tc>
          <w:tcPr>
            <w:tcW w:type="dxa" w:w="2448"/>
          </w:tcPr>
          <w:p>
            <w:r/>
            <w:r>
              <w:rPr>
                <w:sz w:val="19"/>
              </w:rPr>
              <w:t>TI-FR-01..07</w:t>
            </w:r>
          </w:p>
        </w:tc>
        <w:tc>
          <w:tcPr>
            <w:tcW w:type="dxa" w:w="4752"/>
          </w:tcPr>
          <w:p>
            <w:r/>
            <w:r>
              <w:rPr>
                <w:sz w:val="19"/>
              </w:rPr>
              <w:t>modules/threat_intel.py; campaigns table</w:t>
            </w:r>
          </w:p>
        </w:tc>
      </w:tr>
      <w:tr>
        <w:tc>
          <w:tcPr>
            <w:tcW w:type="dxa" w:w="2448"/>
          </w:tcPr>
          <w:p>
            <w:r/>
            <w:r>
              <w:rPr>
                <w:b/>
                <w:sz w:val="19"/>
              </w:rPr>
              <w:t>Human Manipulation</w:t>
            </w:r>
          </w:p>
        </w:tc>
        <w:tc>
          <w:tcPr>
            <w:tcW w:type="dxa" w:w="2448"/>
          </w:tcPr>
          <w:p>
            <w:r/>
            <w:r>
              <w:rPr>
                <w:sz w:val="19"/>
              </w:rPr>
              <w:t>HM-FR-01..06</w:t>
            </w:r>
          </w:p>
        </w:tc>
        <w:tc>
          <w:tcPr>
            <w:tcW w:type="dxa" w:w="4752"/>
          </w:tcPr>
          <w:p>
            <w:r/>
            <w:r>
              <w:rPr>
                <w:sz w:val="19"/>
              </w:rPr>
              <w:t>modules/human_manipulation.py; MANIPULATION_TECHNIQUES</w:t>
            </w:r>
          </w:p>
        </w:tc>
      </w:tr>
      <w:tr>
        <w:tc>
          <w:tcPr>
            <w:tcW w:type="dxa" w:w="2448"/>
          </w:tcPr>
          <w:p>
            <w:r/>
            <w:r>
              <w:rPr>
                <w:b/>
                <w:sz w:val="19"/>
              </w:rPr>
              <w:t>Machine Learning</w:t>
            </w:r>
          </w:p>
        </w:tc>
        <w:tc>
          <w:tcPr>
            <w:tcW w:type="dxa" w:w="2448"/>
          </w:tcPr>
          <w:p>
            <w:r/>
            <w:r>
              <w:rPr>
                <w:sz w:val="19"/>
              </w:rPr>
              <w:t>ML-FR-01..07</w:t>
            </w:r>
          </w:p>
        </w:tc>
        <w:tc>
          <w:tcPr>
            <w:tcW w:type="dxa" w:w="4752"/>
          </w:tcPr>
          <w:p>
            <w:r/>
            <w:r>
              <w:rPr>
                <w:sz w:val="19"/>
              </w:rPr>
              <w:t>modules/ml_engine.py; predictions table</w:t>
            </w:r>
          </w:p>
        </w:tc>
      </w:tr>
      <w:tr>
        <w:tc>
          <w:tcPr>
            <w:tcW w:type="dxa" w:w="2448"/>
          </w:tcPr>
          <w:p>
            <w:r/>
            <w:r>
              <w:rPr>
                <w:b/>
                <w:sz w:val="19"/>
              </w:rPr>
              <w:t>Explainable AI</w:t>
            </w:r>
          </w:p>
        </w:tc>
        <w:tc>
          <w:tcPr>
            <w:tcW w:type="dxa" w:w="2448"/>
          </w:tcPr>
          <w:p>
            <w:r/>
            <w:r>
              <w:rPr>
                <w:sz w:val="19"/>
              </w:rPr>
              <w:t>XAI-FR-01..06</w:t>
            </w:r>
          </w:p>
        </w:tc>
        <w:tc>
          <w:tcPr>
            <w:tcW w:type="dxa" w:w="4752"/>
          </w:tcPr>
          <w:p>
            <w:r/>
            <w:r>
              <w:rPr>
                <w:sz w:val="19"/>
              </w:rPr>
              <w:t>modules/explainability.py</w:t>
            </w:r>
          </w:p>
        </w:tc>
      </w:tr>
      <w:tr>
        <w:tc>
          <w:tcPr>
            <w:tcW w:type="dxa" w:w="2448"/>
          </w:tcPr>
          <w:p>
            <w:r/>
            <w:r>
              <w:rPr>
                <w:b/>
                <w:sz w:val="19"/>
              </w:rPr>
              <w:t>Dashboard</w:t>
            </w:r>
          </w:p>
        </w:tc>
        <w:tc>
          <w:tcPr>
            <w:tcW w:type="dxa" w:w="2448"/>
          </w:tcPr>
          <w:p>
            <w:r/>
            <w:r>
              <w:rPr>
                <w:sz w:val="19"/>
              </w:rPr>
              <w:t>DASH-FR-01..06</w:t>
            </w:r>
          </w:p>
        </w:tc>
        <w:tc>
          <w:tcPr>
            <w:tcW w:type="dxa" w:w="4752"/>
          </w:tcPr>
          <w:p>
            <w:r/>
            <w:r>
              <w:rPr>
                <w:sz w:val="19"/>
              </w:rPr>
              <w:t>ui/campaign_view, email_analysis_view, research_view, style.py</w:t>
            </w:r>
          </w:p>
        </w:tc>
      </w:tr>
      <w:tr>
        <w:tc>
          <w:tcPr>
            <w:tcW w:type="dxa" w:w="2448"/>
          </w:tcPr>
          <w:p>
            <w:r/>
            <w:r>
              <w:rPr>
                <w:b/>
                <w:sz w:val="19"/>
              </w:rPr>
              <w:t>Reporting</w:t>
            </w:r>
          </w:p>
        </w:tc>
        <w:tc>
          <w:tcPr>
            <w:tcW w:type="dxa" w:w="2448"/>
          </w:tcPr>
          <w:p>
            <w:r/>
            <w:r>
              <w:rPr>
                <w:sz w:val="19"/>
              </w:rPr>
              <w:t>REP-FR-01..06</w:t>
            </w:r>
          </w:p>
        </w:tc>
        <w:tc>
          <w:tcPr>
            <w:tcW w:type="dxa" w:w="4752"/>
          </w:tcPr>
          <w:p>
            <w:r/>
            <w:r>
              <w:rPr>
                <w:sz w:val="19"/>
              </w:rPr>
              <w:t>modules/reporting.py</w:t>
            </w:r>
          </w:p>
        </w:tc>
      </w:tr>
      <w:tr>
        <w:tc>
          <w:tcPr>
            <w:tcW w:type="dxa" w:w="2448"/>
          </w:tcPr>
          <w:p>
            <w:r/>
            <w:r>
              <w:rPr>
                <w:b/>
                <w:sz w:val="19"/>
              </w:rPr>
              <w:t>Non-Functional</w:t>
            </w:r>
          </w:p>
        </w:tc>
        <w:tc>
          <w:tcPr>
            <w:tcW w:type="dxa" w:w="2448"/>
          </w:tcPr>
          <w:p>
            <w:r/>
            <w:r>
              <w:rPr>
                <w:sz w:val="19"/>
              </w:rPr>
              <w:t>NFR-01..08</w:t>
            </w:r>
          </w:p>
        </w:tc>
        <w:tc>
          <w:tcPr>
            <w:tcW w:type="dxa" w:w="4752"/>
          </w:tcPr>
          <w:p>
            <w:r/>
            <w:r>
              <w:rPr>
                <w:sz w:val="19"/>
              </w:rPr>
              <w:t>§2.1 goals; local-first + Docker + SQLite; single Python stack</w:t>
            </w:r>
          </w:p>
        </w:tc>
      </w:tr>
    </w:tbl>
    <w:p>
      <w:pPr>
        <w:spacing w:after="40"/>
      </w:pPr>
    </w:p>
    <w:p>
      <w:r>
        <w:rPr>
          <w:b w:val="0"/>
          <w:i/>
          <w:color w:val="555555"/>
        </w:rPr>
        <w:t>This design covers every SRD component. Requirement items still to be fully realized in code (currently placeholder) are tracked by the # TODO markers in the corresponding module and by the implementation roadmap in the project README.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4"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44E6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44E63"/>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44E6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