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430BAF">
      <w:pPr>
        <w:ind w:firstLine="0"/>
        <w:jc w:val="center"/>
      </w:pPr>
      <w:r>
        <w:rPr>
          <w:sz w:val="50"/>
        </w:rPr>
        <w:t>上海应用技术大学</w:t>
      </w:r>
    </w:p>
    <w:p w14:paraId="07242CA4">
      <w:pPr>
        <w:ind w:firstLine="0"/>
        <w:jc w:val="center"/>
      </w:pPr>
      <w:r>
        <w:rPr>
          <w:sz w:val="48"/>
        </w:rPr>
        <w:t>硕士学位论文</w:t>
      </w:r>
    </w:p>
    <w:p w14:paraId="11D150EB"/>
    <w:p w14:paraId="261A09D6"/>
    <w:p w14:paraId="4FF80EA3">
      <w:pPr>
        <w:pStyle w:val="26"/>
        <w:spacing w:before="240" w:after="240" w:line="360" w:lineRule="auto"/>
        <w:ind w:firstLine="0"/>
      </w:pPr>
      <w:r>
        <w:t>基于视觉感知与自适应双向</w:t>
      </w:r>
      <w:r>
        <w:br w:type="textWrapping"/>
      </w:r>
      <w:r>
        <w:t>超椭球体RRT的机械臂运动规划研究</w:t>
      </w:r>
    </w:p>
    <w:p w14:paraId="7A567062">
      <w:pPr>
        <w:ind w:firstLine="0"/>
        <w:jc w:val="center"/>
      </w:pPr>
      <w:r>
        <w:rPr>
          <w:sz w:val="28"/>
        </w:rPr>
        <w:t>Research on Robotic Arm Motion Planning Based on Visual Perception and Adaptive Bidirectional Hyperellipsoidal RRT</w:t>
      </w:r>
    </w:p>
    <w:p w14:paraId="61225264"/>
    <w:p w14:paraId="7CBFAAA7">
      <w:pPr>
        <w:ind w:firstLine="0"/>
        <w:jc w:val="center"/>
      </w:pPr>
      <w:r>
        <w:t>作者：郭兴雨</w:t>
      </w:r>
    </w:p>
    <w:p w14:paraId="6002D130">
      <w:pPr>
        <w:ind w:firstLine="0"/>
        <w:jc w:val="center"/>
      </w:pPr>
      <w:r>
        <w:t>指导教师：吴雁  教授</w:t>
      </w:r>
    </w:p>
    <w:p w14:paraId="671FF67A">
      <w:pPr>
        <w:ind w:firstLine="0"/>
        <w:jc w:val="center"/>
      </w:pPr>
      <w:r>
        <w:t>学科专业：机械电子工程</w:t>
      </w:r>
    </w:p>
    <w:p w14:paraId="503F9091">
      <w:pPr>
        <w:ind w:firstLine="0"/>
        <w:jc w:val="center"/>
      </w:pPr>
      <w:r>
        <w:t>学院：机械工程学院</w:t>
      </w:r>
    </w:p>
    <w:p w14:paraId="1EE792FB">
      <w:pPr>
        <w:ind w:firstLine="0"/>
        <w:jc w:val="center"/>
        <w:rPr>
          <w:rFonts w:hint="default" w:eastAsia="宋体"/>
          <w:lang w:val="en-US" w:eastAsia="zh-CN"/>
        </w:rPr>
      </w:pPr>
      <w:r>
        <w:rPr>
          <w:rFonts w:hint="eastAsia"/>
          <w:lang w:val="en-US" w:eastAsia="zh-CN"/>
        </w:rPr>
        <w:t>学号：246091117</w:t>
      </w:r>
      <w:r>
        <w:rPr>
          <w:rFonts w:hint="eastAsia"/>
          <w:lang w:val="en-US" w:eastAsia="zh-CN"/>
        </w:rPr>
        <w:br w:type="textWrapping"/>
      </w:r>
      <w:r>
        <w:rPr>
          <w:rFonts w:hint="eastAsia"/>
          <w:lang w:val="en-US" w:eastAsia="zh-CN"/>
        </w:rPr>
        <w:t>学位类别：学术型硕士</w:t>
      </w:r>
      <w:r>
        <w:rPr>
          <w:rFonts w:hint="eastAsia"/>
          <w:lang w:val="en-US" w:eastAsia="zh-CN"/>
        </w:rPr>
        <w:br w:type="textWrapping"/>
      </w:r>
    </w:p>
    <w:p w14:paraId="639E60CE">
      <w:pPr>
        <w:ind w:firstLine="0"/>
        <w:jc w:val="center"/>
      </w:pPr>
      <w:r>
        <w:t>2026年10月19日</w:t>
      </w:r>
    </w:p>
    <w:p w14:paraId="4DF4AD0E">
      <w:pPr>
        <w:sectPr>
          <w:pgSz w:w="11906" w:h="16838"/>
          <w:pgMar w:top="1587" w:right="1417" w:bottom="1134" w:left="1417" w:header="964" w:footer="680" w:gutter="0"/>
          <w:cols w:space="720" w:num="1"/>
        </w:sectPr>
      </w:pPr>
    </w:p>
    <w:p w14:paraId="3E9FD358">
      <w:pPr>
        <w:pStyle w:val="2"/>
      </w:pPr>
      <w:bookmarkStart w:id="0" w:name="_Toc243339180"/>
      <w:r>
        <w:t>摘要</w:t>
      </w:r>
      <w:bookmarkEnd w:id="0"/>
    </w:p>
    <w:p w14:paraId="147BA7F8">
      <w:r>
        <w:t>人体表面目标具有外观差异大、局部标志不明显以及目标位置随个体变化等特点。将视觉识别结果用于机械臂作业，需要同时解决二维目标推理、三维位姿转换和目标之间的路径搜索问题。本文以人体穴位作为个体化视觉目标，围绕YOLOv11-AMP穴位视觉定位方法和SC-RRT路径规划方法开展研究，并结合机械臂平台整理两类算法的部署与衔接过程。</w:t>
      </w:r>
    </w:p>
    <w:p w14:paraId="66E79621">
      <w:r>
        <w:t>针对穴位难以直接从图像外观稳定识别的问题，构建由通用人体姿态模型、局部解剖锚点模型和骨度约束规则组成的YOLOv11-AMP方法。首先提取肩、髋等人体关键点，并利用颈部和脐部模型补充局部参考信息；随后根据解剖基线估计像素尺度，调用分部位规则生成穴位坐标。已有训练日志表明，颈部、脐部及膝部锚点模型完成了相应训练；其中膝部模型属于预研结果，不能与当前部署状态混同。穴位级独立定位误差与消融效果尚需逐样本记录支持。</w:t>
      </w:r>
    </w:p>
    <w:p w14:paraId="5D77634D">
      <w:r>
        <w:t>针对有限扩展预算下的路径搜索问题，研究由双向树、动态中间参考点、双椭球约束采样和搜索状态反馈组成的SC-RRT方法。在每个维度10张冻结地图、每张地图50个规划随机种子的二维和三维静态点机器人环境中，统一采用5000次原子扩展尝试。SC-RRT在两个维度均完成500次有效求解，终值平均路径长度分别为2022.93 mm和2570.91 mm，相比RRT-Connect分别缩短10.15%和1.37%。RRT-Connect的首解速度更快，RRT*和Informed-RRT*的终值路径更短，说明SC-RRT体现的是特定预算下路径质量与计算成本的取舍。匹配启动条件的反馈消融表明，三维平均改善幅度为0.361%，二维改善幅度为0.283%且其95%置信区间跨越零，反馈贡献具有条件性。</w:t>
      </w:r>
    </w:p>
    <w:p w14:paraId="48296FB7">
      <w:r>
        <w:t>在部署层面，建立从图像与深度快照、人工确认、空间反投影和局部法向估计，到工具位姿、接近点、转移路径及执行路点的处理链路。给出相机内参、眼在手上外参和工具坐标的作用及检查要求，区分几何路径可行性与机械臂运动可执行性。现有实物图像用于说明平台与曲面轨迹执行案例，尚不能替代统一记录条件下的视觉到执行定量验证。</w:t>
      </w:r>
    </w:p>
    <w:p w14:paraId="78AFAB26">
      <w:r>
        <w:t>关键词：视觉定位；YOLOv11-AMP；SC-RRT；约束采样；手眼标定；机械臂运动规划</w:t>
      </w:r>
    </w:p>
    <w:p w14:paraId="0645D1AF">
      <w:pPr>
        <w:pStyle w:val="2"/>
      </w:pPr>
      <w:bookmarkStart w:id="1" w:name="_Toc243339181"/>
      <w:r>
        <w:t>Abstract</w:t>
      </w:r>
      <w:bookmarkEnd w:id="1"/>
    </w:p>
    <w:p w14:paraId="3F89EA3C">
      <w:r>
        <w:t>Human-surface targets vary across individuals and may lack distinctive visual features. Transferring image-based target locations to a robotic arm requires geometric inference, three-dimensional pose generation, and feasible motion planning. This thesis studies YOLOv11-AMP for acupoint localization and SC-RRT for path planning, and describes their deployment and integration on a robotic platform.</w:t>
      </w:r>
    </w:p>
    <w:p w14:paraId="28EBDA76">
      <w:r>
        <w:t>YOLOv11-AMP combines a general human pose model, regional anatomical landmark models, and explicit geometric rules. Shoulder and hip keypoints provide structural references, while neck and navel models supplement local landmarks. Image-space scales are estimated from anatomical baselines to generate target coordinates. Available logs document training of neck, navel, and knee landmark models. The knee model remains a preliminary model rather than a confirmed component of the deployed inference pipeline. Independent acupoint-level accuracy and ablation results require further verification of sample-level records.</w:t>
      </w:r>
    </w:p>
    <w:p w14:paraId="7B28B276">
      <w:r>
        <w:t>SC-RRT combines bidirectional search, a moving intermediate reference, dual ellipsoidal sampling, and search-state feedback. Evaluation uses ten frozen maps and fifty planner seeds per map in each of two-dimensional and three-dimensional static point-robot workspaces. Every planner receives 5,000 atomic extension attempts. SC-RRT succeeds in all 500 runs per dimension, with mean final path lengths of 2,022.93 mm and 2,570.91 mm, respectively. These are 10.15% and 1.37% shorter than those of RRT-Connect. However, RRT-Connect finds initial solutions faster, while RRT* and Informed-RRT* yield shorter final paths. With matched activation conditions, feedback reduces the mean path length by 0.361% in three dimensions; the corresponding two-dimensional improvement is 0.283%, with a 95% confidence interval crossing zero.</w:t>
      </w:r>
    </w:p>
    <w:p w14:paraId="635351A6">
      <w:r>
        <w:t>The deployment pipeline connects RGB-D acquisition, manual confirmation, back-projection, and surface-normal estimation with tool poses, approach points, transfer paths, and executable waypoints. Camera intrinsics, eye-in-hand transformations, tool offsets, and kinematic checks are explicitly distinguished. Existing physical demonstrations illustrate platform operation; they do not establish the quantitative accuracy of the complete perception-to-execution chain.</w:t>
      </w:r>
    </w:p>
    <w:p w14:paraId="0E704604">
      <w:r>
        <w:t>Keywords: visual localization; YOLOv11-AMP; SC-RRT; constrained sampling; hand-eye calibration; robotic arm motion planning</w:t>
      </w:r>
    </w:p>
    <w:p w14:paraId="043AD2D6">
      <w:pPr>
        <w:pStyle w:val="70"/>
        <w:keepNext/>
        <w:pageBreakBefore/>
        <w:ind w:firstLine="0"/>
        <w:jc w:val="center"/>
      </w:pPr>
      <w:r>
        <w:rPr>
          <w:rFonts w:ascii="黑体" w:hAnsi="黑体"/>
          <w:sz w:val="32"/>
        </w:rPr>
        <w:t>目录</w:t>
      </w:r>
    </w:p>
    <w:p w14:paraId="34358FC9">
      <w:pPr>
        <w:pStyle w:val="19"/>
        <w:rPr>
          <w:rFonts w:hint="eastAsia" w:asciiTheme="minorHAnsi" w:hAnsiTheme="minorHAnsi" w:eastAsiaTheme="minorEastAsia" w:cstheme="minorBidi"/>
          <w:color w:val="auto"/>
          <w:kern w:val="2"/>
          <w:sz w:val="22"/>
          <w14:ligatures w14:val="standardContextual"/>
        </w:rPr>
      </w:pPr>
      <w:r>
        <w:fldChar w:fldCharType="begin"/>
      </w:r>
      <w:r>
        <w:instrText xml:space="preserve"> TOC \o "1-3" \h \z </w:instrText>
      </w:r>
      <w:r>
        <w:fldChar w:fldCharType="separate"/>
      </w:r>
      <w:r>
        <w:fldChar w:fldCharType="begin"/>
      </w:r>
      <w:r>
        <w:instrText xml:space="preserve"> HYPERLINK \l "_Toc243339180" </w:instrText>
      </w:r>
      <w:r>
        <w:fldChar w:fldCharType="separate"/>
      </w:r>
      <w:r>
        <w:rPr>
          <w:rStyle w:val="31"/>
        </w:rPr>
        <w:t>摘要</w:t>
      </w:r>
      <w:r>
        <w:rPr>
          <w:rFonts w:hint="eastAsia"/>
        </w:rPr>
        <w:tab/>
      </w:r>
      <w:r>
        <w:rPr>
          <w:rFonts w:hint="eastAsia"/>
        </w:rPr>
        <w:fldChar w:fldCharType="begin"/>
      </w:r>
      <w:r>
        <w:rPr>
          <w:rFonts w:hint="eastAsia"/>
        </w:rPr>
        <w:instrText xml:space="preserve"> </w:instrText>
      </w:r>
      <w:r>
        <w:instrText xml:space="preserve">PAGEREF _Toc243339180 \h</w:instrText>
      </w:r>
      <w:r>
        <w:rPr>
          <w:rFonts w:hint="eastAsia"/>
        </w:rPr>
        <w:instrText xml:space="preserve"> </w:instrText>
      </w:r>
      <w:r>
        <w:rPr>
          <w:rFonts w:hint="eastAsia"/>
        </w:rPr>
        <w:fldChar w:fldCharType="separate"/>
      </w:r>
      <w:r>
        <w:t>I</w:t>
      </w:r>
      <w:r>
        <w:rPr>
          <w:rFonts w:hint="eastAsia"/>
        </w:rPr>
        <w:fldChar w:fldCharType="end"/>
      </w:r>
      <w:r>
        <w:rPr>
          <w:rFonts w:hint="eastAsia"/>
        </w:rPr>
        <w:fldChar w:fldCharType="end"/>
      </w:r>
    </w:p>
    <w:p w14:paraId="05D9E9C4">
      <w:pPr>
        <w:pStyle w:val="19"/>
        <w:rPr>
          <w:rFonts w:hint="eastAsia" w:asciiTheme="minorHAnsi" w:hAnsiTheme="minorHAnsi" w:eastAsiaTheme="minorEastAsia" w:cstheme="minorBidi"/>
          <w:color w:val="auto"/>
          <w:kern w:val="2"/>
          <w:sz w:val="22"/>
          <w14:ligatures w14:val="standardContextual"/>
        </w:rPr>
      </w:pPr>
      <w:r>
        <w:fldChar w:fldCharType="begin"/>
      </w:r>
      <w:r>
        <w:instrText xml:space="preserve"> HYPERLINK \l "_Toc243339181" </w:instrText>
      </w:r>
      <w:r>
        <w:fldChar w:fldCharType="separate"/>
      </w:r>
      <w:r>
        <w:rPr>
          <w:rStyle w:val="31"/>
        </w:rPr>
        <w:t>Abstract</w:t>
      </w:r>
      <w:r>
        <w:rPr>
          <w:rFonts w:hint="eastAsia"/>
        </w:rPr>
        <w:tab/>
      </w:r>
      <w:r>
        <w:rPr>
          <w:rFonts w:hint="eastAsia"/>
        </w:rPr>
        <w:fldChar w:fldCharType="begin"/>
      </w:r>
      <w:r>
        <w:rPr>
          <w:rFonts w:hint="eastAsia"/>
        </w:rPr>
        <w:instrText xml:space="preserve"> </w:instrText>
      </w:r>
      <w:r>
        <w:instrText xml:space="preserve">PAGEREF _Toc243339181 \h</w:instrText>
      </w:r>
      <w:r>
        <w:rPr>
          <w:rFonts w:hint="eastAsia"/>
        </w:rPr>
        <w:instrText xml:space="preserve"> </w:instrText>
      </w:r>
      <w:r>
        <w:rPr>
          <w:rFonts w:hint="eastAsia"/>
        </w:rPr>
        <w:fldChar w:fldCharType="separate"/>
      </w:r>
      <w:r>
        <w:t>II</w:t>
      </w:r>
      <w:r>
        <w:rPr>
          <w:rFonts w:hint="eastAsia"/>
        </w:rPr>
        <w:fldChar w:fldCharType="end"/>
      </w:r>
      <w:r>
        <w:rPr>
          <w:rFonts w:hint="eastAsia"/>
        </w:rPr>
        <w:fldChar w:fldCharType="end"/>
      </w:r>
    </w:p>
    <w:p w14:paraId="13E9AC38">
      <w:pPr>
        <w:pStyle w:val="19"/>
        <w:rPr>
          <w:rFonts w:hint="eastAsia" w:asciiTheme="minorHAnsi" w:hAnsiTheme="minorHAnsi" w:eastAsiaTheme="minorEastAsia" w:cstheme="minorBidi"/>
          <w:color w:val="auto"/>
          <w:kern w:val="2"/>
          <w:sz w:val="22"/>
          <w14:ligatures w14:val="standardContextual"/>
        </w:rPr>
      </w:pPr>
      <w:r>
        <w:fldChar w:fldCharType="begin"/>
      </w:r>
      <w:r>
        <w:instrText xml:space="preserve"> HYPERLINK \l "_Toc243339182" </w:instrText>
      </w:r>
      <w:r>
        <w:fldChar w:fldCharType="separate"/>
      </w:r>
      <w:r>
        <w:rPr>
          <w:rStyle w:val="31"/>
        </w:rPr>
        <w:t>第1章 绪论</w:t>
      </w:r>
      <w:r>
        <w:rPr>
          <w:rFonts w:hint="eastAsia"/>
        </w:rPr>
        <w:tab/>
      </w:r>
      <w:r>
        <w:rPr>
          <w:rFonts w:hint="eastAsia"/>
        </w:rPr>
        <w:fldChar w:fldCharType="begin"/>
      </w:r>
      <w:r>
        <w:rPr>
          <w:rFonts w:hint="eastAsia"/>
        </w:rPr>
        <w:instrText xml:space="preserve"> </w:instrText>
      </w:r>
      <w:r>
        <w:instrText xml:space="preserve">PAGEREF _Toc243339182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068093AC">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"_Toc243339183" </w:instrText>
      </w:r>
      <w:r>
        <w:fldChar w:fldCharType="separate"/>
      </w:r>
      <w:r>
        <w:rPr>
          <w:rStyle w:val="31"/>
        </w:rPr>
        <w:t>1.1 研究背景与意义</w:t>
      </w:r>
      <w:r>
        <w:rPr>
          <w:rFonts w:hint="eastAsia"/>
        </w:rPr>
        <w:tab/>
      </w:r>
      <w:r>
        <w:rPr>
          <w:rFonts w:hint="eastAsia"/>
        </w:rPr>
        <w:fldChar w:fldCharType="begin"/>
      </w:r>
      <w:r>
        <w:rPr>
          <w:rFonts w:hint="eastAsia"/>
        </w:rPr>
        <w:instrText xml:space="preserve"> </w:instrText>
      </w:r>
      <w:r>
        <w:instrText xml:space="preserve">PAGEREF _Toc243339183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0DADF139">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"_Toc243339184" </w:instrText>
      </w:r>
      <w:r>
        <w:fldChar w:fldCharType="separate"/>
      </w:r>
      <w:r>
        <w:rPr>
          <w:rStyle w:val="31"/>
        </w:rPr>
        <w:t>1.1.1 非结构化场景下机械臂视觉引导作业需求</w:t>
      </w:r>
      <w:r>
        <w:rPr>
          <w:rFonts w:hint="eastAsia"/>
        </w:rPr>
        <w:tab/>
      </w:r>
      <w:r>
        <w:rPr>
          <w:rFonts w:hint="eastAsia"/>
        </w:rPr>
        <w:fldChar w:fldCharType="begin"/>
      </w:r>
      <w:r>
        <w:rPr>
          <w:rFonts w:hint="eastAsia"/>
        </w:rPr>
        <w:instrText xml:space="preserve"> </w:instrText>
      </w:r>
      <w:r>
        <w:instrText xml:space="preserve">PAGEREF _Toc243339184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650BD2F9">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"_Toc243339185" </w:instrText>
      </w:r>
      <w:r>
        <w:fldChar w:fldCharType="separate"/>
      </w:r>
      <w:r>
        <w:rPr>
          <w:rStyle w:val="31"/>
        </w:rPr>
        <w:t>1.1.2 个体化目标定位与高效路径规划的研究意义</w:t>
      </w:r>
      <w:r>
        <w:rPr>
          <w:rFonts w:hint="eastAsia"/>
        </w:rPr>
        <w:tab/>
      </w:r>
      <w:r>
        <w:rPr>
          <w:rFonts w:hint="eastAsia"/>
        </w:rPr>
        <w:fldChar w:fldCharType="begin"/>
      </w:r>
      <w:r>
        <w:rPr>
          <w:rFonts w:hint="eastAsia"/>
        </w:rPr>
        <w:instrText xml:space="preserve"> </w:instrText>
      </w:r>
      <w:r>
        <w:instrText xml:space="preserve">PAGEREF _Toc243339185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11A98E4D">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"_Toc243339186" </w:instrText>
      </w:r>
      <w:r>
        <w:fldChar w:fldCharType="separate"/>
      </w:r>
      <w:r>
        <w:rPr>
          <w:rStyle w:val="31"/>
        </w:rPr>
        <w:t>1.2 国内外研究现状</w:t>
      </w:r>
      <w:r>
        <w:rPr>
          <w:rFonts w:hint="eastAsia"/>
        </w:rPr>
        <w:tab/>
      </w:r>
      <w:r>
        <w:rPr>
          <w:rFonts w:hint="eastAsia"/>
        </w:rPr>
        <w:fldChar w:fldCharType="begin"/>
      </w:r>
      <w:r>
        <w:rPr>
          <w:rFonts w:hint="eastAsia"/>
        </w:rPr>
        <w:instrText xml:space="preserve"> </w:instrText>
      </w:r>
      <w:r>
        <w:instrText xml:space="preserve">PAGEREF _Toc243339186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30C4CC68">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"_Toc243339187" </w:instrText>
      </w:r>
      <w:r>
        <w:fldChar w:fldCharType="separate"/>
      </w:r>
      <w:r>
        <w:rPr>
          <w:rStyle w:val="31"/>
        </w:rPr>
        <w:t>1.2.1 人体关键点检测与穴位视觉定位研究现状</w:t>
      </w:r>
      <w:r>
        <w:rPr>
          <w:rFonts w:hint="eastAsia"/>
        </w:rPr>
        <w:tab/>
      </w:r>
      <w:r>
        <w:rPr>
          <w:rFonts w:hint="eastAsia"/>
        </w:rPr>
        <w:fldChar w:fldCharType="begin"/>
      </w:r>
      <w:r>
        <w:rPr>
          <w:rFonts w:hint="eastAsia"/>
        </w:rPr>
        <w:instrText xml:space="preserve"> </w:instrText>
      </w:r>
      <w:r>
        <w:instrText xml:space="preserve">PAGEREF _Toc243339187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08E2809C">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"_Toc243339188" </w:instrText>
      </w:r>
      <w:r>
        <w:fldChar w:fldCharType="separate"/>
      </w:r>
      <w:r>
        <w:rPr>
          <w:rStyle w:val="31"/>
        </w:rPr>
        <w:t>1.2.2 视觉引导机械臂作业研究现状</w:t>
      </w:r>
      <w:r>
        <w:rPr>
          <w:rFonts w:hint="eastAsia"/>
        </w:rPr>
        <w:tab/>
      </w:r>
      <w:r>
        <w:rPr>
          <w:rFonts w:hint="eastAsia"/>
        </w:rPr>
        <w:fldChar w:fldCharType="begin"/>
      </w:r>
      <w:r>
        <w:rPr>
          <w:rFonts w:hint="eastAsia"/>
        </w:rPr>
        <w:instrText xml:space="preserve"> </w:instrText>
      </w:r>
      <w:r>
        <w:instrText xml:space="preserve">PAGEREF _Toc243339188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746C9771">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"_Toc243339189" </w:instrText>
      </w:r>
      <w:r>
        <w:fldChar w:fldCharType="separate"/>
      </w:r>
      <w:r>
        <w:rPr>
          <w:rStyle w:val="31"/>
        </w:rPr>
        <w:t>1.2.3 基于采样的路径规划研究现状</w:t>
      </w:r>
      <w:r>
        <w:rPr>
          <w:rFonts w:hint="eastAsia"/>
        </w:rPr>
        <w:tab/>
      </w:r>
      <w:r>
        <w:rPr>
          <w:rFonts w:hint="eastAsia"/>
        </w:rPr>
        <w:fldChar w:fldCharType="begin"/>
      </w:r>
      <w:r>
        <w:rPr>
          <w:rFonts w:hint="eastAsia"/>
        </w:rPr>
        <w:instrText xml:space="preserve"> </w:instrText>
      </w:r>
      <w:r>
        <w:instrText xml:space="preserve">PAGEREF _Toc243339189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04FAC1CA">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"_Toc243339190" </w:instrText>
      </w:r>
      <w:r>
        <w:fldChar w:fldCharType="separate"/>
      </w:r>
      <w:r>
        <w:rPr>
          <w:rStyle w:val="31"/>
        </w:rPr>
        <w:t>1.2.4 现有研究不足</w:t>
      </w:r>
      <w:r>
        <w:rPr>
          <w:rFonts w:hint="eastAsia"/>
        </w:rPr>
        <w:tab/>
      </w:r>
      <w:r>
        <w:rPr>
          <w:rFonts w:hint="eastAsia"/>
        </w:rPr>
        <w:fldChar w:fldCharType="begin"/>
      </w:r>
      <w:r>
        <w:rPr>
          <w:rFonts w:hint="eastAsia"/>
        </w:rPr>
        <w:instrText xml:space="preserve"> </w:instrText>
      </w:r>
      <w:r>
        <w:instrText xml:space="preserve">PAGEREF _Toc243339190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22E9200D">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"_Toc243339191" </w:instrText>
      </w:r>
      <w:r>
        <w:fldChar w:fldCharType="separate"/>
      </w:r>
      <w:r>
        <w:rPr>
          <w:rStyle w:val="31"/>
        </w:rPr>
        <w:t>1.3 主要研究内容与技术路线</w:t>
      </w:r>
      <w:r>
        <w:rPr>
          <w:rFonts w:hint="eastAsia"/>
        </w:rPr>
        <w:tab/>
      </w:r>
      <w:r>
        <w:rPr>
          <w:rFonts w:hint="eastAsia"/>
        </w:rPr>
        <w:fldChar w:fldCharType="begin"/>
      </w:r>
      <w:r>
        <w:rPr>
          <w:rFonts w:hint="eastAsia"/>
        </w:rPr>
        <w:instrText xml:space="preserve"> </w:instrText>
      </w:r>
      <w:r>
        <w:instrText xml:space="preserve">PAGEREF _Toc243339191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647F5901">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"_Toc243339192" </w:instrText>
      </w:r>
      <w:r>
        <w:fldChar w:fldCharType="separate"/>
      </w:r>
      <w:r>
        <w:rPr>
          <w:rStyle w:val="31"/>
        </w:rPr>
        <w:t>1.3.1 主要研究内容</w:t>
      </w:r>
      <w:r>
        <w:rPr>
          <w:rFonts w:hint="eastAsia"/>
        </w:rPr>
        <w:tab/>
      </w:r>
      <w:r>
        <w:rPr>
          <w:rFonts w:hint="eastAsia"/>
        </w:rPr>
        <w:fldChar w:fldCharType="begin"/>
      </w:r>
      <w:r>
        <w:rPr>
          <w:rFonts w:hint="eastAsia"/>
        </w:rPr>
        <w:instrText xml:space="preserve"> </w:instrText>
      </w:r>
      <w:r>
        <w:instrText xml:space="preserve">PAGEREF _Toc243339192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048663BE">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"_Toc243339193" </w:instrText>
      </w:r>
      <w:r>
        <w:fldChar w:fldCharType="separate"/>
      </w:r>
      <w:r>
        <w:rPr>
          <w:rStyle w:val="31"/>
        </w:rPr>
        <w:t>1.3.2 总体技术路线</w:t>
      </w:r>
      <w:r>
        <w:rPr>
          <w:rFonts w:hint="eastAsia"/>
        </w:rPr>
        <w:tab/>
      </w:r>
      <w:r>
        <w:rPr>
          <w:rFonts w:hint="eastAsia"/>
        </w:rPr>
        <w:fldChar w:fldCharType="begin"/>
      </w:r>
      <w:r>
        <w:rPr>
          <w:rFonts w:hint="eastAsia"/>
        </w:rPr>
        <w:instrText xml:space="preserve"> </w:instrText>
      </w:r>
      <w:r>
        <w:instrText xml:space="preserve">PAGEREF _Toc243339193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32AD2479">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"_Toc243339194" </w:instrText>
      </w:r>
      <w:r>
        <w:fldChar w:fldCharType="separate"/>
      </w:r>
      <w:r>
        <w:rPr>
          <w:rStyle w:val="31"/>
        </w:rPr>
        <w:t>1.4 论文组织结构</w:t>
      </w:r>
      <w:r>
        <w:rPr>
          <w:rFonts w:hint="eastAsia"/>
        </w:rPr>
        <w:tab/>
      </w:r>
      <w:r>
        <w:rPr>
          <w:rFonts w:hint="eastAsia"/>
        </w:rPr>
        <w:fldChar w:fldCharType="begin"/>
      </w:r>
      <w:r>
        <w:rPr>
          <w:rFonts w:hint="eastAsia"/>
        </w:rPr>
        <w:instrText xml:space="preserve"> </w:instrText>
      </w:r>
      <w:r>
        <w:instrText xml:space="preserve">PAGEREF _Toc243339194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375D157E">
      <w:pPr>
        <w:pStyle w:val="19"/>
        <w:rPr>
          <w:rFonts w:hint="eastAsia" w:asciiTheme="minorHAnsi" w:hAnsiTheme="minorHAnsi" w:eastAsiaTheme="minorEastAsia" w:cstheme="minorBidi"/>
          <w:color w:val="auto"/>
          <w:kern w:val="2"/>
          <w:sz w:val="22"/>
          <w14:ligatures w14:val="standardContextual"/>
        </w:rPr>
      </w:pPr>
      <w:r>
        <w:fldChar w:fldCharType="begin"/>
      </w:r>
      <w:r>
        <w:instrText xml:space="preserve"> HYPERLINK \l "_Toc243339195" </w:instrText>
      </w:r>
      <w:r>
        <w:fldChar w:fldCharType="separate"/>
      </w:r>
      <w:r>
        <w:rPr>
          <w:rStyle w:val="31"/>
        </w:rPr>
        <w:t>第2章 机械臂运动学建模与分析</w:t>
      </w:r>
      <w:r>
        <w:rPr>
          <w:rFonts w:hint="eastAsia"/>
        </w:rPr>
        <w:tab/>
      </w:r>
      <w:r>
        <w:rPr>
          <w:rFonts w:hint="eastAsia"/>
        </w:rPr>
        <w:fldChar w:fldCharType="begin"/>
      </w:r>
      <w:r>
        <w:rPr>
          <w:rFonts w:hint="eastAsia"/>
        </w:rPr>
        <w:instrText xml:space="preserve"> </w:instrText>
      </w:r>
      <w:r>
        <w:instrText xml:space="preserve">PAGEREF _Toc243339195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090E4CF5">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"_Toc243339196" </w:instrText>
      </w:r>
      <w:r>
        <w:fldChar w:fldCharType="separate"/>
      </w:r>
      <w:r>
        <w:rPr>
          <w:rStyle w:val="31"/>
        </w:rPr>
        <w:t>2.1 机械臂位姿描述与坐标变换</w:t>
      </w:r>
      <w:r>
        <w:rPr>
          <w:rFonts w:hint="eastAsia"/>
        </w:rPr>
        <w:tab/>
      </w:r>
      <w:r>
        <w:rPr>
          <w:rFonts w:hint="eastAsia"/>
        </w:rPr>
        <w:fldChar w:fldCharType="begin"/>
      </w:r>
      <w:r>
        <w:rPr>
          <w:rFonts w:hint="eastAsia"/>
        </w:rPr>
        <w:instrText xml:space="preserve"> </w:instrText>
      </w:r>
      <w:r>
        <w:instrText xml:space="preserve">PAGEREF _Toc243339196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04AAFFBD">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"_Toc243339197" </w:instrText>
      </w:r>
      <w:r>
        <w:fldChar w:fldCharType="separate"/>
      </w:r>
      <w:r>
        <w:rPr>
          <w:rStyle w:val="31"/>
        </w:rPr>
        <w:t>2.1.1 位置与姿态表示</w:t>
      </w:r>
      <w:r>
        <w:rPr>
          <w:rFonts w:hint="eastAsia"/>
        </w:rPr>
        <w:tab/>
      </w:r>
      <w:r>
        <w:rPr>
          <w:rFonts w:hint="eastAsia"/>
        </w:rPr>
        <w:fldChar w:fldCharType="begin"/>
      </w:r>
      <w:r>
        <w:rPr>
          <w:rFonts w:hint="eastAsia"/>
        </w:rPr>
        <w:instrText xml:space="preserve"> </w:instrText>
      </w:r>
      <w:r>
        <w:instrText xml:space="preserve">PAGEREF _Toc243339197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2F21B9FF">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"_Toc243339198" </w:instrText>
      </w:r>
      <w:r>
        <w:fldChar w:fldCharType="separate"/>
      </w:r>
      <w:r>
        <w:rPr>
          <w:rStyle w:val="31"/>
        </w:rPr>
        <w:t>2.1.2 齐次坐标变换</w:t>
      </w:r>
      <w:r>
        <w:rPr>
          <w:rFonts w:hint="eastAsia"/>
        </w:rPr>
        <w:tab/>
      </w:r>
      <w:r>
        <w:rPr>
          <w:rFonts w:hint="eastAsia"/>
        </w:rPr>
        <w:fldChar w:fldCharType="begin"/>
      </w:r>
      <w:r>
        <w:rPr>
          <w:rFonts w:hint="eastAsia"/>
        </w:rPr>
        <w:instrText xml:space="preserve"> </w:instrText>
      </w:r>
      <w:r>
        <w:instrText xml:space="preserve">PAGEREF _Toc243339198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3BE9384A">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"_Toc243339199" </w:instrText>
      </w:r>
      <w:r>
        <w:fldChar w:fldCharType="separate"/>
      </w:r>
      <w:r>
        <w:rPr>
          <w:rStyle w:val="31"/>
        </w:rPr>
        <w:t>2.2 机械臂运动学模型建立</w:t>
      </w:r>
      <w:r>
        <w:rPr>
          <w:rFonts w:hint="eastAsia"/>
        </w:rPr>
        <w:tab/>
      </w:r>
      <w:r>
        <w:rPr>
          <w:rFonts w:hint="eastAsia"/>
        </w:rPr>
        <w:fldChar w:fldCharType="begin"/>
      </w:r>
      <w:r>
        <w:rPr>
          <w:rFonts w:hint="eastAsia"/>
        </w:rPr>
        <w:instrText xml:space="preserve"> </w:instrText>
      </w:r>
      <w:r>
        <w:instrText xml:space="preserve">PAGEREF _Toc243339199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7D2141C0">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"_Toc243339200" </w:instrText>
      </w:r>
      <w:r>
        <w:fldChar w:fldCharType="separate"/>
      </w:r>
      <w:r>
        <w:rPr>
          <w:rStyle w:val="31"/>
        </w:rPr>
        <w:t>2.2.1 机械臂结构与连杆坐标系</w:t>
      </w:r>
      <w:r>
        <w:rPr>
          <w:rFonts w:hint="eastAsia"/>
        </w:rPr>
        <w:tab/>
      </w:r>
      <w:r>
        <w:rPr>
          <w:rFonts w:hint="eastAsia"/>
        </w:rPr>
        <w:fldChar w:fldCharType="begin"/>
      </w:r>
      <w:r>
        <w:rPr>
          <w:rFonts w:hint="eastAsia"/>
        </w:rPr>
        <w:instrText xml:space="preserve"> </w:instrText>
      </w:r>
      <w:r>
        <w:instrText xml:space="preserve">PAGEREF _Toc243339200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7FE45EE7">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"_Toc243339201" </w:instrText>
      </w:r>
      <w:r>
        <w:fldChar w:fldCharType="separate"/>
      </w:r>
      <w:r>
        <w:rPr>
          <w:rStyle w:val="31"/>
        </w:rPr>
        <w:t>2.2.2 D-H参数与连杆变换关系</w:t>
      </w:r>
      <w:r>
        <w:rPr>
          <w:rFonts w:hint="eastAsia"/>
        </w:rPr>
        <w:tab/>
      </w:r>
      <w:r>
        <w:rPr>
          <w:rFonts w:hint="eastAsia"/>
        </w:rPr>
        <w:fldChar w:fldCharType="begin"/>
      </w:r>
      <w:r>
        <w:rPr>
          <w:rFonts w:hint="eastAsia"/>
        </w:rPr>
        <w:instrText xml:space="preserve"> </w:instrText>
      </w:r>
      <w:r>
        <w:instrText xml:space="preserve">PAGEREF _Toc243339201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7719C35E">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"_Toc243339202" </w:instrText>
      </w:r>
      <w:r>
        <w:fldChar w:fldCharType="separate"/>
      </w:r>
      <w:r>
        <w:rPr>
          <w:rStyle w:val="31"/>
        </w:rPr>
        <w:t>2.3 正逆运动学分析</w:t>
      </w:r>
      <w:r>
        <w:rPr>
          <w:rFonts w:hint="eastAsia"/>
        </w:rPr>
        <w:tab/>
      </w:r>
      <w:r>
        <w:rPr>
          <w:rFonts w:hint="eastAsia"/>
        </w:rPr>
        <w:fldChar w:fldCharType="begin"/>
      </w:r>
      <w:r>
        <w:rPr>
          <w:rFonts w:hint="eastAsia"/>
        </w:rPr>
        <w:instrText xml:space="preserve"> </w:instrText>
      </w:r>
      <w:r>
        <w:instrText xml:space="preserve">PAGEREF _Toc243339202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3268EC4E">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"_Toc243339203" </w:instrText>
      </w:r>
      <w:r>
        <w:fldChar w:fldCharType="separate"/>
      </w:r>
      <w:r>
        <w:rPr>
          <w:rStyle w:val="31"/>
        </w:rPr>
        <w:t>2.3.1 正运动学求解</w:t>
      </w:r>
      <w:r>
        <w:rPr>
          <w:rFonts w:hint="eastAsia"/>
        </w:rPr>
        <w:tab/>
      </w:r>
      <w:r>
        <w:rPr>
          <w:rFonts w:hint="eastAsia"/>
        </w:rPr>
        <w:fldChar w:fldCharType="begin"/>
      </w:r>
      <w:r>
        <w:rPr>
          <w:rFonts w:hint="eastAsia"/>
        </w:rPr>
        <w:instrText xml:space="preserve"> </w:instrText>
      </w:r>
      <w:r>
        <w:instrText xml:space="preserve">PAGEREF _Toc243339203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7E3E2940">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"_Toc243339204" </w:instrText>
      </w:r>
      <w:r>
        <w:fldChar w:fldCharType="separate"/>
      </w:r>
      <w:r>
        <w:rPr>
          <w:rStyle w:val="31"/>
        </w:rPr>
        <w:t>2.3.2 逆运动学求解</w:t>
      </w:r>
      <w:r>
        <w:rPr>
          <w:rFonts w:hint="eastAsia"/>
        </w:rPr>
        <w:tab/>
      </w:r>
      <w:r>
        <w:rPr>
          <w:rFonts w:hint="eastAsia"/>
        </w:rPr>
        <w:fldChar w:fldCharType="begin"/>
      </w:r>
      <w:r>
        <w:rPr>
          <w:rFonts w:hint="eastAsia"/>
        </w:rPr>
        <w:instrText xml:space="preserve"> </w:instrText>
      </w:r>
      <w:r>
        <w:instrText xml:space="preserve">PAGEREF _Toc243339204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31C16FF1">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"_Toc243339205" </w:instrText>
      </w:r>
      <w:r>
        <w:fldChar w:fldCharType="separate"/>
      </w:r>
      <w:r>
        <w:rPr>
          <w:rStyle w:val="31"/>
        </w:rPr>
        <w:t>2.3.3 运动学模型验证</w:t>
      </w:r>
      <w:r>
        <w:rPr>
          <w:rFonts w:hint="eastAsia"/>
        </w:rPr>
        <w:tab/>
      </w:r>
      <w:r>
        <w:rPr>
          <w:rFonts w:hint="eastAsia"/>
        </w:rPr>
        <w:fldChar w:fldCharType="begin"/>
      </w:r>
      <w:r>
        <w:rPr>
          <w:rFonts w:hint="eastAsia"/>
        </w:rPr>
        <w:instrText xml:space="preserve"> </w:instrText>
      </w:r>
      <w:r>
        <w:instrText xml:space="preserve">PAGEREF _Toc243339205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64F03568">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"_Toc243339206" </w:instrText>
      </w:r>
      <w:r>
        <w:fldChar w:fldCharType="separate"/>
      </w:r>
      <w:r>
        <w:rPr>
          <w:rStyle w:val="31"/>
        </w:rPr>
        <w:t>2.4 机械臂工作空间与运动约束</w:t>
      </w:r>
      <w:r>
        <w:rPr>
          <w:rFonts w:hint="eastAsia"/>
        </w:rPr>
        <w:tab/>
      </w:r>
      <w:r>
        <w:rPr>
          <w:rFonts w:hint="eastAsia"/>
        </w:rPr>
        <w:fldChar w:fldCharType="begin"/>
      </w:r>
      <w:r>
        <w:rPr>
          <w:rFonts w:hint="eastAsia"/>
        </w:rPr>
        <w:instrText xml:space="preserve"> </w:instrText>
      </w:r>
      <w:r>
        <w:instrText xml:space="preserve">PAGEREF _Toc243339206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6E3DD435">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"_Toc243339207" </w:instrText>
      </w:r>
      <w:r>
        <w:fldChar w:fldCharType="separate"/>
      </w:r>
      <w:r>
        <w:rPr>
          <w:rStyle w:val="31"/>
        </w:rPr>
        <w:t>2.4.1 工作空间分析</w:t>
      </w:r>
      <w:r>
        <w:rPr>
          <w:rFonts w:hint="eastAsia"/>
        </w:rPr>
        <w:tab/>
      </w:r>
      <w:r>
        <w:rPr>
          <w:rFonts w:hint="eastAsia"/>
        </w:rPr>
        <w:fldChar w:fldCharType="begin"/>
      </w:r>
      <w:r>
        <w:rPr>
          <w:rFonts w:hint="eastAsia"/>
        </w:rPr>
        <w:instrText xml:space="preserve"> </w:instrText>
      </w:r>
      <w:r>
        <w:instrText xml:space="preserve">PAGEREF _Toc243339207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5502F801">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"_Toc243339208" </w:instrText>
      </w:r>
      <w:r>
        <w:fldChar w:fldCharType="separate"/>
      </w:r>
      <w:r>
        <w:rPr>
          <w:rStyle w:val="31"/>
        </w:rPr>
        <w:t>2.4.2 关节限位与末端可达性</w:t>
      </w:r>
      <w:r>
        <w:rPr>
          <w:rFonts w:hint="eastAsia"/>
        </w:rPr>
        <w:tab/>
      </w:r>
      <w:r>
        <w:rPr>
          <w:rFonts w:hint="eastAsia"/>
        </w:rPr>
        <w:fldChar w:fldCharType="begin"/>
      </w:r>
      <w:r>
        <w:rPr>
          <w:rFonts w:hint="eastAsia"/>
        </w:rPr>
        <w:instrText xml:space="preserve"> </w:instrText>
      </w:r>
      <w:r>
        <w:instrText xml:space="preserve">PAGEREF _Toc243339208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6DF116DA">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"_Toc243339209" </w:instrText>
      </w:r>
      <w:r>
        <w:fldChar w:fldCharType="separate"/>
      </w:r>
      <w:r>
        <w:rPr>
          <w:rStyle w:val="31"/>
        </w:rPr>
        <w:t>2.5 本章小结</w:t>
      </w:r>
      <w:r>
        <w:rPr>
          <w:rFonts w:hint="eastAsia"/>
        </w:rPr>
        <w:tab/>
      </w:r>
      <w:r>
        <w:rPr>
          <w:rFonts w:hint="eastAsia"/>
        </w:rPr>
        <w:fldChar w:fldCharType="begin"/>
      </w:r>
      <w:r>
        <w:rPr>
          <w:rFonts w:hint="eastAsia"/>
        </w:rPr>
        <w:instrText xml:space="preserve"> </w:instrText>
      </w:r>
      <w:r>
        <w:instrText xml:space="preserve">PAGEREF _Toc243339209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550696E4">
      <w:pPr>
        <w:pStyle w:val="19"/>
        <w:rPr>
          <w:rFonts w:hint="eastAsia" w:asciiTheme="minorHAnsi" w:hAnsiTheme="minorHAnsi" w:eastAsiaTheme="minorEastAsia" w:cstheme="minorBidi"/>
          <w:color w:val="auto"/>
          <w:kern w:val="2"/>
          <w:sz w:val="22"/>
          <w14:ligatures w14:val="standardContextual"/>
        </w:rPr>
      </w:pPr>
      <w:r>
        <w:fldChar w:fldCharType="begin"/>
      </w:r>
      <w:r>
        <w:instrText xml:space="preserve"> HYPERLINK \l "_Toc243339210" </w:instrText>
      </w:r>
      <w:r>
        <w:fldChar w:fldCharType="separate"/>
      </w:r>
      <w:r>
        <w:rPr>
          <w:rStyle w:val="31"/>
        </w:rPr>
        <w:t>第3章 基于YOLOv11-AMP的人体穴位视觉定位方法</w:t>
      </w:r>
      <w:r>
        <w:rPr>
          <w:rFonts w:hint="eastAsia"/>
        </w:rPr>
        <w:tab/>
      </w:r>
      <w:r>
        <w:rPr>
          <w:rFonts w:hint="eastAsia"/>
        </w:rPr>
        <w:fldChar w:fldCharType="begin"/>
      </w:r>
      <w:r>
        <w:rPr>
          <w:rFonts w:hint="eastAsia"/>
        </w:rPr>
        <w:instrText xml:space="preserve"> </w:instrText>
      </w:r>
      <w:r>
        <w:instrText xml:space="preserve">PAGEREF _Toc243339210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78D77FAB">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"_Toc243339211" </w:instrText>
      </w:r>
      <w:r>
        <w:fldChar w:fldCharType="separate"/>
      </w:r>
      <w:r>
        <w:rPr>
          <w:rStyle w:val="31"/>
        </w:rPr>
        <w:t>3.1 穴位视觉定位问题与算法总体框架</w:t>
      </w:r>
      <w:r>
        <w:rPr>
          <w:rFonts w:hint="eastAsia"/>
        </w:rPr>
        <w:tab/>
      </w:r>
      <w:r>
        <w:rPr>
          <w:rFonts w:hint="eastAsia"/>
        </w:rPr>
        <w:fldChar w:fldCharType="begin"/>
      </w:r>
      <w:r>
        <w:rPr>
          <w:rFonts w:hint="eastAsia"/>
        </w:rPr>
        <w:instrText xml:space="preserve"> </w:instrText>
      </w:r>
      <w:r>
        <w:instrText xml:space="preserve">PAGEREF _Toc243339211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7E49B0F6">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"_Toc243339212" </w:instrText>
      </w:r>
      <w:r>
        <w:fldChar w:fldCharType="separate"/>
      </w:r>
      <w:r>
        <w:rPr>
          <w:rStyle w:val="31"/>
        </w:rPr>
        <w:t>3.1.1 解剖锚点与隐式穴位的定位特点</w:t>
      </w:r>
      <w:r>
        <w:rPr>
          <w:rFonts w:hint="eastAsia"/>
        </w:rPr>
        <w:tab/>
      </w:r>
      <w:r>
        <w:rPr>
          <w:rFonts w:hint="eastAsia"/>
        </w:rPr>
        <w:fldChar w:fldCharType="begin"/>
      </w:r>
      <w:r>
        <w:rPr>
          <w:rFonts w:hint="eastAsia"/>
        </w:rPr>
        <w:instrText xml:space="preserve"> </w:instrText>
      </w:r>
      <w:r>
        <w:instrText xml:space="preserve">PAGEREF _Toc243339212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6C16D8A8">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"_Toc243339213" </w:instrText>
      </w:r>
      <w:r>
        <w:fldChar w:fldCharType="separate"/>
      </w:r>
      <w:r>
        <w:rPr>
          <w:rStyle w:val="31"/>
        </w:rPr>
        <w:t>3.1.2 YOLOv11-AMP算法总体流程</w:t>
      </w:r>
      <w:r>
        <w:rPr>
          <w:rFonts w:hint="eastAsia"/>
        </w:rPr>
        <w:tab/>
      </w:r>
      <w:r>
        <w:rPr>
          <w:rFonts w:hint="eastAsia"/>
        </w:rPr>
        <w:fldChar w:fldCharType="begin"/>
      </w:r>
      <w:r>
        <w:rPr>
          <w:rFonts w:hint="eastAsia"/>
        </w:rPr>
        <w:instrText xml:space="preserve"> </w:instrText>
      </w:r>
      <w:r>
        <w:instrText xml:space="preserve">PAGEREF _Toc243339213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438298A5">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"_Toc243339214" </w:instrText>
      </w:r>
      <w:r>
        <w:fldChar w:fldCharType="separate"/>
      </w:r>
      <w:r>
        <w:rPr>
          <w:rStyle w:val="31"/>
        </w:rPr>
        <w:t>3.2 解剖锚点数据集与模型训练</w:t>
      </w:r>
      <w:r>
        <w:rPr>
          <w:rFonts w:hint="eastAsia"/>
        </w:rPr>
        <w:tab/>
      </w:r>
      <w:r>
        <w:rPr>
          <w:rFonts w:hint="eastAsia"/>
        </w:rPr>
        <w:fldChar w:fldCharType="begin"/>
      </w:r>
      <w:r>
        <w:rPr>
          <w:rFonts w:hint="eastAsia"/>
        </w:rPr>
        <w:instrText xml:space="preserve"> </w:instrText>
      </w:r>
      <w:r>
        <w:instrText xml:space="preserve">PAGEREF _Toc243339214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0426D646">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"_Toc243339215" </w:instrText>
      </w:r>
      <w:r>
        <w:fldChar w:fldCharType="separate"/>
      </w:r>
      <w:r>
        <w:rPr>
          <w:rStyle w:val="31"/>
        </w:rPr>
        <w:t>3.2.1 数据采集、标注与数据集划分</w:t>
      </w:r>
      <w:r>
        <w:rPr>
          <w:rFonts w:hint="eastAsia"/>
        </w:rPr>
        <w:tab/>
      </w:r>
      <w:r>
        <w:rPr>
          <w:rFonts w:hint="eastAsia"/>
        </w:rPr>
        <w:fldChar w:fldCharType="begin"/>
      </w:r>
      <w:r>
        <w:rPr>
          <w:rFonts w:hint="eastAsia"/>
        </w:rPr>
        <w:instrText xml:space="preserve"> </w:instrText>
      </w:r>
      <w:r>
        <w:instrText xml:space="preserve">PAGEREF _Toc243339215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60F6F739">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"_Toc243339216" </w:instrText>
      </w:r>
      <w:r>
        <w:fldChar w:fldCharType="separate"/>
      </w:r>
      <w:r>
        <w:rPr>
          <w:rStyle w:val="31"/>
        </w:rPr>
        <w:t>3.2.2 YOLO11-Pose基础模型与训练配置</w:t>
      </w:r>
      <w:r>
        <w:rPr>
          <w:rFonts w:hint="eastAsia"/>
        </w:rPr>
        <w:tab/>
      </w:r>
      <w:r>
        <w:rPr>
          <w:rFonts w:hint="eastAsia"/>
        </w:rPr>
        <w:fldChar w:fldCharType="begin"/>
      </w:r>
      <w:r>
        <w:rPr>
          <w:rFonts w:hint="eastAsia"/>
        </w:rPr>
        <w:instrText xml:space="preserve"> </w:instrText>
      </w:r>
      <w:r>
        <w:instrText xml:space="preserve">PAGEREF _Toc243339216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7D771D98">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"_Toc243339217" </w:instrText>
      </w:r>
      <w:r>
        <w:fldChar w:fldCharType="separate"/>
      </w:r>
      <w:r>
        <w:rPr>
          <w:rStyle w:val="31"/>
        </w:rPr>
        <w:t>3.2.3 颈部、脐部及膝部锚点模型训练</w:t>
      </w:r>
      <w:r>
        <w:rPr>
          <w:rFonts w:hint="eastAsia"/>
        </w:rPr>
        <w:tab/>
      </w:r>
      <w:r>
        <w:rPr>
          <w:rFonts w:hint="eastAsia"/>
        </w:rPr>
        <w:fldChar w:fldCharType="begin"/>
      </w:r>
      <w:r>
        <w:rPr>
          <w:rFonts w:hint="eastAsia"/>
        </w:rPr>
        <w:instrText xml:space="preserve"> </w:instrText>
      </w:r>
      <w:r>
        <w:instrText xml:space="preserve">PAGEREF _Toc243339217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5DB752E4">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"_Toc243339218" </w:instrText>
      </w:r>
      <w:r>
        <w:fldChar w:fldCharType="separate"/>
      </w:r>
      <w:r>
        <w:rPr>
          <w:rStyle w:val="31"/>
        </w:rPr>
        <w:t>3.3 分部位解剖锚点检测</w:t>
      </w:r>
      <w:r>
        <w:rPr>
          <w:rFonts w:hint="eastAsia"/>
        </w:rPr>
        <w:tab/>
      </w:r>
      <w:r>
        <w:rPr>
          <w:rFonts w:hint="eastAsia"/>
        </w:rPr>
        <w:fldChar w:fldCharType="begin"/>
      </w:r>
      <w:r>
        <w:rPr>
          <w:rFonts w:hint="eastAsia"/>
        </w:rPr>
        <w:instrText xml:space="preserve"> </w:instrText>
      </w:r>
      <w:r>
        <w:instrText xml:space="preserve">PAGEREF _Toc243339218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5CF3ECA3">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"_Toc243339219" </w:instrText>
      </w:r>
      <w:r>
        <w:fldChar w:fldCharType="separate"/>
      </w:r>
      <w:r>
        <w:rPr>
          <w:rStyle w:val="31"/>
        </w:rPr>
        <w:t>3.3.1 部位编码驱动的模型调用</w:t>
      </w:r>
      <w:r>
        <w:rPr>
          <w:rFonts w:hint="eastAsia"/>
        </w:rPr>
        <w:tab/>
      </w:r>
      <w:r>
        <w:rPr>
          <w:rFonts w:hint="eastAsia"/>
        </w:rPr>
        <w:fldChar w:fldCharType="begin"/>
      </w:r>
      <w:r>
        <w:rPr>
          <w:rFonts w:hint="eastAsia"/>
        </w:rPr>
        <w:instrText xml:space="preserve"> </w:instrText>
      </w:r>
      <w:r>
        <w:instrText xml:space="preserve">PAGEREF _Toc243339219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14CA1411">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"_Toc243339220" </w:instrText>
      </w:r>
      <w:r>
        <w:fldChar w:fldCharType="separate"/>
      </w:r>
      <w:r>
        <w:rPr>
          <w:rStyle w:val="31"/>
        </w:rPr>
        <w:t>3.3.2 通用姿态模型与局部锚点模型协同</w:t>
      </w:r>
      <w:r>
        <w:rPr>
          <w:rFonts w:hint="eastAsia"/>
        </w:rPr>
        <w:tab/>
      </w:r>
      <w:r>
        <w:rPr>
          <w:rFonts w:hint="eastAsia"/>
        </w:rPr>
        <w:fldChar w:fldCharType="begin"/>
      </w:r>
      <w:r>
        <w:rPr>
          <w:rFonts w:hint="eastAsia"/>
        </w:rPr>
        <w:instrText xml:space="preserve"> </w:instrText>
      </w:r>
      <w:r>
        <w:instrText xml:space="preserve">PAGEREF _Toc243339220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27708467">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"_Toc243339221" </w:instrText>
      </w:r>
      <w:r>
        <w:fldChar w:fldCharType="separate"/>
      </w:r>
      <w:r>
        <w:rPr>
          <w:rStyle w:val="31"/>
        </w:rPr>
        <w:t>3.4 基于骨度约束的穴位几何推理</w:t>
      </w:r>
      <w:r>
        <w:rPr>
          <w:rFonts w:hint="eastAsia"/>
        </w:rPr>
        <w:tab/>
      </w:r>
      <w:r>
        <w:rPr>
          <w:rFonts w:hint="eastAsia"/>
        </w:rPr>
        <w:fldChar w:fldCharType="begin"/>
      </w:r>
      <w:r>
        <w:rPr>
          <w:rFonts w:hint="eastAsia"/>
        </w:rPr>
        <w:instrText xml:space="preserve"> </w:instrText>
      </w:r>
      <w:r>
        <w:instrText xml:space="preserve">PAGEREF _Toc243339221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22942E0C">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"_Toc243339222" </w:instrText>
      </w:r>
      <w:r>
        <w:fldChar w:fldCharType="separate"/>
      </w:r>
      <w:r>
        <w:rPr>
          <w:rStyle w:val="31"/>
        </w:rPr>
        <w:t>3.4.1 解剖基线与个体化尺度估计</w:t>
      </w:r>
      <w:r>
        <w:rPr>
          <w:rFonts w:hint="eastAsia"/>
        </w:rPr>
        <w:tab/>
      </w:r>
      <w:r>
        <w:rPr>
          <w:rFonts w:hint="eastAsia"/>
        </w:rPr>
        <w:fldChar w:fldCharType="begin"/>
      </w:r>
      <w:r>
        <w:rPr>
          <w:rFonts w:hint="eastAsia"/>
        </w:rPr>
        <w:instrText xml:space="preserve"> </w:instrText>
      </w:r>
      <w:r>
        <w:instrText xml:space="preserve">PAGEREF _Toc243339222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29B758E7">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"_Toc243339223" </w:instrText>
      </w:r>
      <w:r>
        <w:fldChar w:fldCharType="separate"/>
      </w:r>
      <w:r>
        <w:rPr>
          <w:rStyle w:val="31"/>
        </w:rPr>
        <w:t>3.4.2 穴位位置计算与规则库构建</w:t>
      </w:r>
      <w:r>
        <w:rPr>
          <w:rFonts w:hint="eastAsia"/>
        </w:rPr>
        <w:tab/>
      </w:r>
      <w:r>
        <w:rPr>
          <w:rFonts w:hint="eastAsia"/>
        </w:rPr>
        <w:fldChar w:fldCharType="begin"/>
      </w:r>
      <w:r>
        <w:rPr>
          <w:rFonts w:hint="eastAsia"/>
        </w:rPr>
        <w:instrText xml:space="preserve"> </w:instrText>
      </w:r>
      <w:r>
        <w:instrText xml:space="preserve">PAGEREF _Toc243339223 \h</w:instrText>
      </w:r>
      <w:r>
        <w:rPr>
          <w:rFonts w:hint="eastAsia"/>
        </w:rPr>
        <w:instrText xml:space="preserve"> </w:instrText>
      </w:r>
      <w:r>
        <w:rPr>
          <w:rFonts w:hint="eastAsia"/>
        </w:rPr>
        <w:fldChar w:fldCharType="separate"/>
      </w:r>
      <w:r>
        <w:t>18</w:t>
      </w:r>
      <w:r>
        <w:rPr>
          <w:rFonts w:hint="eastAsia"/>
        </w:rPr>
        <w:fldChar w:fldCharType="end"/>
      </w:r>
      <w:r>
        <w:rPr>
          <w:rFonts w:hint="eastAsia"/>
        </w:rPr>
        <w:fldChar w:fldCharType="end"/>
      </w:r>
    </w:p>
    <w:p w14:paraId="79DA67E3">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"_Toc243339224" </w:instrText>
      </w:r>
      <w:r>
        <w:fldChar w:fldCharType="separate"/>
      </w:r>
      <w:r>
        <w:rPr>
          <w:rStyle w:val="31"/>
        </w:rPr>
        <w:t>3.5 实验结果与分析</w:t>
      </w:r>
      <w:r>
        <w:rPr>
          <w:rFonts w:hint="eastAsia"/>
        </w:rPr>
        <w:tab/>
      </w:r>
      <w:r>
        <w:rPr>
          <w:rFonts w:hint="eastAsia"/>
        </w:rPr>
        <w:fldChar w:fldCharType="begin"/>
      </w:r>
      <w:r>
        <w:rPr>
          <w:rFonts w:hint="eastAsia"/>
        </w:rPr>
        <w:instrText xml:space="preserve"> </w:instrText>
      </w:r>
      <w:r>
        <w:instrText xml:space="preserve">PAGEREF _Toc243339224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4AD064BA">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"_Toc243339225" </w:instrText>
      </w:r>
      <w:r>
        <w:fldChar w:fldCharType="separate"/>
      </w:r>
      <w:r>
        <w:rPr>
          <w:rStyle w:val="31"/>
        </w:rPr>
        <w:t>3.5.1 实验设置与评价指标</w:t>
      </w:r>
      <w:r>
        <w:rPr>
          <w:rFonts w:hint="eastAsia"/>
        </w:rPr>
        <w:tab/>
      </w:r>
      <w:r>
        <w:rPr>
          <w:rFonts w:hint="eastAsia"/>
        </w:rPr>
        <w:fldChar w:fldCharType="begin"/>
      </w:r>
      <w:r>
        <w:rPr>
          <w:rFonts w:hint="eastAsia"/>
        </w:rPr>
        <w:instrText xml:space="preserve"> </w:instrText>
      </w:r>
      <w:r>
        <w:instrText xml:space="preserve">PAGEREF _Toc243339225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37B517C0">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"_Toc243339226" </w:instrText>
      </w:r>
      <w:r>
        <w:fldChar w:fldCharType="separate"/>
      </w:r>
      <w:r>
        <w:rPr>
          <w:rStyle w:val="31"/>
        </w:rPr>
        <w:t>3.5.2 锚点检测与训练结果</w:t>
      </w:r>
      <w:r>
        <w:rPr>
          <w:rFonts w:hint="eastAsia"/>
        </w:rPr>
        <w:tab/>
      </w:r>
      <w:r>
        <w:rPr>
          <w:rFonts w:hint="eastAsia"/>
        </w:rPr>
        <w:fldChar w:fldCharType="begin"/>
      </w:r>
      <w:r>
        <w:rPr>
          <w:rFonts w:hint="eastAsia"/>
        </w:rPr>
        <w:instrText xml:space="preserve"> </w:instrText>
      </w:r>
      <w:r>
        <w:instrText xml:space="preserve">PAGEREF _Toc243339226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395CF4F8">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"_Toc243339227" </w:instrText>
      </w:r>
      <w:r>
        <w:fldChar w:fldCharType="separate"/>
      </w:r>
      <w:r>
        <w:rPr>
          <w:rStyle w:val="31"/>
        </w:rPr>
        <w:t>3.5.3 穴位定位对比与消融分析</w:t>
      </w:r>
      <w:r>
        <w:rPr>
          <w:rFonts w:hint="eastAsia"/>
        </w:rPr>
        <w:tab/>
      </w:r>
      <w:r>
        <w:rPr>
          <w:rFonts w:hint="eastAsia"/>
        </w:rPr>
        <w:fldChar w:fldCharType="begin"/>
      </w:r>
      <w:r>
        <w:rPr>
          <w:rFonts w:hint="eastAsia"/>
        </w:rPr>
        <w:instrText xml:space="preserve"> </w:instrText>
      </w:r>
      <w:r>
        <w:instrText xml:space="preserve">PAGEREF _Toc243339227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3E2EAE3A">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"_Toc243339228" </w:instrText>
      </w:r>
      <w:r>
        <w:fldChar w:fldCharType="separate"/>
      </w:r>
      <w:r>
        <w:rPr>
          <w:rStyle w:val="31"/>
        </w:rPr>
        <w:t>3.5.4 推理效率与方法局限</w:t>
      </w:r>
      <w:r>
        <w:rPr>
          <w:rFonts w:hint="eastAsia"/>
        </w:rPr>
        <w:tab/>
      </w:r>
      <w:r>
        <w:rPr>
          <w:rFonts w:hint="eastAsia"/>
        </w:rPr>
        <w:fldChar w:fldCharType="begin"/>
      </w:r>
      <w:r>
        <w:rPr>
          <w:rFonts w:hint="eastAsia"/>
        </w:rPr>
        <w:instrText xml:space="preserve"> </w:instrText>
      </w:r>
      <w:r>
        <w:instrText xml:space="preserve">PAGEREF _Toc243339228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14:paraId="1FDEC2A3">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"_Toc243339229" </w:instrText>
      </w:r>
      <w:r>
        <w:fldChar w:fldCharType="separate"/>
      </w:r>
      <w:r>
        <w:rPr>
          <w:rStyle w:val="31"/>
        </w:rPr>
        <w:t>3.6 本章小结</w:t>
      </w:r>
      <w:r>
        <w:rPr>
          <w:rFonts w:hint="eastAsia"/>
        </w:rPr>
        <w:tab/>
      </w:r>
      <w:r>
        <w:rPr>
          <w:rFonts w:hint="eastAsia"/>
        </w:rPr>
        <w:fldChar w:fldCharType="begin"/>
      </w:r>
      <w:r>
        <w:rPr>
          <w:rFonts w:hint="eastAsia"/>
        </w:rPr>
        <w:instrText xml:space="preserve"> </w:instrText>
      </w:r>
      <w:r>
        <w:instrText xml:space="preserve">PAGEREF _Toc243339229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14:paraId="3FDD9958">
      <w:pPr>
        <w:pStyle w:val="19"/>
        <w:rPr>
          <w:rFonts w:hint="eastAsia" w:asciiTheme="minorHAnsi" w:hAnsiTheme="minorHAnsi" w:eastAsiaTheme="minorEastAsia" w:cstheme="minorBidi"/>
          <w:color w:val="auto"/>
          <w:kern w:val="2"/>
          <w:sz w:val="22"/>
          <w14:ligatures w14:val="standardContextual"/>
        </w:rPr>
      </w:pPr>
      <w:r>
        <w:fldChar w:fldCharType="begin"/>
      </w:r>
      <w:r>
        <w:instrText xml:space="preserve"> HYPERLINK \l "_Toc243339230" </w:instrText>
      </w:r>
      <w:r>
        <w:fldChar w:fldCharType="separate"/>
      </w:r>
      <w:r>
        <w:rPr>
          <w:rStyle w:val="31"/>
        </w:rPr>
        <w:t>第4章 基于自适应双椭球约束采样的SC-RRT路径规划方法</w:t>
      </w:r>
      <w:r>
        <w:rPr>
          <w:rFonts w:hint="eastAsia"/>
        </w:rPr>
        <w:tab/>
      </w:r>
      <w:r>
        <w:rPr>
          <w:rFonts w:hint="eastAsia"/>
        </w:rPr>
        <w:fldChar w:fldCharType="begin"/>
      </w:r>
      <w:r>
        <w:rPr>
          <w:rFonts w:hint="eastAsia"/>
        </w:rPr>
        <w:instrText xml:space="preserve"> </w:instrText>
      </w:r>
      <w:r>
        <w:instrText xml:space="preserve">PAGEREF _Toc243339230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33508C4D">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"_Toc243339231" </w:instrText>
      </w:r>
      <w:r>
        <w:fldChar w:fldCharType="separate"/>
      </w:r>
      <w:r>
        <w:rPr>
          <w:rStyle w:val="31"/>
        </w:rPr>
        <w:t>4.1 路径规划问题与基础算法</w:t>
      </w:r>
      <w:r>
        <w:rPr>
          <w:rFonts w:hint="eastAsia"/>
        </w:rPr>
        <w:tab/>
      </w:r>
      <w:r>
        <w:rPr>
          <w:rFonts w:hint="eastAsia"/>
        </w:rPr>
        <w:fldChar w:fldCharType="begin"/>
      </w:r>
      <w:r>
        <w:rPr>
          <w:rFonts w:hint="eastAsia"/>
        </w:rPr>
        <w:instrText xml:space="preserve"> </w:instrText>
      </w:r>
      <w:r>
        <w:instrText xml:space="preserve">PAGEREF _Toc243339231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34233CD1">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"_Toc243339232" </w:instrText>
      </w:r>
      <w:r>
        <w:fldChar w:fldCharType="separate"/>
      </w:r>
      <w:r>
        <w:rPr>
          <w:rStyle w:val="31"/>
        </w:rPr>
        <w:t>4.1.1 静态工作空间路径规划问题定义</w:t>
      </w:r>
      <w:r>
        <w:rPr>
          <w:rFonts w:hint="eastAsia"/>
        </w:rPr>
        <w:tab/>
      </w:r>
      <w:r>
        <w:rPr>
          <w:rFonts w:hint="eastAsia"/>
        </w:rPr>
        <w:fldChar w:fldCharType="begin"/>
      </w:r>
      <w:r>
        <w:rPr>
          <w:rFonts w:hint="eastAsia"/>
        </w:rPr>
        <w:instrText xml:space="preserve"> </w:instrText>
      </w:r>
      <w:r>
        <w:instrText xml:space="preserve">PAGEREF _Toc243339232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46E0E568">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"_Toc243339233" </w:instrText>
      </w:r>
      <w:r>
        <w:fldChar w:fldCharType="separate"/>
      </w:r>
      <w:r>
        <w:rPr>
          <w:rStyle w:val="31"/>
        </w:rPr>
        <w:t>4.1.2 RRT系列算法及其特点</w:t>
      </w:r>
      <w:r>
        <w:rPr>
          <w:rFonts w:hint="eastAsia"/>
        </w:rPr>
        <w:tab/>
      </w:r>
      <w:r>
        <w:rPr>
          <w:rFonts w:hint="eastAsia"/>
        </w:rPr>
        <w:fldChar w:fldCharType="begin"/>
      </w:r>
      <w:r>
        <w:rPr>
          <w:rFonts w:hint="eastAsia"/>
        </w:rPr>
        <w:instrText xml:space="preserve"> </w:instrText>
      </w:r>
      <w:r>
        <w:instrText xml:space="preserve">PAGEREF _Toc243339233 \h</w:instrText>
      </w:r>
      <w:r>
        <w:rPr>
          <w:rFonts w:hint="eastAsia"/>
        </w:rPr>
        <w:instrText xml:space="preserve"> </w:instrText>
      </w:r>
      <w:r>
        <w:rPr>
          <w:rFonts w:hint="eastAsia"/>
        </w:rPr>
        <w:fldChar w:fldCharType="separate"/>
      </w:r>
      <w:r>
        <w:t>22</w:t>
      </w:r>
      <w:r>
        <w:rPr>
          <w:rFonts w:hint="eastAsia"/>
        </w:rPr>
        <w:fldChar w:fldCharType="end"/>
      </w:r>
      <w:r>
        <w:rPr>
          <w:rFonts w:hint="eastAsia"/>
        </w:rPr>
        <w:fldChar w:fldCharType="end"/>
      </w:r>
    </w:p>
    <w:p w14:paraId="3CCDAB8F">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"_Toc243339234" </w:instrText>
      </w:r>
      <w:r>
        <w:fldChar w:fldCharType="separate"/>
      </w:r>
      <w:r>
        <w:rPr>
          <w:rStyle w:val="31"/>
        </w:rPr>
        <w:t>4.2 SC-RRT算法总体框架</w:t>
      </w:r>
      <w:r>
        <w:rPr>
          <w:rFonts w:hint="eastAsia"/>
        </w:rPr>
        <w:tab/>
      </w:r>
      <w:r>
        <w:rPr>
          <w:rFonts w:hint="eastAsia"/>
        </w:rPr>
        <w:fldChar w:fldCharType="begin"/>
      </w:r>
      <w:r>
        <w:rPr>
          <w:rFonts w:hint="eastAsia"/>
        </w:rPr>
        <w:instrText xml:space="preserve"> </w:instrText>
      </w:r>
      <w:r>
        <w:instrText xml:space="preserve">PAGEREF _Toc243339234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393B728D">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"_Toc243339235" </w:instrText>
      </w:r>
      <w:r>
        <w:fldChar w:fldCharType="separate"/>
      </w:r>
      <w:r>
        <w:rPr>
          <w:rStyle w:val="31"/>
        </w:rPr>
        <w:t>4.2.1 总体流程与双向树结构</w:t>
      </w:r>
      <w:r>
        <w:rPr>
          <w:rFonts w:hint="eastAsia"/>
        </w:rPr>
        <w:tab/>
      </w:r>
      <w:r>
        <w:rPr>
          <w:rFonts w:hint="eastAsia"/>
        </w:rPr>
        <w:fldChar w:fldCharType="begin"/>
      </w:r>
      <w:r>
        <w:rPr>
          <w:rFonts w:hint="eastAsia"/>
        </w:rPr>
        <w:instrText xml:space="preserve"> </w:instrText>
      </w:r>
      <w:r>
        <w:instrText xml:space="preserve">PAGEREF _Toc243339235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38A670C0">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"_Toc243339236" </w:instrText>
      </w:r>
      <w:r>
        <w:fldChar w:fldCharType="separate"/>
      </w:r>
      <w:r>
        <w:rPr>
          <w:rStyle w:val="31"/>
        </w:rPr>
        <w:t>4.2.2 树扩展、连接与路径更新</w:t>
      </w:r>
      <w:r>
        <w:rPr>
          <w:rFonts w:hint="eastAsia"/>
        </w:rPr>
        <w:tab/>
      </w:r>
      <w:r>
        <w:rPr>
          <w:rFonts w:hint="eastAsia"/>
        </w:rPr>
        <w:fldChar w:fldCharType="begin"/>
      </w:r>
      <w:r>
        <w:rPr>
          <w:rFonts w:hint="eastAsia"/>
        </w:rPr>
        <w:instrText xml:space="preserve"> </w:instrText>
      </w:r>
      <w:r>
        <w:instrText xml:space="preserve">PAGEREF _Toc243339236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14:paraId="6440544F">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"_Toc243339237" </w:instrText>
      </w:r>
      <w:r>
        <w:fldChar w:fldCharType="separate"/>
      </w:r>
      <w:r>
        <w:rPr>
          <w:rStyle w:val="31"/>
        </w:rPr>
        <w:t>4.3 自适应双椭球约束采样</w:t>
      </w:r>
      <w:r>
        <w:rPr>
          <w:rFonts w:hint="eastAsia"/>
        </w:rPr>
        <w:tab/>
      </w:r>
      <w:r>
        <w:rPr>
          <w:rFonts w:hint="eastAsia"/>
        </w:rPr>
        <w:fldChar w:fldCharType="begin"/>
      </w:r>
      <w:r>
        <w:rPr>
          <w:rFonts w:hint="eastAsia"/>
        </w:rPr>
        <w:instrText xml:space="preserve"> </w:instrText>
      </w:r>
      <w:r>
        <w:instrText xml:space="preserve">PAGEREF _Toc243339237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14:paraId="12EF3D62">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"_Toc243339238" </w:instrText>
      </w:r>
      <w:r>
        <w:fldChar w:fldCharType="separate"/>
      </w:r>
      <w:r>
        <w:rPr>
          <w:rStyle w:val="31"/>
        </w:rPr>
        <w:t>4.3.1 动态中间参考点更新</w:t>
      </w:r>
      <w:r>
        <w:rPr>
          <w:rFonts w:hint="eastAsia"/>
        </w:rPr>
        <w:tab/>
      </w:r>
      <w:r>
        <w:rPr>
          <w:rFonts w:hint="eastAsia"/>
        </w:rPr>
        <w:fldChar w:fldCharType="begin"/>
      </w:r>
      <w:r>
        <w:rPr>
          <w:rFonts w:hint="eastAsia"/>
        </w:rPr>
        <w:instrText xml:space="preserve"> </w:instrText>
      </w:r>
      <w:r>
        <w:instrText xml:space="preserve">PAGEREF _Toc243339238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14:paraId="7F12948A">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"_Toc243339239" </w:instrText>
      </w:r>
      <w:r>
        <w:fldChar w:fldCharType="separate"/>
      </w:r>
      <w:r>
        <w:rPr>
          <w:rStyle w:val="31"/>
        </w:rPr>
        <w:t>4.3.2 双侧椭球采样域构建</w:t>
      </w:r>
      <w:r>
        <w:rPr>
          <w:rFonts w:hint="eastAsia"/>
        </w:rPr>
        <w:tab/>
      </w:r>
      <w:r>
        <w:rPr>
          <w:rFonts w:hint="eastAsia"/>
        </w:rPr>
        <w:fldChar w:fldCharType="begin"/>
      </w:r>
      <w:r>
        <w:rPr>
          <w:rFonts w:hint="eastAsia"/>
        </w:rPr>
        <w:instrText xml:space="preserve"> </w:instrText>
      </w:r>
      <w:r>
        <w:instrText xml:space="preserve">PAGEREF _Toc243339239 \h</w:instrText>
      </w:r>
      <w:r>
        <w:rPr>
          <w:rFonts w:hint="eastAsia"/>
        </w:rPr>
        <w:instrText xml:space="preserve"> </w:instrText>
      </w:r>
      <w:r>
        <w:rPr>
          <w:rFonts w:hint="eastAsia"/>
        </w:rPr>
        <w:fldChar w:fldCharType="separate"/>
      </w:r>
      <w:r>
        <w:t>25</w:t>
      </w:r>
      <w:r>
        <w:rPr>
          <w:rFonts w:hint="eastAsia"/>
        </w:rPr>
        <w:fldChar w:fldCharType="end"/>
      </w:r>
      <w:r>
        <w:rPr>
          <w:rFonts w:hint="eastAsia"/>
        </w:rPr>
        <w:fldChar w:fldCharType="end"/>
      </w:r>
    </w:p>
    <w:p w14:paraId="06D97E54">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"_Toc243339240" </w:instrText>
      </w:r>
      <w:r>
        <w:fldChar w:fldCharType="separate"/>
      </w:r>
      <w:r>
        <w:rPr>
          <w:rStyle w:val="31"/>
        </w:rPr>
        <w:t>4.3.3 知情、跨树偏置与全局混合采样</w:t>
      </w:r>
      <w:r>
        <w:rPr>
          <w:rFonts w:hint="eastAsia"/>
        </w:rPr>
        <w:tab/>
      </w:r>
      <w:r>
        <w:rPr>
          <w:rFonts w:hint="eastAsia"/>
        </w:rPr>
        <w:fldChar w:fldCharType="begin"/>
      </w:r>
      <w:r>
        <w:rPr>
          <w:rFonts w:hint="eastAsia"/>
        </w:rPr>
        <w:instrText xml:space="preserve"> </w:instrText>
      </w:r>
      <w:r>
        <w:instrText xml:space="preserve">PAGEREF _Toc243339240 \h</w:instrText>
      </w:r>
      <w:r>
        <w:rPr>
          <w:rFonts w:hint="eastAsia"/>
        </w:rPr>
        <w:instrText xml:space="preserve"> </w:instrText>
      </w:r>
      <w:r>
        <w:rPr>
          <w:rFonts w:hint="eastAsia"/>
        </w:rPr>
        <w:fldChar w:fldCharType="separate"/>
      </w:r>
      <w:r>
        <w:t>26</w:t>
      </w:r>
      <w:r>
        <w:rPr>
          <w:rFonts w:hint="eastAsia"/>
        </w:rPr>
        <w:fldChar w:fldCharType="end"/>
      </w:r>
      <w:r>
        <w:rPr>
          <w:rFonts w:hint="eastAsia"/>
        </w:rPr>
        <w:fldChar w:fldCharType="end"/>
      </w:r>
    </w:p>
    <w:p w14:paraId="60D00A4C">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"_Toc243339241" </w:instrText>
      </w:r>
      <w:r>
        <w:fldChar w:fldCharType="separate"/>
      </w:r>
      <w:r>
        <w:rPr>
          <w:rStyle w:val="31"/>
        </w:rPr>
        <w:t>4.4 基于搜索状态反馈的在线调节</w:t>
      </w:r>
      <w:r>
        <w:rPr>
          <w:rFonts w:hint="eastAsia"/>
        </w:rPr>
        <w:tab/>
      </w:r>
      <w:r>
        <w:rPr>
          <w:rFonts w:hint="eastAsia"/>
        </w:rPr>
        <w:fldChar w:fldCharType="begin"/>
      </w:r>
      <w:r>
        <w:rPr>
          <w:rFonts w:hint="eastAsia"/>
        </w:rPr>
        <w:instrText xml:space="preserve"> </w:instrText>
      </w:r>
      <w:r>
        <w:instrText xml:space="preserve">PAGEREF _Toc243339241 \h</w:instrText>
      </w:r>
      <w:r>
        <w:rPr>
          <w:rFonts w:hint="eastAsia"/>
        </w:rPr>
        <w:instrText xml:space="preserve"> </w:instrText>
      </w:r>
      <w:r>
        <w:rPr>
          <w:rFonts w:hint="eastAsia"/>
        </w:rPr>
        <w:fldChar w:fldCharType="separate"/>
      </w:r>
      <w:r>
        <w:t>26</w:t>
      </w:r>
      <w:r>
        <w:rPr>
          <w:rFonts w:hint="eastAsia"/>
        </w:rPr>
        <w:fldChar w:fldCharType="end"/>
      </w:r>
      <w:r>
        <w:rPr>
          <w:rFonts w:hint="eastAsia"/>
        </w:rPr>
        <w:fldChar w:fldCharType="end"/>
      </w:r>
    </w:p>
    <w:p w14:paraId="2827DEC7">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"_Toc243339242" </w:instrText>
      </w:r>
      <w:r>
        <w:fldChar w:fldCharType="separate"/>
      </w:r>
      <w:r>
        <w:rPr>
          <w:rStyle w:val="31"/>
        </w:rPr>
        <w:t>4.4.1 搜索状态信号构造</w:t>
      </w:r>
      <w:r>
        <w:rPr>
          <w:rFonts w:hint="eastAsia"/>
        </w:rPr>
        <w:tab/>
      </w:r>
      <w:r>
        <w:rPr>
          <w:rFonts w:hint="eastAsia"/>
        </w:rPr>
        <w:fldChar w:fldCharType="begin"/>
      </w:r>
      <w:r>
        <w:rPr>
          <w:rFonts w:hint="eastAsia"/>
        </w:rPr>
        <w:instrText xml:space="preserve"> </w:instrText>
      </w:r>
      <w:r>
        <w:instrText xml:space="preserve">PAGEREF _Toc243339242 \h</w:instrText>
      </w:r>
      <w:r>
        <w:rPr>
          <w:rFonts w:hint="eastAsia"/>
        </w:rPr>
        <w:instrText xml:space="preserve"> </w:instrText>
      </w:r>
      <w:r>
        <w:rPr>
          <w:rFonts w:hint="eastAsia"/>
        </w:rPr>
        <w:fldChar w:fldCharType="separate"/>
      </w:r>
      <w:r>
        <w:t>26</w:t>
      </w:r>
      <w:r>
        <w:rPr>
          <w:rFonts w:hint="eastAsia"/>
        </w:rPr>
        <w:fldChar w:fldCharType="end"/>
      </w:r>
      <w:r>
        <w:rPr>
          <w:rFonts w:hint="eastAsia"/>
        </w:rPr>
        <w:fldChar w:fldCharType="end"/>
      </w:r>
    </w:p>
    <w:p w14:paraId="1C9A319E">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"_Toc243339243" </w:instrText>
      </w:r>
      <w:r>
        <w:fldChar w:fldCharType="separate"/>
      </w:r>
      <w:r>
        <w:rPr>
          <w:rStyle w:val="31"/>
        </w:rPr>
        <w:t>4.4.2 采样参数调节与实现</w:t>
      </w:r>
      <w:r>
        <w:rPr>
          <w:rFonts w:hint="eastAsia"/>
        </w:rPr>
        <w:tab/>
      </w:r>
      <w:r>
        <w:rPr>
          <w:rFonts w:hint="eastAsia"/>
        </w:rPr>
        <w:fldChar w:fldCharType="begin"/>
      </w:r>
      <w:r>
        <w:rPr>
          <w:rFonts w:hint="eastAsia"/>
        </w:rPr>
        <w:instrText xml:space="preserve"> </w:instrText>
      </w:r>
      <w:r>
        <w:instrText xml:space="preserve">PAGEREF _Toc243339243 \h</w:instrText>
      </w:r>
      <w:r>
        <w:rPr>
          <w:rFonts w:hint="eastAsia"/>
        </w:rPr>
        <w:instrText xml:space="preserve"> </w:instrText>
      </w:r>
      <w:r>
        <w:rPr>
          <w:rFonts w:hint="eastAsia"/>
        </w:rPr>
        <w:fldChar w:fldCharType="separate"/>
      </w:r>
      <w:r>
        <w:t>27</w:t>
      </w:r>
      <w:r>
        <w:rPr>
          <w:rFonts w:hint="eastAsia"/>
        </w:rPr>
        <w:fldChar w:fldCharType="end"/>
      </w:r>
      <w:r>
        <w:rPr>
          <w:rFonts w:hint="eastAsia"/>
        </w:rPr>
        <w:fldChar w:fldCharType="end"/>
      </w:r>
    </w:p>
    <w:p w14:paraId="626E2C26">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"_Toc243339244" </w:instrText>
      </w:r>
      <w:r>
        <w:fldChar w:fldCharType="separate"/>
      </w:r>
      <w:r>
        <w:rPr>
          <w:rStyle w:val="31"/>
        </w:rPr>
        <w:t>4.5 仿真实验与结果分析</w:t>
      </w:r>
      <w:r>
        <w:rPr>
          <w:rFonts w:hint="eastAsia"/>
        </w:rPr>
        <w:tab/>
      </w:r>
      <w:r>
        <w:rPr>
          <w:rFonts w:hint="eastAsia"/>
        </w:rPr>
        <w:fldChar w:fldCharType="begin"/>
      </w:r>
      <w:r>
        <w:rPr>
          <w:rFonts w:hint="eastAsia"/>
        </w:rPr>
        <w:instrText xml:space="preserve"> </w:instrText>
      </w:r>
      <w:r>
        <w:instrText xml:space="preserve">PAGEREF _Toc243339244 \h</w:instrText>
      </w:r>
      <w:r>
        <w:rPr>
          <w:rFonts w:hint="eastAsia"/>
        </w:rPr>
        <w:instrText xml:space="preserve"> </w:instrText>
      </w:r>
      <w:r>
        <w:rPr>
          <w:rFonts w:hint="eastAsia"/>
        </w:rPr>
        <w:fldChar w:fldCharType="separate"/>
      </w:r>
      <w:r>
        <w:t>27</w:t>
      </w:r>
      <w:r>
        <w:rPr>
          <w:rFonts w:hint="eastAsia"/>
        </w:rPr>
        <w:fldChar w:fldCharType="end"/>
      </w:r>
      <w:r>
        <w:rPr>
          <w:rFonts w:hint="eastAsia"/>
        </w:rPr>
        <w:fldChar w:fldCharType="end"/>
      </w:r>
    </w:p>
    <w:p w14:paraId="37A09F06">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"_Toc243339245" </w:instrText>
      </w:r>
      <w:r>
        <w:fldChar w:fldCharType="separate"/>
      </w:r>
      <w:r>
        <w:rPr>
          <w:rStyle w:val="31"/>
        </w:rPr>
        <w:t>4.5.1 实验环境与公平评价协议</w:t>
      </w:r>
      <w:r>
        <w:rPr>
          <w:rFonts w:hint="eastAsia"/>
        </w:rPr>
        <w:tab/>
      </w:r>
      <w:r>
        <w:rPr>
          <w:rFonts w:hint="eastAsia"/>
        </w:rPr>
        <w:fldChar w:fldCharType="begin"/>
      </w:r>
      <w:r>
        <w:rPr>
          <w:rFonts w:hint="eastAsia"/>
        </w:rPr>
        <w:instrText xml:space="preserve"> </w:instrText>
      </w:r>
      <w:r>
        <w:instrText xml:space="preserve">PAGEREF _Toc243339245 \h</w:instrText>
      </w:r>
      <w:r>
        <w:rPr>
          <w:rFonts w:hint="eastAsia"/>
        </w:rPr>
        <w:instrText xml:space="preserve"> </w:instrText>
      </w:r>
      <w:r>
        <w:rPr>
          <w:rFonts w:hint="eastAsia"/>
        </w:rPr>
        <w:fldChar w:fldCharType="separate"/>
      </w:r>
      <w:r>
        <w:t>27</w:t>
      </w:r>
      <w:r>
        <w:rPr>
          <w:rFonts w:hint="eastAsia"/>
        </w:rPr>
        <w:fldChar w:fldCharType="end"/>
      </w:r>
      <w:r>
        <w:rPr>
          <w:rFonts w:hint="eastAsia"/>
        </w:rPr>
        <w:fldChar w:fldCharType="end"/>
      </w:r>
    </w:p>
    <w:p w14:paraId="28016E44">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"_Toc243339246" </w:instrText>
      </w:r>
      <w:r>
        <w:fldChar w:fldCharType="separate"/>
      </w:r>
      <w:r>
        <w:rPr>
          <w:rStyle w:val="31"/>
        </w:rPr>
        <w:t>4.5.2 二维与三维环境对比实验</w:t>
      </w:r>
      <w:r>
        <w:rPr>
          <w:rFonts w:hint="eastAsia"/>
        </w:rPr>
        <w:tab/>
      </w:r>
      <w:r>
        <w:rPr>
          <w:rFonts w:hint="eastAsia"/>
        </w:rPr>
        <w:fldChar w:fldCharType="begin"/>
      </w:r>
      <w:r>
        <w:rPr>
          <w:rFonts w:hint="eastAsia"/>
        </w:rPr>
        <w:instrText xml:space="preserve"> </w:instrText>
      </w:r>
      <w:r>
        <w:instrText xml:space="preserve">PAGEREF _Toc243339246 \h</w:instrText>
      </w:r>
      <w:r>
        <w:rPr>
          <w:rFonts w:hint="eastAsia"/>
        </w:rPr>
        <w:instrText xml:space="preserve"> </w:instrText>
      </w:r>
      <w:r>
        <w:rPr>
          <w:rFonts w:hint="eastAsia"/>
        </w:rPr>
        <w:fldChar w:fldCharType="separate"/>
      </w:r>
      <w:r>
        <w:t>28</w:t>
      </w:r>
      <w:r>
        <w:rPr>
          <w:rFonts w:hint="eastAsia"/>
        </w:rPr>
        <w:fldChar w:fldCharType="end"/>
      </w:r>
      <w:r>
        <w:rPr>
          <w:rFonts w:hint="eastAsia"/>
        </w:rPr>
        <w:fldChar w:fldCharType="end"/>
      </w:r>
    </w:p>
    <w:p w14:paraId="59EFEC4F">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"_Toc243339247" </w:instrText>
      </w:r>
      <w:r>
        <w:fldChar w:fldCharType="separate"/>
      </w:r>
      <w:r>
        <w:rPr>
          <w:rStyle w:val="31"/>
        </w:rPr>
        <w:t>4.5.3 消融实验与结果讨论</w:t>
      </w:r>
      <w:r>
        <w:rPr>
          <w:rFonts w:hint="eastAsia"/>
        </w:rPr>
        <w:tab/>
      </w:r>
      <w:r>
        <w:rPr>
          <w:rFonts w:hint="eastAsia"/>
        </w:rPr>
        <w:fldChar w:fldCharType="begin"/>
      </w:r>
      <w:r>
        <w:rPr>
          <w:rFonts w:hint="eastAsia"/>
        </w:rPr>
        <w:instrText xml:space="preserve"> </w:instrText>
      </w:r>
      <w:r>
        <w:instrText xml:space="preserve">PAGEREF _Toc243339247 \h</w:instrText>
      </w:r>
      <w:r>
        <w:rPr>
          <w:rFonts w:hint="eastAsia"/>
        </w:rPr>
        <w:instrText xml:space="preserve"> </w:instrText>
      </w:r>
      <w:r>
        <w:rPr>
          <w:rFonts w:hint="eastAsia"/>
        </w:rPr>
        <w:fldChar w:fldCharType="separate"/>
      </w:r>
      <w:r>
        <w:t>33</w:t>
      </w:r>
      <w:r>
        <w:rPr>
          <w:rFonts w:hint="eastAsia"/>
        </w:rPr>
        <w:fldChar w:fldCharType="end"/>
      </w:r>
      <w:r>
        <w:rPr>
          <w:rFonts w:hint="eastAsia"/>
        </w:rPr>
        <w:fldChar w:fldCharType="end"/>
      </w:r>
    </w:p>
    <w:p w14:paraId="64498916">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"_Toc243339248" </w:instrText>
      </w:r>
      <w:r>
        <w:fldChar w:fldCharType="separate"/>
      </w:r>
      <w:r>
        <w:rPr>
          <w:rStyle w:val="31"/>
        </w:rPr>
        <w:t>4.6 本章小结</w:t>
      </w:r>
      <w:r>
        <w:rPr>
          <w:rFonts w:hint="eastAsia"/>
        </w:rPr>
        <w:tab/>
      </w:r>
      <w:r>
        <w:rPr>
          <w:rFonts w:hint="eastAsia"/>
        </w:rPr>
        <w:fldChar w:fldCharType="begin"/>
      </w:r>
      <w:r>
        <w:rPr>
          <w:rFonts w:hint="eastAsia"/>
        </w:rPr>
        <w:instrText xml:space="preserve"> </w:instrText>
      </w:r>
      <w:r>
        <w:instrText xml:space="preserve">PAGEREF _Toc243339248 \h</w:instrText>
      </w:r>
      <w:r>
        <w:rPr>
          <w:rFonts w:hint="eastAsia"/>
        </w:rPr>
        <w:instrText xml:space="preserve"> </w:instrText>
      </w:r>
      <w:r>
        <w:rPr>
          <w:rFonts w:hint="eastAsia"/>
        </w:rPr>
        <w:fldChar w:fldCharType="separate"/>
      </w:r>
      <w:r>
        <w:t>35</w:t>
      </w:r>
      <w:r>
        <w:rPr>
          <w:rFonts w:hint="eastAsia"/>
        </w:rPr>
        <w:fldChar w:fldCharType="end"/>
      </w:r>
      <w:r>
        <w:rPr>
          <w:rFonts w:hint="eastAsia"/>
        </w:rPr>
        <w:fldChar w:fldCharType="end"/>
      </w:r>
    </w:p>
    <w:p w14:paraId="741CEA87">
      <w:pPr>
        <w:pStyle w:val="19"/>
        <w:rPr>
          <w:rFonts w:hint="eastAsia" w:asciiTheme="minorHAnsi" w:hAnsiTheme="minorHAnsi" w:eastAsiaTheme="minorEastAsia" w:cstheme="minorBidi"/>
          <w:color w:val="auto"/>
          <w:kern w:val="2"/>
          <w:sz w:val="22"/>
          <w14:ligatures w14:val="standardContextual"/>
        </w:rPr>
      </w:pPr>
      <w:r>
        <w:fldChar w:fldCharType="begin"/>
      </w:r>
      <w:r>
        <w:instrText xml:space="preserve"> HYPERLINK \l "_Toc243339249" </w:instrText>
      </w:r>
      <w:r>
        <w:fldChar w:fldCharType="separate"/>
      </w:r>
      <w:r>
        <w:rPr>
          <w:rStyle w:val="31"/>
        </w:rPr>
        <w:t>第5章 视觉与路径规划算法部署及机械臂实验验证</w:t>
      </w:r>
      <w:r>
        <w:rPr>
          <w:rFonts w:hint="eastAsia"/>
        </w:rPr>
        <w:tab/>
      </w:r>
      <w:r>
        <w:rPr>
          <w:rFonts w:hint="eastAsia"/>
        </w:rPr>
        <w:fldChar w:fldCharType="begin"/>
      </w:r>
      <w:r>
        <w:rPr>
          <w:rFonts w:hint="eastAsia"/>
        </w:rPr>
        <w:instrText xml:space="preserve"> </w:instrText>
      </w:r>
      <w:r>
        <w:instrText xml:space="preserve">PAGEREF _Toc243339249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145E3F92">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"_Toc243339250" </w:instrText>
      </w:r>
      <w:r>
        <w:fldChar w:fldCharType="separate"/>
      </w:r>
      <w:r>
        <w:rPr>
          <w:rStyle w:val="31"/>
        </w:rPr>
        <w:t>5.1 实验平台与算法部署</w:t>
      </w:r>
      <w:r>
        <w:rPr>
          <w:rFonts w:hint="eastAsia"/>
        </w:rPr>
        <w:tab/>
      </w:r>
      <w:r>
        <w:rPr>
          <w:rFonts w:hint="eastAsia"/>
        </w:rPr>
        <w:fldChar w:fldCharType="begin"/>
      </w:r>
      <w:r>
        <w:rPr>
          <w:rFonts w:hint="eastAsia"/>
        </w:rPr>
        <w:instrText xml:space="preserve"> </w:instrText>
      </w:r>
      <w:r>
        <w:instrText xml:space="preserve">PAGEREF _Toc243339250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7EB987B2">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"_Toc243339251" </w:instrText>
      </w:r>
      <w:r>
        <w:fldChar w:fldCharType="separate"/>
      </w:r>
      <w:r>
        <w:rPr>
          <w:rStyle w:val="31"/>
        </w:rPr>
        <w:t>5.1.1 机械臂、RGB-D相机与工具配置</w:t>
      </w:r>
      <w:r>
        <w:rPr>
          <w:rFonts w:hint="eastAsia"/>
        </w:rPr>
        <w:tab/>
      </w:r>
      <w:r>
        <w:rPr>
          <w:rFonts w:hint="eastAsia"/>
        </w:rPr>
        <w:fldChar w:fldCharType="begin"/>
      </w:r>
      <w:r>
        <w:rPr>
          <w:rFonts w:hint="eastAsia"/>
        </w:rPr>
        <w:instrText xml:space="preserve"> </w:instrText>
      </w:r>
      <w:r>
        <w:instrText xml:space="preserve">PAGEREF _Toc243339251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2E97B8B1">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"_Toc243339252" </w:instrText>
      </w:r>
      <w:r>
        <w:fldChar w:fldCharType="separate"/>
      </w:r>
      <w:r>
        <w:rPr>
          <w:rStyle w:val="31"/>
        </w:rPr>
        <w:t>5.1.2 视觉推理与规划模块部署</w:t>
      </w:r>
      <w:r>
        <w:rPr>
          <w:rFonts w:hint="eastAsia"/>
        </w:rPr>
        <w:tab/>
      </w:r>
      <w:r>
        <w:rPr>
          <w:rFonts w:hint="eastAsia"/>
        </w:rPr>
        <w:fldChar w:fldCharType="begin"/>
      </w:r>
      <w:r>
        <w:rPr>
          <w:rFonts w:hint="eastAsia"/>
        </w:rPr>
        <w:instrText xml:space="preserve"> </w:instrText>
      </w:r>
      <w:r>
        <w:instrText xml:space="preserve">PAGEREF _Toc243339252 \h</w:instrText>
      </w:r>
      <w:r>
        <w:rPr>
          <w:rFonts w:hint="eastAsia"/>
        </w:rPr>
        <w:instrText xml:space="preserve"> </w:instrText>
      </w:r>
      <w:r>
        <w:rPr>
          <w:rFonts w:hint="eastAsia"/>
        </w:rPr>
        <w:fldChar w:fldCharType="separate"/>
      </w:r>
      <w:r>
        <w:t>37</w:t>
      </w:r>
      <w:r>
        <w:rPr>
          <w:rFonts w:hint="eastAsia"/>
        </w:rPr>
        <w:fldChar w:fldCharType="end"/>
      </w:r>
      <w:r>
        <w:rPr>
          <w:rFonts w:hint="eastAsia"/>
        </w:rPr>
        <w:fldChar w:fldCharType="end"/>
      </w:r>
    </w:p>
    <w:p w14:paraId="0D95300D">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"_Toc243339253" </w:instrText>
      </w:r>
      <w:r>
        <w:fldChar w:fldCharType="separate"/>
      </w:r>
      <w:r>
        <w:rPr>
          <w:rStyle w:val="31"/>
        </w:rPr>
        <w:t>5.2 相机标定与视觉目标位姿生成</w:t>
      </w:r>
      <w:r>
        <w:rPr>
          <w:rFonts w:hint="eastAsia"/>
        </w:rPr>
        <w:tab/>
      </w:r>
      <w:r>
        <w:rPr>
          <w:rFonts w:hint="eastAsia"/>
        </w:rPr>
        <w:fldChar w:fldCharType="begin"/>
      </w:r>
      <w:r>
        <w:rPr>
          <w:rFonts w:hint="eastAsia"/>
        </w:rPr>
        <w:instrText xml:space="preserve"> </w:instrText>
      </w:r>
      <w:r>
        <w:instrText xml:space="preserve">PAGEREF _Toc243339253 \h</w:instrText>
      </w:r>
      <w:r>
        <w:rPr>
          <w:rFonts w:hint="eastAsia"/>
        </w:rPr>
        <w:instrText xml:space="preserve"> </w:instrText>
      </w:r>
      <w:r>
        <w:rPr>
          <w:rFonts w:hint="eastAsia"/>
        </w:rPr>
        <w:fldChar w:fldCharType="separate"/>
      </w:r>
      <w:r>
        <w:t>38</w:t>
      </w:r>
      <w:r>
        <w:rPr>
          <w:rFonts w:hint="eastAsia"/>
        </w:rPr>
        <w:fldChar w:fldCharType="end"/>
      </w:r>
      <w:r>
        <w:rPr>
          <w:rFonts w:hint="eastAsia"/>
        </w:rPr>
        <w:fldChar w:fldCharType="end"/>
      </w:r>
    </w:p>
    <w:p w14:paraId="2F611CB8">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"_Toc243339254" </w:instrText>
      </w:r>
      <w:r>
        <w:fldChar w:fldCharType="separate"/>
      </w:r>
      <w:r>
        <w:rPr>
          <w:rStyle w:val="31"/>
        </w:rPr>
        <w:t>5.2.1 相机模型与内参标定</w:t>
      </w:r>
      <w:r>
        <w:rPr>
          <w:rFonts w:hint="eastAsia"/>
        </w:rPr>
        <w:tab/>
      </w:r>
      <w:r>
        <w:rPr>
          <w:rFonts w:hint="eastAsia"/>
        </w:rPr>
        <w:fldChar w:fldCharType="begin"/>
      </w:r>
      <w:r>
        <w:rPr>
          <w:rFonts w:hint="eastAsia"/>
        </w:rPr>
        <w:instrText xml:space="preserve"> </w:instrText>
      </w:r>
      <w:r>
        <w:instrText xml:space="preserve">PAGEREF _Toc243339254 \h</w:instrText>
      </w:r>
      <w:r>
        <w:rPr>
          <w:rFonts w:hint="eastAsia"/>
        </w:rPr>
        <w:instrText xml:space="preserve"> </w:instrText>
      </w:r>
      <w:r>
        <w:rPr>
          <w:rFonts w:hint="eastAsia"/>
        </w:rPr>
        <w:fldChar w:fldCharType="separate"/>
      </w:r>
      <w:r>
        <w:t>38</w:t>
      </w:r>
      <w:r>
        <w:rPr>
          <w:rFonts w:hint="eastAsia"/>
        </w:rPr>
        <w:fldChar w:fldCharType="end"/>
      </w:r>
      <w:r>
        <w:rPr>
          <w:rFonts w:hint="eastAsia"/>
        </w:rPr>
        <w:fldChar w:fldCharType="end"/>
      </w:r>
    </w:p>
    <w:p w14:paraId="3B9788F3">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"_Toc243339255" </w:instrText>
      </w:r>
      <w:r>
        <w:fldChar w:fldCharType="separate"/>
      </w:r>
      <w:r>
        <w:rPr>
          <w:rStyle w:val="31"/>
        </w:rPr>
        <w:t>5.2.2 手眼外参与工具坐标确定</w:t>
      </w:r>
      <w:r>
        <w:rPr>
          <w:rFonts w:hint="eastAsia"/>
        </w:rPr>
        <w:tab/>
      </w:r>
      <w:r>
        <w:rPr>
          <w:rFonts w:hint="eastAsia"/>
        </w:rPr>
        <w:fldChar w:fldCharType="begin"/>
      </w:r>
      <w:r>
        <w:rPr>
          <w:rFonts w:hint="eastAsia"/>
        </w:rPr>
        <w:instrText xml:space="preserve"> </w:instrText>
      </w:r>
      <w:r>
        <w:instrText xml:space="preserve">PAGEREF _Toc243339255 \h</w:instrText>
      </w:r>
      <w:r>
        <w:rPr>
          <w:rFonts w:hint="eastAsia"/>
        </w:rPr>
        <w:instrText xml:space="preserve"> </w:instrText>
      </w:r>
      <w:r>
        <w:rPr>
          <w:rFonts w:hint="eastAsia"/>
        </w:rPr>
        <w:fldChar w:fldCharType="separate"/>
      </w:r>
      <w:r>
        <w:t>40</w:t>
      </w:r>
      <w:r>
        <w:rPr>
          <w:rFonts w:hint="eastAsia"/>
        </w:rPr>
        <w:fldChar w:fldCharType="end"/>
      </w:r>
      <w:r>
        <w:rPr>
          <w:rFonts w:hint="eastAsia"/>
        </w:rPr>
        <w:fldChar w:fldCharType="end"/>
      </w:r>
    </w:p>
    <w:p w14:paraId="3F6D9E68">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"_Toc243339256" </w:instrText>
      </w:r>
      <w:r>
        <w:fldChar w:fldCharType="separate"/>
      </w:r>
      <w:r>
        <w:rPr>
          <w:rStyle w:val="31"/>
        </w:rPr>
        <w:t>5.2.3 目标三维映射与表面法向估计</w:t>
      </w:r>
      <w:r>
        <w:rPr>
          <w:rFonts w:hint="eastAsia"/>
        </w:rPr>
        <w:tab/>
      </w:r>
      <w:r>
        <w:rPr>
          <w:rFonts w:hint="eastAsia"/>
        </w:rPr>
        <w:fldChar w:fldCharType="begin"/>
      </w:r>
      <w:r>
        <w:rPr>
          <w:rFonts w:hint="eastAsia"/>
        </w:rPr>
        <w:instrText xml:space="preserve"> </w:instrText>
      </w:r>
      <w:r>
        <w:instrText xml:space="preserve">PAGEREF _Toc243339256 \h</w:instrText>
      </w:r>
      <w:r>
        <w:rPr>
          <w:rFonts w:hint="eastAsia"/>
        </w:rPr>
        <w:instrText xml:space="preserve"> </w:instrText>
      </w:r>
      <w:r>
        <w:rPr>
          <w:rFonts w:hint="eastAsia"/>
        </w:rPr>
        <w:fldChar w:fldCharType="separate"/>
      </w:r>
      <w:r>
        <w:t>41</w:t>
      </w:r>
      <w:r>
        <w:rPr>
          <w:rFonts w:hint="eastAsia"/>
        </w:rPr>
        <w:fldChar w:fldCharType="end"/>
      </w:r>
      <w:r>
        <w:rPr>
          <w:rFonts w:hint="eastAsia"/>
        </w:rPr>
        <w:fldChar w:fldCharType="end"/>
      </w:r>
    </w:p>
    <w:p w14:paraId="6B62C43C">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"_Toc243339257" </w:instrText>
      </w:r>
      <w:r>
        <w:fldChar w:fldCharType="separate"/>
      </w:r>
      <w:r>
        <w:rPr>
          <w:rStyle w:val="31"/>
        </w:rPr>
        <w:t>5.2.4 工具姿态构造与坐标转换</w:t>
      </w:r>
      <w:r>
        <w:rPr>
          <w:rFonts w:hint="eastAsia"/>
        </w:rPr>
        <w:tab/>
      </w:r>
      <w:r>
        <w:rPr>
          <w:rFonts w:hint="eastAsia"/>
        </w:rPr>
        <w:fldChar w:fldCharType="begin"/>
      </w:r>
      <w:r>
        <w:rPr>
          <w:rFonts w:hint="eastAsia"/>
        </w:rPr>
        <w:instrText xml:space="preserve"> </w:instrText>
      </w:r>
      <w:r>
        <w:instrText xml:space="preserve">PAGEREF _Toc243339257 \h</w:instrText>
      </w:r>
      <w:r>
        <w:rPr>
          <w:rFonts w:hint="eastAsia"/>
        </w:rPr>
        <w:instrText xml:space="preserve"> </w:instrText>
      </w:r>
      <w:r>
        <w:rPr>
          <w:rFonts w:hint="eastAsia"/>
        </w:rPr>
        <w:fldChar w:fldCharType="separate"/>
      </w:r>
      <w:r>
        <w:t>42</w:t>
      </w:r>
      <w:r>
        <w:rPr>
          <w:rFonts w:hint="eastAsia"/>
        </w:rPr>
        <w:fldChar w:fldCharType="end"/>
      </w:r>
      <w:r>
        <w:rPr>
          <w:rFonts w:hint="eastAsia"/>
        </w:rPr>
        <w:fldChar w:fldCharType="end"/>
      </w:r>
    </w:p>
    <w:p w14:paraId="470F2470">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"_Toc243339258" </w:instrText>
      </w:r>
      <w:r>
        <w:fldChar w:fldCharType="separate"/>
      </w:r>
      <w:r>
        <w:rPr>
          <w:rStyle w:val="31"/>
        </w:rPr>
        <w:t>5.3 视觉定位与机械臂路径规划的衔接</w:t>
      </w:r>
      <w:r>
        <w:rPr>
          <w:rFonts w:hint="eastAsia"/>
        </w:rPr>
        <w:tab/>
      </w:r>
      <w:r>
        <w:rPr>
          <w:rFonts w:hint="eastAsia"/>
        </w:rPr>
        <w:fldChar w:fldCharType="begin"/>
      </w:r>
      <w:r>
        <w:rPr>
          <w:rFonts w:hint="eastAsia"/>
        </w:rPr>
        <w:instrText xml:space="preserve"> </w:instrText>
      </w:r>
      <w:r>
        <w:instrText xml:space="preserve">PAGEREF _Toc243339258 \h</w:instrText>
      </w:r>
      <w:r>
        <w:rPr>
          <w:rFonts w:hint="eastAsia"/>
        </w:rPr>
        <w:instrText xml:space="preserve"> </w:instrText>
      </w:r>
      <w:r>
        <w:rPr>
          <w:rFonts w:hint="eastAsia"/>
        </w:rPr>
        <w:fldChar w:fldCharType="separate"/>
      </w:r>
      <w:r>
        <w:t>43</w:t>
      </w:r>
      <w:r>
        <w:rPr>
          <w:rFonts w:hint="eastAsia"/>
        </w:rPr>
        <w:fldChar w:fldCharType="end"/>
      </w:r>
      <w:r>
        <w:rPr>
          <w:rFonts w:hint="eastAsia"/>
        </w:rPr>
        <w:fldChar w:fldCharType="end"/>
      </w:r>
    </w:p>
    <w:p w14:paraId="2AF5B33B">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"_Toc243339259" </w:instrText>
      </w:r>
      <w:r>
        <w:fldChar w:fldCharType="separate"/>
      </w:r>
      <w:r>
        <w:rPr>
          <w:rStyle w:val="31"/>
        </w:rPr>
        <w:t>5.3.1 作业目标、接近点与转移目标生成</w:t>
      </w:r>
      <w:r>
        <w:rPr>
          <w:rFonts w:hint="eastAsia"/>
        </w:rPr>
        <w:tab/>
      </w:r>
      <w:r>
        <w:rPr>
          <w:rFonts w:hint="eastAsia"/>
        </w:rPr>
        <w:fldChar w:fldCharType="begin"/>
      </w:r>
      <w:r>
        <w:rPr>
          <w:rFonts w:hint="eastAsia"/>
        </w:rPr>
        <w:instrText xml:space="preserve"> </w:instrText>
      </w:r>
      <w:r>
        <w:instrText xml:space="preserve">PAGEREF _Toc243339259 \h</w:instrText>
      </w:r>
      <w:r>
        <w:rPr>
          <w:rFonts w:hint="eastAsia"/>
        </w:rPr>
        <w:instrText xml:space="preserve"> </w:instrText>
      </w:r>
      <w:r>
        <w:rPr>
          <w:rFonts w:hint="eastAsia"/>
        </w:rPr>
        <w:fldChar w:fldCharType="separate"/>
      </w:r>
      <w:r>
        <w:t>43</w:t>
      </w:r>
      <w:r>
        <w:rPr>
          <w:rFonts w:hint="eastAsia"/>
        </w:rPr>
        <w:fldChar w:fldCharType="end"/>
      </w:r>
      <w:r>
        <w:rPr>
          <w:rFonts w:hint="eastAsia"/>
        </w:rPr>
        <w:fldChar w:fldCharType="end"/>
      </w:r>
    </w:p>
    <w:p w14:paraId="2EE9B068">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"_Toc243339260" </w:instrText>
      </w:r>
      <w:r>
        <w:fldChar w:fldCharType="separate"/>
      </w:r>
      <w:r>
        <w:rPr>
          <w:rStyle w:val="31"/>
        </w:rPr>
        <w:t>5.3.2 目标序列与规划场景构建</w:t>
      </w:r>
      <w:r>
        <w:rPr>
          <w:rFonts w:hint="eastAsia"/>
        </w:rPr>
        <w:tab/>
      </w:r>
      <w:r>
        <w:rPr>
          <w:rFonts w:hint="eastAsia"/>
        </w:rPr>
        <w:fldChar w:fldCharType="begin"/>
      </w:r>
      <w:r>
        <w:rPr>
          <w:rFonts w:hint="eastAsia"/>
        </w:rPr>
        <w:instrText xml:space="preserve"> </w:instrText>
      </w:r>
      <w:r>
        <w:instrText xml:space="preserve">PAGEREF _Toc243339260 \h</w:instrText>
      </w:r>
      <w:r>
        <w:rPr>
          <w:rFonts w:hint="eastAsia"/>
        </w:rPr>
        <w:instrText xml:space="preserve"> </w:instrText>
      </w:r>
      <w:r>
        <w:rPr>
          <w:rFonts w:hint="eastAsia"/>
        </w:rPr>
        <w:fldChar w:fldCharType="separate"/>
      </w:r>
      <w:r>
        <w:t>43</w:t>
      </w:r>
      <w:r>
        <w:rPr>
          <w:rFonts w:hint="eastAsia"/>
        </w:rPr>
        <w:fldChar w:fldCharType="end"/>
      </w:r>
      <w:r>
        <w:rPr>
          <w:rFonts w:hint="eastAsia"/>
        </w:rPr>
        <w:fldChar w:fldCharType="end"/>
      </w:r>
    </w:p>
    <w:p w14:paraId="562154AE">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"_Toc243339261" </w:instrText>
      </w:r>
      <w:r>
        <w:fldChar w:fldCharType="separate"/>
      </w:r>
      <w:r>
        <w:rPr>
          <w:rStyle w:val="31"/>
        </w:rPr>
        <w:t>5.3.3 几何路径、姿态配置与执行路点转换</w:t>
      </w:r>
      <w:r>
        <w:rPr>
          <w:rFonts w:hint="eastAsia"/>
        </w:rPr>
        <w:tab/>
      </w:r>
      <w:r>
        <w:rPr>
          <w:rFonts w:hint="eastAsia"/>
        </w:rPr>
        <w:fldChar w:fldCharType="begin"/>
      </w:r>
      <w:r>
        <w:rPr>
          <w:rFonts w:hint="eastAsia"/>
        </w:rPr>
        <w:instrText xml:space="preserve"> </w:instrText>
      </w:r>
      <w:r>
        <w:instrText xml:space="preserve">PAGEREF _Toc243339261 \h</w:instrText>
      </w:r>
      <w:r>
        <w:rPr>
          <w:rFonts w:hint="eastAsia"/>
        </w:rPr>
        <w:instrText xml:space="preserve"> </w:instrText>
      </w:r>
      <w:r>
        <w:rPr>
          <w:rFonts w:hint="eastAsia"/>
        </w:rPr>
        <w:fldChar w:fldCharType="separate"/>
      </w:r>
      <w:r>
        <w:t>44</w:t>
      </w:r>
      <w:r>
        <w:rPr>
          <w:rFonts w:hint="eastAsia"/>
        </w:rPr>
        <w:fldChar w:fldCharType="end"/>
      </w:r>
      <w:r>
        <w:rPr>
          <w:rFonts w:hint="eastAsia"/>
        </w:rPr>
        <w:fldChar w:fldCharType="end"/>
      </w:r>
    </w:p>
    <w:p w14:paraId="57BA7B50">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"_Toc243339262" </w:instrText>
      </w:r>
      <w:r>
        <w:fldChar w:fldCharType="separate"/>
      </w:r>
      <w:r>
        <w:rPr>
          <w:rStyle w:val="31"/>
        </w:rPr>
        <w:t>5.3.4 执行前运动学约束检查</w:t>
      </w:r>
      <w:r>
        <w:rPr>
          <w:rFonts w:hint="eastAsia"/>
        </w:rPr>
        <w:tab/>
      </w:r>
      <w:r>
        <w:rPr>
          <w:rFonts w:hint="eastAsia"/>
        </w:rPr>
        <w:fldChar w:fldCharType="begin"/>
      </w:r>
      <w:r>
        <w:rPr>
          <w:rFonts w:hint="eastAsia"/>
        </w:rPr>
        <w:instrText xml:space="preserve"> </w:instrText>
      </w:r>
      <w:r>
        <w:instrText xml:space="preserve">PAGEREF _Toc243339262 \h</w:instrText>
      </w:r>
      <w:r>
        <w:rPr>
          <w:rFonts w:hint="eastAsia"/>
        </w:rPr>
        <w:instrText xml:space="preserve"> </w:instrText>
      </w:r>
      <w:r>
        <w:rPr>
          <w:rFonts w:hint="eastAsia"/>
        </w:rPr>
        <w:fldChar w:fldCharType="separate"/>
      </w:r>
      <w:r>
        <w:t>44</w:t>
      </w:r>
      <w:r>
        <w:rPr>
          <w:rFonts w:hint="eastAsia"/>
        </w:rPr>
        <w:fldChar w:fldCharType="end"/>
      </w:r>
      <w:r>
        <w:rPr>
          <w:rFonts w:hint="eastAsia"/>
        </w:rPr>
        <w:fldChar w:fldCharType="end"/>
      </w:r>
    </w:p>
    <w:p w14:paraId="28199FAE">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"_Toc243339263" </w:instrText>
      </w:r>
      <w:r>
        <w:fldChar w:fldCharType="separate"/>
      </w:r>
      <w:r>
        <w:rPr>
          <w:rStyle w:val="31"/>
        </w:rPr>
        <w:t>5.4 系统实验与结果分析</w:t>
      </w:r>
      <w:r>
        <w:rPr>
          <w:rFonts w:hint="eastAsia"/>
        </w:rPr>
        <w:tab/>
      </w:r>
      <w:r>
        <w:rPr>
          <w:rFonts w:hint="eastAsia"/>
        </w:rPr>
        <w:fldChar w:fldCharType="begin"/>
      </w:r>
      <w:r>
        <w:rPr>
          <w:rFonts w:hint="eastAsia"/>
        </w:rPr>
        <w:instrText xml:space="preserve"> </w:instrText>
      </w:r>
      <w:r>
        <w:instrText xml:space="preserve">PAGEREF _Toc243339263 \h</w:instrText>
      </w:r>
      <w:r>
        <w:rPr>
          <w:rFonts w:hint="eastAsia"/>
        </w:rPr>
        <w:instrText xml:space="preserve"> </w:instrText>
      </w:r>
      <w:r>
        <w:rPr>
          <w:rFonts w:hint="eastAsia"/>
        </w:rPr>
        <w:fldChar w:fldCharType="separate"/>
      </w:r>
      <w:r>
        <w:t>45</w:t>
      </w:r>
      <w:r>
        <w:rPr>
          <w:rFonts w:hint="eastAsia"/>
        </w:rPr>
        <w:fldChar w:fldCharType="end"/>
      </w:r>
      <w:r>
        <w:rPr>
          <w:rFonts w:hint="eastAsia"/>
        </w:rPr>
        <w:fldChar w:fldCharType="end"/>
      </w:r>
    </w:p>
    <w:p w14:paraId="7A0F9419">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"_Toc243339264" </w:instrText>
      </w:r>
      <w:r>
        <w:fldChar w:fldCharType="separate"/>
      </w:r>
      <w:r>
        <w:rPr>
          <w:rStyle w:val="31"/>
        </w:rPr>
        <w:t>5.4.1 实验设置与评价指标</w:t>
      </w:r>
      <w:r>
        <w:rPr>
          <w:rFonts w:hint="eastAsia"/>
        </w:rPr>
        <w:tab/>
      </w:r>
      <w:r>
        <w:rPr>
          <w:rFonts w:hint="eastAsia"/>
        </w:rPr>
        <w:fldChar w:fldCharType="begin"/>
      </w:r>
      <w:r>
        <w:rPr>
          <w:rFonts w:hint="eastAsia"/>
        </w:rPr>
        <w:instrText xml:space="preserve"> </w:instrText>
      </w:r>
      <w:r>
        <w:instrText xml:space="preserve">PAGEREF _Toc243339264 \h</w:instrText>
      </w:r>
      <w:r>
        <w:rPr>
          <w:rFonts w:hint="eastAsia"/>
        </w:rPr>
        <w:instrText xml:space="preserve"> </w:instrText>
      </w:r>
      <w:r>
        <w:rPr>
          <w:rFonts w:hint="eastAsia"/>
        </w:rPr>
        <w:fldChar w:fldCharType="separate"/>
      </w:r>
      <w:r>
        <w:t>45</w:t>
      </w:r>
      <w:r>
        <w:rPr>
          <w:rFonts w:hint="eastAsia"/>
        </w:rPr>
        <w:fldChar w:fldCharType="end"/>
      </w:r>
      <w:r>
        <w:rPr>
          <w:rFonts w:hint="eastAsia"/>
        </w:rPr>
        <w:fldChar w:fldCharType="end"/>
      </w:r>
    </w:p>
    <w:p w14:paraId="42B184A2">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"_Toc243339265" </w:instrText>
      </w:r>
      <w:r>
        <w:fldChar w:fldCharType="separate"/>
      </w:r>
      <w:r>
        <w:rPr>
          <w:rStyle w:val="31"/>
        </w:rPr>
        <w:t>5.4.2 视觉引导的目标定位与路径生成</w:t>
      </w:r>
      <w:r>
        <w:rPr>
          <w:rFonts w:hint="eastAsia"/>
        </w:rPr>
        <w:tab/>
      </w:r>
      <w:r>
        <w:rPr>
          <w:rFonts w:hint="eastAsia"/>
        </w:rPr>
        <w:fldChar w:fldCharType="begin"/>
      </w:r>
      <w:r>
        <w:rPr>
          <w:rFonts w:hint="eastAsia"/>
        </w:rPr>
        <w:instrText xml:space="preserve"> </w:instrText>
      </w:r>
      <w:r>
        <w:instrText xml:space="preserve">PAGEREF _Toc243339265 \h</w:instrText>
      </w:r>
      <w:r>
        <w:rPr>
          <w:rFonts w:hint="eastAsia"/>
        </w:rPr>
        <w:instrText xml:space="preserve"> </w:instrText>
      </w:r>
      <w:r>
        <w:rPr>
          <w:rFonts w:hint="eastAsia"/>
        </w:rPr>
        <w:fldChar w:fldCharType="separate"/>
      </w:r>
      <w:r>
        <w:t>45</w:t>
      </w:r>
      <w:r>
        <w:rPr>
          <w:rFonts w:hint="eastAsia"/>
        </w:rPr>
        <w:fldChar w:fldCharType="end"/>
      </w:r>
      <w:r>
        <w:rPr>
          <w:rFonts w:hint="eastAsia"/>
        </w:rPr>
        <w:fldChar w:fldCharType="end"/>
      </w:r>
    </w:p>
    <w:p w14:paraId="2F3A16F1">
      <w:pPr>
        <w:pStyle w:val="14"/>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"_Toc243339266" </w:instrText>
      </w:r>
      <w:r>
        <w:fldChar w:fldCharType="separate"/>
      </w:r>
      <w:r>
        <w:rPr>
          <w:rStyle w:val="31"/>
        </w:rPr>
        <w:t>5.4.3 机械臂执行结果与分析</w:t>
      </w:r>
      <w:r>
        <w:rPr>
          <w:rFonts w:hint="eastAsia"/>
        </w:rPr>
        <w:tab/>
      </w:r>
      <w:r>
        <w:rPr>
          <w:rFonts w:hint="eastAsia"/>
        </w:rPr>
        <w:fldChar w:fldCharType="begin"/>
      </w:r>
      <w:r>
        <w:rPr>
          <w:rFonts w:hint="eastAsia"/>
        </w:rPr>
        <w:instrText xml:space="preserve"> </w:instrText>
      </w:r>
      <w:r>
        <w:instrText xml:space="preserve">PAGEREF _Toc243339266 \h</w:instrText>
      </w:r>
      <w:r>
        <w:rPr>
          <w:rFonts w:hint="eastAsia"/>
        </w:rPr>
        <w:instrText xml:space="preserve"> </w:instrText>
      </w:r>
      <w:r>
        <w:rPr>
          <w:rFonts w:hint="eastAsia"/>
        </w:rPr>
        <w:fldChar w:fldCharType="separate"/>
      </w:r>
      <w:r>
        <w:t>47</w:t>
      </w:r>
      <w:r>
        <w:rPr>
          <w:rFonts w:hint="eastAsia"/>
        </w:rPr>
        <w:fldChar w:fldCharType="end"/>
      </w:r>
      <w:r>
        <w:rPr>
          <w:rFonts w:hint="eastAsia"/>
        </w:rPr>
        <w:fldChar w:fldCharType="end"/>
      </w:r>
    </w:p>
    <w:p w14:paraId="628ED817">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"_Toc243339267" </w:instrText>
      </w:r>
      <w:r>
        <w:fldChar w:fldCharType="separate"/>
      </w:r>
      <w:r>
        <w:rPr>
          <w:rStyle w:val="31"/>
        </w:rPr>
        <w:t>5.5 本章小结</w:t>
      </w:r>
      <w:r>
        <w:rPr>
          <w:rFonts w:hint="eastAsia"/>
        </w:rPr>
        <w:tab/>
      </w:r>
      <w:r>
        <w:rPr>
          <w:rFonts w:hint="eastAsia"/>
        </w:rPr>
        <w:fldChar w:fldCharType="begin"/>
      </w:r>
      <w:r>
        <w:rPr>
          <w:rFonts w:hint="eastAsia"/>
        </w:rPr>
        <w:instrText xml:space="preserve"> </w:instrText>
      </w:r>
      <w:r>
        <w:instrText xml:space="preserve">PAGEREF _Toc243339267 \h</w:instrText>
      </w:r>
      <w:r>
        <w:rPr>
          <w:rFonts w:hint="eastAsia"/>
        </w:rPr>
        <w:instrText xml:space="preserve"> </w:instrText>
      </w:r>
      <w:r>
        <w:rPr>
          <w:rFonts w:hint="eastAsia"/>
        </w:rPr>
        <w:fldChar w:fldCharType="separate"/>
      </w:r>
      <w:r>
        <w:t>48</w:t>
      </w:r>
      <w:r>
        <w:rPr>
          <w:rFonts w:hint="eastAsia"/>
        </w:rPr>
        <w:fldChar w:fldCharType="end"/>
      </w:r>
      <w:r>
        <w:rPr>
          <w:rFonts w:hint="eastAsia"/>
        </w:rPr>
        <w:fldChar w:fldCharType="end"/>
      </w:r>
    </w:p>
    <w:p w14:paraId="1D04E192">
      <w:pPr>
        <w:pStyle w:val="19"/>
        <w:rPr>
          <w:rFonts w:hint="eastAsia" w:asciiTheme="minorHAnsi" w:hAnsiTheme="minorHAnsi" w:eastAsiaTheme="minorEastAsia" w:cstheme="minorBidi"/>
          <w:color w:val="auto"/>
          <w:kern w:val="2"/>
          <w:sz w:val="22"/>
          <w14:ligatures w14:val="standardContextual"/>
        </w:rPr>
      </w:pPr>
      <w:r>
        <w:fldChar w:fldCharType="begin"/>
      </w:r>
      <w:r>
        <w:instrText xml:space="preserve"> HYPERLINK \l "_Toc243339268" </w:instrText>
      </w:r>
      <w:r>
        <w:fldChar w:fldCharType="separate"/>
      </w:r>
      <w:r>
        <w:rPr>
          <w:rStyle w:val="31"/>
        </w:rPr>
        <w:t>第6章 总结与展望</w:t>
      </w:r>
      <w:r>
        <w:rPr>
          <w:rFonts w:hint="eastAsia"/>
        </w:rPr>
        <w:tab/>
      </w:r>
      <w:r>
        <w:rPr>
          <w:rFonts w:hint="eastAsia"/>
        </w:rPr>
        <w:fldChar w:fldCharType="begin"/>
      </w:r>
      <w:r>
        <w:rPr>
          <w:rFonts w:hint="eastAsia"/>
        </w:rPr>
        <w:instrText xml:space="preserve"> </w:instrText>
      </w:r>
      <w:r>
        <w:instrText xml:space="preserve">PAGEREF _Toc243339268 \h</w:instrText>
      </w:r>
      <w:r>
        <w:rPr>
          <w:rFonts w:hint="eastAsia"/>
        </w:rPr>
        <w:instrText xml:space="preserve"> </w:instrText>
      </w:r>
      <w:r>
        <w:rPr>
          <w:rFonts w:hint="eastAsia"/>
        </w:rPr>
        <w:fldChar w:fldCharType="separate"/>
      </w:r>
      <w:r>
        <w:t>49</w:t>
      </w:r>
      <w:r>
        <w:rPr>
          <w:rFonts w:hint="eastAsia"/>
        </w:rPr>
        <w:fldChar w:fldCharType="end"/>
      </w:r>
      <w:r>
        <w:rPr>
          <w:rFonts w:hint="eastAsia"/>
        </w:rPr>
        <w:fldChar w:fldCharType="end"/>
      </w:r>
    </w:p>
    <w:p w14:paraId="5F4E5123">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"_Toc243339269" </w:instrText>
      </w:r>
      <w:r>
        <w:fldChar w:fldCharType="separate"/>
      </w:r>
      <w:r>
        <w:rPr>
          <w:rStyle w:val="31"/>
        </w:rPr>
        <w:t>6.1 全文工作总结</w:t>
      </w:r>
      <w:r>
        <w:rPr>
          <w:rFonts w:hint="eastAsia"/>
        </w:rPr>
        <w:tab/>
      </w:r>
      <w:r>
        <w:rPr>
          <w:rFonts w:hint="eastAsia"/>
        </w:rPr>
        <w:fldChar w:fldCharType="begin"/>
      </w:r>
      <w:r>
        <w:rPr>
          <w:rFonts w:hint="eastAsia"/>
        </w:rPr>
        <w:instrText xml:space="preserve"> </w:instrText>
      </w:r>
      <w:r>
        <w:instrText xml:space="preserve">PAGEREF _Toc243339269 \h</w:instrText>
      </w:r>
      <w:r>
        <w:rPr>
          <w:rFonts w:hint="eastAsia"/>
        </w:rPr>
        <w:instrText xml:space="preserve"> </w:instrText>
      </w:r>
      <w:r>
        <w:rPr>
          <w:rFonts w:hint="eastAsia"/>
        </w:rPr>
        <w:fldChar w:fldCharType="separate"/>
      </w:r>
      <w:r>
        <w:t>49</w:t>
      </w:r>
      <w:r>
        <w:rPr>
          <w:rFonts w:hint="eastAsia"/>
        </w:rPr>
        <w:fldChar w:fldCharType="end"/>
      </w:r>
      <w:r>
        <w:rPr>
          <w:rFonts w:hint="eastAsia"/>
        </w:rPr>
        <w:fldChar w:fldCharType="end"/>
      </w:r>
    </w:p>
    <w:p w14:paraId="5A8BA745">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"_Toc243339270" </w:instrText>
      </w:r>
      <w:r>
        <w:fldChar w:fldCharType="separate"/>
      </w:r>
      <w:r>
        <w:rPr>
          <w:rStyle w:val="31"/>
        </w:rPr>
        <w:t>6.2 主要研究贡献</w:t>
      </w:r>
      <w:r>
        <w:rPr>
          <w:rFonts w:hint="eastAsia"/>
        </w:rPr>
        <w:tab/>
      </w:r>
      <w:r>
        <w:rPr>
          <w:rFonts w:hint="eastAsia"/>
        </w:rPr>
        <w:fldChar w:fldCharType="begin"/>
      </w:r>
      <w:r>
        <w:rPr>
          <w:rFonts w:hint="eastAsia"/>
        </w:rPr>
        <w:instrText xml:space="preserve"> </w:instrText>
      </w:r>
      <w:r>
        <w:instrText xml:space="preserve">PAGEREF _Toc243339270 \h</w:instrText>
      </w:r>
      <w:r>
        <w:rPr>
          <w:rFonts w:hint="eastAsia"/>
        </w:rPr>
        <w:instrText xml:space="preserve"> </w:instrText>
      </w:r>
      <w:r>
        <w:rPr>
          <w:rFonts w:hint="eastAsia"/>
        </w:rPr>
        <w:fldChar w:fldCharType="separate"/>
      </w:r>
      <w:r>
        <w:t>49</w:t>
      </w:r>
      <w:r>
        <w:rPr>
          <w:rFonts w:hint="eastAsia"/>
        </w:rPr>
        <w:fldChar w:fldCharType="end"/>
      </w:r>
      <w:r>
        <w:rPr>
          <w:rFonts w:hint="eastAsia"/>
        </w:rPr>
        <w:fldChar w:fldCharType="end"/>
      </w:r>
    </w:p>
    <w:p w14:paraId="3A9CF010">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"_Toc243339271" </w:instrText>
      </w:r>
      <w:r>
        <w:fldChar w:fldCharType="separate"/>
      </w:r>
      <w:r>
        <w:rPr>
          <w:rStyle w:val="31"/>
        </w:rPr>
        <w:t>6.3 研究局限与展望</w:t>
      </w:r>
      <w:r>
        <w:rPr>
          <w:rFonts w:hint="eastAsia"/>
        </w:rPr>
        <w:tab/>
      </w:r>
      <w:r>
        <w:rPr>
          <w:rFonts w:hint="eastAsia"/>
        </w:rPr>
        <w:fldChar w:fldCharType="begin"/>
      </w:r>
      <w:r>
        <w:rPr>
          <w:rFonts w:hint="eastAsia"/>
        </w:rPr>
        <w:instrText xml:space="preserve"> </w:instrText>
      </w:r>
      <w:r>
        <w:instrText xml:space="preserve">PAGEREF _Toc243339271 \h</w:instrText>
      </w:r>
      <w:r>
        <w:rPr>
          <w:rFonts w:hint="eastAsia"/>
        </w:rPr>
        <w:instrText xml:space="preserve"> </w:instrText>
      </w:r>
      <w:r>
        <w:rPr>
          <w:rFonts w:hint="eastAsia"/>
        </w:rPr>
        <w:fldChar w:fldCharType="separate"/>
      </w:r>
      <w:r>
        <w:t>50</w:t>
      </w:r>
      <w:r>
        <w:rPr>
          <w:rFonts w:hint="eastAsia"/>
        </w:rPr>
        <w:fldChar w:fldCharType="end"/>
      </w:r>
      <w:r>
        <w:rPr>
          <w:rFonts w:hint="eastAsia"/>
        </w:rPr>
        <w:fldChar w:fldCharType="end"/>
      </w:r>
    </w:p>
    <w:p w14:paraId="31B2622A">
      <w:pPr>
        <w:pStyle w:val="19"/>
        <w:rPr>
          <w:rFonts w:hint="eastAsia" w:asciiTheme="minorHAnsi" w:hAnsiTheme="minorHAnsi" w:eastAsiaTheme="minorEastAsia" w:cstheme="minorBidi"/>
          <w:color w:val="auto"/>
          <w:kern w:val="2"/>
          <w:sz w:val="22"/>
          <w14:ligatures w14:val="standardContextual"/>
        </w:rPr>
      </w:pPr>
      <w:r>
        <w:fldChar w:fldCharType="begin"/>
      </w:r>
      <w:r>
        <w:instrText xml:space="preserve"> HYPERLINK \l "_Toc243339272" </w:instrText>
      </w:r>
      <w:r>
        <w:fldChar w:fldCharType="separate"/>
      </w:r>
      <w:r>
        <w:rPr>
          <w:rStyle w:val="31"/>
        </w:rPr>
        <w:t>参考文献</w:t>
      </w:r>
      <w:r>
        <w:rPr>
          <w:rFonts w:hint="eastAsia"/>
        </w:rPr>
        <w:tab/>
      </w:r>
      <w:r>
        <w:rPr>
          <w:rFonts w:hint="eastAsia"/>
        </w:rPr>
        <w:fldChar w:fldCharType="begin"/>
      </w:r>
      <w:r>
        <w:rPr>
          <w:rFonts w:hint="eastAsia"/>
        </w:rPr>
        <w:instrText xml:space="preserve"> </w:instrText>
      </w:r>
      <w:r>
        <w:instrText xml:space="preserve">PAGEREF _Toc243339272 \h</w:instrText>
      </w:r>
      <w:r>
        <w:rPr>
          <w:rFonts w:hint="eastAsia"/>
        </w:rPr>
        <w:instrText xml:space="preserve"> </w:instrText>
      </w:r>
      <w:r>
        <w:rPr>
          <w:rFonts w:hint="eastAsia"/>
        </w:rPr>
        <w:fldChar w:fldCharType="separate"/>
      </w:r>
      <w:r>
        <w:t>51</w:t>
      </w:r>
      <w:r>
        <w:rPr>
          <w:rFonts w:hint="eastAsia"/>
        </w:rPr>
        <w:fldChar w:fldCharType="end"/>
      </w:r>
      <w:r>
        <w:rPr>
          <w:rFonts w:hint="eastAsia"/>
        </w:rPr>
        <w:fldChar w:fldCharType="end"/>
      </w:r>
    </w:p>
    <w:p w14:paraId="236CC29F">
      <w:pPr>
        <w:pStyle w:val="19"/>
        <w:rPr>
          <w:rFonts w:hint="eastAsia" w:asciiTheme="minorHAnsi" w:hAnsiTheme="minorHAnsi" w:eastAsiaTheme="minorEastAsia" w:cstheme="minorBidi"/>
          <w:color w:val="auto"/>
          <w:kern w:val="2"/>
          <w:sz w:val="22"/>
          <w14:ligatures w14:val="standardContextual"/>
        </w:rPr>
      </w:pPr>
      <w:r>
        <w:fldChar w:fldCharType="begin"/>
      </w:r>
      <w:r>
        <w:instrText xml:space="preserve"> HYPERLINK \l "_Toc243339273" </w:instrText>
      </w:r>
      <w:r>
        <w:fldChar w:fldCharType="separate"/>
      </w:r>
      <w:r>
        <w:rPr>
          <w:rStyle w:val="31"/>
        </w:rPr>
        <w:t>附录A 主要材料与正文对应关系</w:t>
      </w:r>
      <w:r>
        <w:rPr>
          <w:rFonts w:hint="eastAsia"/>
        </w:rPr>
        <w:tab/>
      </w:r>
      <w:r>
        <w:rPr>
          <w:rFonts w:hint="eastAsia"/>
        </w:rPr>
        <w:fldChar w:fldCharType="begin"/>
      </w:r>
      <w:r>
        <w:rPr>
          <w:rFonts w:hint="eastAsia"/>
        </w:rPr>
        <w:instrText xml:space="preserve"> </w:instrText>
      </w:r>
      <w:r>
        <w:instrText xml:space="preserve">PAGEREF _Toc243339273 \h</w:instrText>
      </w:r>
      <w:r>
        <w:rPr>
          <w:rFonts w:hint="eastAsia"/>
        </w:rPr>
        <w:instrText xml:space="preserve"> </w:instrText>
      </w:r>
      <w:r>
        <w:rPr>
          <w:rFonts w:hint="eastAsia"/>
        </w:rPr>
        <w:fldChar w:fldCharType="separate"/>
      </w:r>
      <w:r>
        <w:t>53</w:t>
      </w:r>
      <w:r>
        <w:rPr>
          <w:rFonts w:hint="eastAsia"/>
        </w:rPr>
        <w:fldChar w:fldCharType="end"/>
      </w:r>
      <w:r>
        <w:rPr>
          <w:rFonts w:hint="eastAsia"/>
        </w:rPr>
        <w:fldChar w:fldCharType="end"/>
      </w:r>
    </w:p>
    <w:p w14:paraId="1E730DAE">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"_Toc243339274" </w:instrText>
      </w:r>
      <w:r>
        <w:fldChar w:fldCharType="separate"/>
      </w:r>
      <w:r>
        <w:rPr>
          <w:rStyle w:val="31"/>
        </w:rPr>
        <w:t>A.1 视觉与运动接口最小记录</w:t>
      </w:r>
      <w:r>
        <w:rPr>
          <w:rFonts w:hint="eastAsia"/>
        </w:rPr>
        <w:tab/>
      </w:r>
      <w:r>
        <w:rPr>
          <w:rFonts w:hint="eastAsia"/>
        </w:rPr>
        <w:fldChar w:fldCharType="begin"/>
      </w:r>
      <w:r>
        <w:rPr>
          <w:rFonts w:hint="eastAsia"/>
        </w:rPr>
        <w:instrText xml:space="preserve"> </w:instrText>
      </w:r>
      <w:r>
        <w:instrText xml:space="preserve">PAGEREF _Toc243339274 \h</w:instrText>
      </w:r>
      <w:r>
        <w:rPr>
          <w:rFonts w:hint="eastAsia"/>
        </w:rPr>
        <w:instrText xml:space="preserve"> </w:instrText>
      </w:r>
      <w:r>
        <w:rPr>
          <w:rFonts w:hint="eastAsia"/>
        </w:rPr>
        <w:fldChar w:fldCharType="separate"/>
      </w:r>
      <w:r>
        <w:t>54</w:t>
      </w:r>
      <w:r>
        <w:rPr>
          <w:rFonts w:hint="eastAsia"/>
        </w:rPr>
        <w:fldChar w:fldCharType="end"/>
      </w:r>
      <w:r>
        <w:rPr>
          <w:rFonts w:hint="eastAsia"/>
        </w:rPr>
        <w:fldChar w:fldCharType="end"/>
      </w:r>
    </w:p>
    <w:p w14:paraId="3EE07D5D">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"_Toc243339275" </w:instrText>
      </w:r>
      <w:r>
        <w:fldChar w:fldCharType="separate"/>
      </w:r>
      <w:r>
        <w:rPr>
          <w:rStyle w:val="31"/>
        </w:rPr>
        <w:t>A.2 后续填写顺序与必要验证范围</w:t>
      </w:r>
      <w:r>
        <w:rPr>
          <w:rFonts w:hint="eastAsia"/>
        </w:rPr>
        <w:tab/>
      </w:r>
      <w:r>
        <w:rPr>
          <w:rFonts w:hint="eastAsia"/>
        </w:rPr>
        <w:fldChar w:fldCharType="begin"/>
      </w:r>
      <w:r>
        <w:rPr>
          <w:rFonts w:hint="eastAsia"/>
        </w:rPr>
        <w:instrText xml:space="preserve"> </w:instrText>
      </w:r>
      <w:r>
        <w:instrText xml:space="preserve">PAGEREF _Toc243339275 \h</w:instrText>
      </w:r>
      <w:r>
        <w:rPr>
          <w:rFonts w:hint="eastAsia"/>
        </w:rPr>
        <w:instrText xml:space="preserve"> </w:instrText>
      </w:r>
      <w:r>
        <w:rPr>
          <w:rFonts w:hint="eastAsia"/>
        </w:rPr>
        <w:fldChar w:fldCharType="separate"/>
      </w:r>
      <w:r>
        <w:t>54</w:t>
      </w:r>
      <w:r>
        <w:rPr>
          <w:rFonts w:hint="eastAsia"/>
        </w:rPr>
        <w:fldChar w:fldCharType="end"/>
      </w:r>
      <w:r>
        <w:rPr>
          <w:rFonts w:hint="eastAsia"/>
        </w:rPr>
        <w:fldChar w:fldCharType="end"/>
      </w:r>
    </w:p>
    <w:p w14:paraId="4536389E">
      <w:pPr>
        <w:pStyle w:val="19"/>
        <w:rPr>
          <w:rFonts w:hint="eastAsia" w:asciiTheme="minorHAnsi" w:hAnsiTheme="minorHAnsi" w:eastAsiaTheme="minorEastAsia" w:cstheme="minorBidi"/>
          <w:color w:val="auto"/>
          <w:kern w:val="2"/>
          <w:sz w:val="22"/>
          <w14:ligatures w14:val="standardContextual"/>
        </w:rPr>
      </w:pPr>
      <w:r>
        <w:fldChar w:fldCharType="begin"/>
      </w:r>
      <w:r>
        <w:instrText xml:space="preserve"> HYPERLINK \l "_Toc243339276" </w:instrText>
      </w:r>
      <w:r>
        <w:fldChar w:fldCharType="separate"/>
      </w:r>
      <w:r>
        <w:rPr>
          <w:rStyle w:val="31"/>
        </w:rPr>
        <w:t>附录B 图片来源与复用说明</w:t>
      </w:r>
      <w:r>
        <w:rPr>
          <w:rFonts w:hint="eastAsia"/>
        </w:rPr>
        <w:tab/>
      </w:r>
      <w:r>
        <w:rPr>
          <w:rFonts w:hint="eastAsia"/>
        </w:rPr>
        <w:fldChar w:fldCharType="begin"/>
      </w:r>
      <w:r>
        <w:rPr>
          <w:rFonts w:hint="eastAsia"/>
        </w:rPr>
        <w:instrText xml:space="preserve"> </w:instrText>
      </w:r>
      <w:r>
        <w:instrText xml:space="preserve">PAGEREF _Toc243339276 \h</w:instrText>
      </w:r>
      <w:r>
        <w:rPr>
          <w:rFonts w:hint="eastAsia"/>
        </w:rPr>
        <w:instrText xml:space="preserve"> </w:instrText>
      </w:r>
      <w:r>
        <w:rPr>
          <w:rFonts w:hint="eastAsia"/>
        </w:rPr>
        <w:fldChar w:fldCharType="separate"/>
      </w:r>
      <w:r>
        <w:t>55</w:t>
      </w:r>
      <w:r>
        <w:rPr>
          <w:rFonts w:hint="eastAsia"/>
        </w:rPr>
        <w:fldChar w:fldCharType="end"/>
      </w:r>
      <w:r>
        <w:rPr>
          <w:rFonts w:hint="eastAsia"/>
        </w:rPr>
        <w:fldChar w:fldCharType="end"/>
      </w:r>
    </w:p>
    <w:p w14:paraId="4C26EB73">
      <w:pPr>
        <w:pStyle w:val="23"/>
        <w:rPr>
          <w:rFonts w:hint="eastAsia" w:asciiTheme="minorHAnsi" w:hAnsiTheme="minorHAnsi" w:eastAsiaTheme="minorEastAsia" w:cstheme="minorBidi"/>
          <w:color w:val="auto"/>
          <w:kern w:val="2"/>
          <w:szCs w:val="24"/>
          <w14:ligatures w14:val="standardContextual"/>
        </w:rPr>
      </w:pPr>
      <w:r>
        <w:fldChar w:fldCharType="begin"/>
      </w:r>
      <w:r>
        <w:instrText xml:space="preserve"> HYPERLINK \l "_Toc243339277" </w:instrText>
      </w:r>
      <w:r>
        <w:fldChar w:fldCharType="separate"/>
      </w:r>
      <w:r>
        <w:rPr>
          <w:rStyle w:val="31"/>
        </w:rPr>
        <w:t>B.1 OpenCV图像复用许可</w:t>
      </w:r>
      <w:r>
        <w:rPr>
          <w:rFonts w:hint="eastAsia"/>
        </w:rPr>
        <w:tab/>
      </w:r>
      <w:r>
        <w:rPr>
          <w:rFonts w:hint="eastAsia"/>
        </w:rPr>
        <w:fldChar w:fldCharType="begin"/>
      </w:r>
      <w:r>
        <w:rPr>
          <w:rFonts w:hint="eastAsia"/>
        </w:rPr>
        <w:instrText xml:space="preserve"> </w:instrText>
      </w:r>
      <w:r>
        <w:instrText xml:space="preserve">PAGEREF _Toc243339277 \h</w:instrText>
      </w:r>
      <w:r>
        <w:rPr>
          <w:rFonts w:hint="eastAsia"/>
        </w:rPr>
        <w:instrText xml:space="preserve"> </w:instrText>
      </w:r>
      <w:r>
        <w:rPr>
          <w:rFonts w:hint="eastAsia"/>
        </w:rPr>
        <w:fldChar w:fldCharType="separate"/>
      </w:r>
      <w:r>
        <w:t>55</w:t>
      </w:r>
      <w:r>
        <w:rPr>
          <w:rFonts w:hint="eastAsia"/>
        </w:rPr>
        <w:fldChar w:fldCharType="end"/>
      </w:r>
      <w:r>
        <w:rPr>
          <w:rFonts w:hint="eastAsia"/>
        </w:rPr>
        <w:fldChar w:fldCharType="end"/>
      </w:r>
    </w:p>
    <w:p w14:paraId="0C2383C1">
      <w:pPr>
        <w:pStyle w:val="19"/>
        <w:rPr>
          <w:rFonts w:hint="eastAsia" w:asciiTheme="minorHAnsi" w:hAnsiTheme="minorHAnsi" w:eastAsiaTheme="minorEastAsia" w:cstheme="minorBidi"/>
          <w:color w:val="auto"/>
          <w:kern w:val="2"/>
          <w:sz w:val="22"/>
          <w14:ligatures w14:val="standardContextual"/>
        </w:rPr>
      </w:pPr>
      <w:r>
        <w:fldChar w:fldCharType="begin"/>
      </w:r>
      <w:r>
        <w:instrText xml:space="preserve"> HYPERLINK \l "_Toc243339278" </w:instrText>
      </w:r>
      <w:r>
        <w:fldChar w:fldCharType="separate"/>
      </w:r>
      <w:r>
        <w:rPr>
          <w:rStyle w:val="31"/>
        </w:rPr>
        <w:t>附录C 待补信息索引</w:t>
      </w:r>
      <w:r>
        <w:rPr>
          <w:rFonts w:hint="eastAsia"/>
        </w:rPr>
        <w:tab/>
      </w:r>
      <w:r>
        <w:rPr>
          <w:rFonts w:hint="eastAsia"/>
        </w:rPr>
        <w:fldChar w:fldCharType="begin"/>
      </w:r>
      <w:r>
        <w:rPr>
          <w:rFonts w:hint="eastAsia"/>
        </w:rPr>
        <w:instrText xml:space="preserve"> </w:instrText>
      </w:r>
      <w:r>
        <w:instrText xml:space="preserve">PAGEREF _Toc243339278 \h</w:instrText>
      </w:r>
      <w:r>
        <w:rPr>
          <w:rFonts w:hint="eastAsia"/>
        </w:rPr>
        <w:instrText xml:space="preserve"> </w:instrText>
      </w:r>
      <w:r>
        <w:rPr>
          <w:rFonts w:hint="eastAsia"/>
        </w:rPr>
        <w:fldChar w:fldCharType="separate"/>
      </w:r>
      <w:r>
        <w:t>58</w:t>
      </w:r>
      <w:r>
        <w:rPr>
          <w:rFonts w:hint="eastAsia"/>
        </w:rPr>
        <w:fldChar w:fldCharType="end"/>
      </w:r>
      <w:r>
        <w:rPr>
          <w:rFonts w:hint="eastAsia"/>
        </w:rPr>
        <w:fldChar w:fldCharType="end"/>
      </w:r>
    </w:p>
    <w:p w14:paraId="498248F2">
      <w:pPr>
        <w:pStyle w:val="19"/>
        <w:rPr>
          <w:rFonts w:hint="eastAsia" w:asciiTheme="minorHAnsi" w:hAnsiTheme="minorHAnsi" w:eastAsiaTheme="minorEastAsia" w:cstheme="minorBidi"/>
          <w:color w:val="auto"/>
          <w:kern w:val="2"/>
          <w:sz w:val="22"/>
          <w14:ligatures w14:val="standardContextual"/>
        </w:rPr>
      </w:pPr>
      <w:r>
        <w:fldChar w:fldCharType="begin"/>
      </w:r>
      <w:r>
        <w:instrText xml:space="preserve"> HYPERLINK \l "_Toc243339279" </w:instrText>
      </w:r>
      <w:r>
        <w:fldChar w:fldCharType="separate"/>
      </w:r>
      <w:r>
        <w:rPr>
          <w:rStyle w:val="31"/>
        </w:rPr>
        <w:t>攻读学位期间的研究成果</w:t>
      </w:r>
      <w:r>
        <w:rPr>
          <w:rFonts w:hint="eastAsia"/>
        </w:rPr>
        <w:tab/>
      </w:r>
      <w:r>
        <w:rPr>
          <w:rFonts w:hint="eastAsia"/>
        </w:rPr>
        <w:fldChar w:fldCharType="begin"/>
      </w:r>
      <w:r>
        <w:rPr>
          <w:rFonts w:hint="eastAsia"/>
        </w:rPr>
        <w:instrText xml:space="preserve"> </w:instrText>
      </w:r>
      <w:r>
        <w:instrText xml:space="preserve">PAGEREF _Toc243339279 \h</w:instrText>
      </w:r>
      <w:r>
        <w:rPr>
          <w:rFonts w:hint="eastAsia"/>
        </w:rPr>
        <w:instrText xml:space="preserve"> </w:instrText>
      </w:r>
      <w:r>
        <w:rPr>
          <w:rFonts w:hint="eastAsia"/>
        </w:rPr>
        <w:fldChar w:fldCharType="separate"/>
      </w:r>
      <w:r>
        <w:t>61</w:t>
      </w:r>
      <w:r>
        <w:rPr>
          <w:rFonts w:hint="eastAsia"/>
        </w:rPr>
        <w:fldChar w:fldCharType="end"/>
      </w:r>
      <w:r>
        <w:rPr>
          <w:rFonts w:hint="eastAsia"/>
        </w:rPr>
        <w:fldChar w:fldCharType="end"/>
      </w:r>
    </w:p>
    <w:p w14:paraId="263550D8">
      <w:pPr>
        <w:pStyle w:val="19"/>
        <w:rPr>
          <w:rFonts w:hint="eastAsia" w:asciiTheme="minorHAnsi" w:hAnsiTheme="minorHAnsi" w:eastAsiaTheme="minorEastAsia" w:cstheme="minorBidi"/>
          <w:color w:val="auto"/>
          <w:kern w:val="2"/>
          <w:sz w:val="22"/>
          <w14:ligatures w14:val="standardContextual"/>
        </w:rPr>
      </w:pPr>
      <w:r>
        <w:fldChar w:fldCharType="begin"/>
      </w:r>
      <w:r>
        <w:instrText xml:space="preserve"> HYPERLINK \l "_Toc243339280" </w:instrText>
      </w:r>
      <w:r>
        <w:fldChar w:fldCharType="separate"/>
      </w:r>
      <w:r>
        <w:rPr>
          <w:rStyle w:val="31"/>
        </w:rPr>
        <w:t>致谢</w:t>
      </w:r>
      <w:r>
        <w:rPr>
          <w:rFonts w:hint="eastAsia"/>
        </w:rPr>
        <w:tab/>
      </w:r>
      <w:r>
        <w:rPr>
          <w:rFonts w:hint="eastAsia"/>
        </w:rPr>
        <w:fldChar w:fldCharType="begin"/>
      </w:r>
      <w:r>
        <w:rPr>
          <w:rFonts w:hint="eastAsia"/>
        </w:rPr>
        <w:instrText xml:space="preserve"> </w:instrText>
      </w:r>
      <w:r>
        <w:instrText xml:space="preserve">PAGEREF _Toc243339280 \h</w:instrText>
      </w:r>
      <w:r>
        <w:rPr>
          <w:rFonts w:hint="eastAsia"/>
        </w:rPr>
        <w:instrText xml:space="preserve"> </w:instrText>
      </w:r>
      <w:r>
        <w:rPr>
          <w:rFonts w:hint="eastAsia"/>
        </w:rPr>
        <w:fldChar w:fldCharType="separate"/>
      </w:r>
      <w:r>
        <w:t>62</w:t>
      </w:r>
      <w:r>
        <w:rPr>
          <w:rFonts w:hint="eastAsia"/>
        </w:rPr>
        <w:fldChar w:fldCharType="end"/>
      </w:r>
      <w:r>
        <w:rPr>
          <w:rFonts w:hint="eastAsia"/>
        </w:rPr>
        <w:fldChar w:fldCharType="end"/>
      </w:r>
    </w:p>
    <w:p w14:paraId="5FB704E0">
      <w:pPr>
        <w:tabs>
          <w:tab w:val="right" w:leader="dot" w:pos="9071"/>
        </w:tabs>
      </w:pPr>
      <w:r>
        <w:fldChar w:fldCharType="end"/>
      </w:r>
    </w:p>
    <w:p w14:paraId="0B42FADE">
      <w:pPr>
        <w:sectPr>
          <w:headerReference r:id="rId5" w:type="default"/>
          <w:footerReference r:id="rId6" w:type="default"/>
          <w:pgSz w:w="11906" w:h="16838"/>
          <w:pgMar w:top="1587" w:right="1417" w:bottom="1134" w:left="1417" w:header="964" w:footer="680" w:gutter="0"/>
          <w:pgNumType w:fmt="upperRoman" w:start="1"/>
          <w:cols w:space="720" w:num="1"/>
        </w:sectPr>
      </w:pPr>
    </w:p>
    <w:p w14:paraId="239EC2EF">
      <w:pPr>
        <w:pStyle w:val="2"/>
      </w:pPr>
      <w:bookmarkStart w:id="2" w:name="_Toc243339182"/>
      <w:r>
        <w:t>第1章 绪论</w:t>
      </w:r>
      <w:bookmarkEnd w:id="2"/>
    </w:p>
    <w:p w14:paraId="1CA90BB7">
      <w:pPr>
        <w:pStyle w:val="3"/>
      </w:pPr>
      <w:bookmarkStart w:id="3" w:name="_Toc243339183"/>
      <w:r>
        <w:t>1.1 研究背景与意义</w:t>
      </w:r>
      <w:bookmarkEnd w:id="3"/>
    </w:p>
    <w:p w14:paraId="1C332A7F">
      <w:pPr>
        <w:pStyle w:val="4"/>
        <w:spacing w:before="240" w:after="240"/>
      </w:pPr>
      <w:bookmarkStart w:id="4" w:name="_Toc243339184"/>
      <w:r>
        <w:t>1.1.1 非结构化场景下机械臂视觉引导作业需求</w:t>
      </w:r>
      <w:bookmarkEnd w:id="4"/>
    </w:p>
    <w:p w14:paraId="71F21AC2">
      <w:r>
        <w:t>机械臂在结构固定、工件位置已知的环境中，可以依靠示教轨迹完成重复作业。当作业对象变为人体或其他具有个体差异的曲面时，固定位置和固定轨迹难以覆盖对象姿态、尺度与局部形状的变化。视觉传感器能够提供目标外观与空间信息，使机械臂从执行预先给定的位置序列，转向根据当前观测生成运动目标。实现这一转变的关键不仅在于识别图像中的目标，还在于将目标表示转换为具有坐标系、单位和姿态约束的运动输入。</w:t>
      </w:r>
    </w:p>
    <w:p w14:paraId="6FF96F66">
      <w:r>
        <w:t>本文选择人体穴位定位作为视觉算法的应用任务。穴位与人体解剖结构有关，但在普通RGB图像中往往不具有可直接辨认的独立纹理，因此不能简单等同于颜色显著的物体中心。肩、髋、颈部和脐部等可见或可推断的解剖锚点，为穴位位置的几何计算提供了参考。与此同时，人体表面具有曲率，图像中的同一像素位移在不同距离和表面方向下对应不同的空间位移。仅有二维关键点检测结果，还不足以形成机械臂末端的完整作业位姿。</w:t>
      </w:r>
    </w:p>
    <w:p w14:paraId="4F337DB0">
      <w:r>
        <w:t>在多个目标之间运动时，机械臂还需考虑目标可达性、周围障碍以及工具的接近方向。视觉模块关注目标位置，路径规划模块关注自由空间内的连接，两者的数据对象和约束范围并不相同。若直接将像素坐标或三维离散点作为控制指令，会遗漏手眼变换、工具偏置和关节约束等必要步骤。因此，本研究以两类算法及其工程衔接为主线，研究从图像到空间目标、从空间目标到转移路径的实现过程。</w:t>
      </w:r>
    </w:p>
    <w:p w14:paraId="0569967E">
      <w:pPr>
        <w:pStyle w:val="4"/>
        <w:spacing w:before="240" w:after="240"/>
      </w:pPr>
      <w:bookmarkStart w:id="5" w:name="_Toc243339185"/>
      <w:r>
        <w:t>1.1.2 个体化目标定位与高效路径规划的研究意义</w:t>
      </w:r>
      <w:bookmarkEnd w:id="5"/>
    </w:p>
    <w:p w14:paraId="3EBF132D">
      <w:r>
        <w:t>个体化定位的意义在于使目标位置随可观测的人体结构变化，而不是将统一模板按图像尺寸简单缩放。将学习得到的锚点与显式几何规则结合，可以把定位误差分解到锚点检测、尺度估计和规则计算等环节，并便于对规则进行检查和修改。对于难以直接标注大量隐式目标的任务，这种结构化表示具有工程应用价值，但其精度仍需通过独立参考位置验证。</w:t>
      </w:r>
    </w:p>
    <w:p w14:paraId="434F700D">
      <w:r>
        <w:t>路径规划的意义在于在有限预算内获得可用的连接，并对已有路径进行改善。规划器的首解速度、终值长度与运行开销并非同一指标。快速建立连通关系的方法可能产生较长的路径，而增加邻域搜索和重布线能够改善路径，却可能增加计算成本。本文关注这种取舍，采用一致的扩展预算和分阶段指标描述算法表现，避免仅凭单次最优案例判断方法优劣。</w:t>
      </w:r>
    </w:p>
    <w:p w14:paraId="598A803B">
      <w:r>
        <w:t>在工程层面，研究价值还体现在明确感知与运动之间的接口：视觉输出的是哪个图像坐标系下的点，深度是否已与彩色图像对应，工具姿态如何由表面法向构造，规划得到的几何折线如何转为可执行路点。对这些关系作出明确约定，有助于将两项算法工作整合为可复核的机械臂应用流程。本文不以接触力控制策略或临床治疗效果作为研究结论。</w:t>
      </w:r>
    </w:p>
    <w:p w14:paraId="31664BA6">
      <w:pPr>
        <w:pStyle w:val="3"/>
      </w:pPr>
      <w:bookmarkStart w:id="6" w:name="_Toc243339186"/>
      <w:r>
        <w:t>1.2 国内外研究现状</w:t>
      </w:r>
      <w:bookmarkEnd w:id="6"/>
    </w:p>
    <w:p w14:paraId="3C70EE94">
      <w:pPr>
        <w:pStyle w:val="4"/>
        <w:spacing w:before="240" w:after="240"/>
      </w:pPr>
      <w:bookmarkStart w:id="7" w:name="_Toc243339187"/>
      <w:r>
        <w:t>1.2.1 人体关键点检测与穴位视觉定位研究现状</w:t>
      </w:r>
      <w:bookmarkEnd w:id="7"/>
    </w:p>
    <w:p w14:paraId="537D8459">
      <w:r>
        <w:t>人体关键点检测为基于人体结构的目标定位提供了基础。Cao等提出的OpenPose方法通过部位亲和场表达关键点之间的联系，将局部部位检测与个体关联结合起来，为多人二维姿态估计提供了代表性方案[1]。Jiang等提出RTMPose，从模型结构、训练策略和部署等方面研究姿态估计的速度与精度关系[2]。这些工作说明，关键点任务既依赖局部图像特征，也依赖人体结构与部署条件；公开数据集上的准确率不能直接代表特定设备和特定部位的表现。</w:t>
      </w:r>
    </w:p>
    <w:p w14:paraId="114B2958">
      <w:r>
        <w:t>YOLO将目标检测组织为统一预测过程[3]。Ultralytics的YOLO11系列提供检测与姿态等任务模型，姿态模型可以输出人体框和关键点[4]。对本文而言，采用已有姿态网络的主要目的在于获取稳定的解剖参考，而不是重新设计一个未经实现验证的网络骨干。通用姿态模型提供的关键点集合与穴位定位需要的参考集合存在差异，因此需要通过局部锚点训练和后续规则补充信息。</w:t>
      </w:r>
    </w:p>
    <w:p w14:paraId="0B7DD4BC">
      <w:r>
        <w:t>穴位视觉定位大体可以采用直接预测和结构推理两种路径。直接预测依赖穴位标注训练模型，表达方式直观，但容易受到标注一致性和样本分布影响；结构推理首先获取人体标志点，再根据相对位置推算目标，其优势是关系较易解释，而不足是误差可能沿几何链条传递。已有研究比较了解剖标志点与姿态模型在穴位定位中的作用[5]，也有研究结合手部几何、标志点与RGB-D特征开展三维穴位定位[6]。这些工作为本研究提供了方法参考，但手部、面部与躯干的可见结构不同，评价结果不能直接迁移。</w:t>
      </w:r>
    </w:p>
    <w:p w14:paraId="7556F9E0">
      <w:r>
        <w:t>本文沿用结构推理的思路，形成“通用姿态—局部锚点—骨度约束—目标坐标”的定位流程。其研究重点在于分部位模型协同、个体化尺度构造和规则化目标生成，而不是把人体关键点检测结果直接视作穴位定位结果。后续评价需要分别回答锚点是否准确、穴位推理是否有效以及空间映射是否可靠三个问题。</w:t>
      </w:r>
    </w:p>
    <w:p w14:paraId="24BCEE74">
      <w:pPr>
        <w:pStyle w:val="4"/>
        <w:spacing w:before="240" w:after="240"/>
      </w:pPr>
      <w:bookmarkStart w:id="8" w:name="_Toc243339188"/>
      <w:r>
        <w:t>1.2.2 视觉引导机械臂作业研究现状</w:t>
      </w:r>
      <w:bookmarkEnd w:id="8"/>
    </w:p>
    <w:p w14:paraId="7F149727">
      <w:r>
        <w:t>视觉引导机械臂必须建立图像观测与机器人坐标之间的对应。相机内参决定像素与成像光线的关系，手眼外参决定相机与机械臂之间的刚体关系，工具参数决定法兰与实际工作点的关系。这些参数分别作用于不同环节，不能以一个笼统的“标定矩阵”代替。张正友提出的平面标定方法通过多视角平面图案估计相机参数，为相机几何模型的确定提供了常用方法[7]。OpenCV提供投影、畸变校正及手眼关系求解接口，为工程实现提供参考[8]。</w:t>
      </w:r>
    </w:p>
    <w:p w14:paraId="53F7AA27">
      <w:r>
        <w:t>相机固定在机械臂末端时，构成眼在手上结构。该结构能够改变观察视角，但相机在机器人基坐标系下的位置随关节运动变化，因此图像采集时刻与机械臂状态的对应十分重要。若使用较早图像与较新的机械臂变换进行组合，坐标链在形式上可以闭合，目标位置仍可能发生偏移。对于先拍照再执行的系统，保持对象相对静止、保存采集快照及记录变换来源，是实现可重复定位的必要条件。</w:t>
      </w:r>
    </w:p>
    <w:p w14:paraId="5F478517">
      <w:r>
        <w:t>RGB-D相机可以为图像目标提供深度信息，局部点云可进一步估计表面方向。然而，深度孔洞、边缘混合、彩色深度错位和点云近邻替换都可能改变空间点。法向只给出工具一个轴向的参考，工具绕该轴的旋转仍需额外约定。机械臂运动学则决定该位置与朝向组合是否可达[9]。这些问题表明，感知精度、坐标一致性和运动学可行性需要逐层检查，而不能仅以末端在可视化软件中接近目标作为完整验证。</w:t>
      </w:r>
    </w:p>
    <w:p w14:paraId="55C9A4E9">
      <w:pPr>
        <w:pStyle w:val="4"/>
        <w:spacing w:before="240" w:after="240"/>
      </w:pPr>
      <w:bookmarkStart w:id="9" w:name="_Toc243339189"/>
      <w:r>
        <w:t>1.2.3 基于采样的路径规划研究现状</w:t>
      </w:r>
      <w:bookmarkEnd w:id="9"/>
    </w:p>
    <w:p w14:paraId="33C86B84">
      <w:r>
        <w:t>RRT通过随机采样和增量扩展探索连续空间，避免显式构建全部空间网格，适用于单次查询形式的路径搜索[10]。RRT-Connect从起点和终点分别生长搜索树，并通过连续扩展尝试建立连接，强调较快发现可行路径[11]。这类算法的首解通常能够满足连通要求，但路径长度与平滑程度仍取决于采样过程和连接结构。</w:t>
      </w:r>
    </w:p>
    <w:p w14:paraId="2AD17DDF">
      <w:r>
        <w:t>RRT*引入基于代价的父节点选择与重布线，并在相应理论条件下讨论渐近最优性[12]。Informed RRT*在获得解后利用路径长度下界确定椭球形知情子集，将搜索集中到有可能改善当前解的区域[13]。这些方法分别从树结构优化和采样范围控制入手，为有限预算内提高路径质量提供了思路。另一方面，重布线与邻域查询会增加单次扩展的工作量，因此相同扩展次数不等同于相同运行时间。</w:t>
      </w:r>
    </w:p>
    <w:p w14:paraId="41D6A276">
      <w:r>
        <w:t>对双向方法而言，两棵树已探索的区域通常具有方向和分布差异。利用动态参考点构造两侧采样域，可以使采样范围与搜索进展关联；根据已有路径的改善状态调节采样强度，可以减少始终采用固定参数的限制。但组合这些机制后，不能直接继承原始RRT*或Informed RRT*的全部理论保证。算法名称中的“自适应”需要由具体反馈信号与更新规则支撑，其贡献应通过条件匹配的消融实验判断。</w:t>
      </w:r>
    </w:p>
    <w:p w14:paraId="62236986">
      <w:r>
        <w:t>本文采用的SC-RRT沿此思路研究双向搜索、双侧椭球采样与在线调节的组合。在二维和三维静态工作空间中，既报告首次找到路径时的表现，也报告固定扩展预算结束时的结果。动态障碍、完整机械臂构型空间规划和严格实时调度属于不同问题，本研究不将静态点机器人试验结果扩展为对这些问题的验证。</w:t>
      </w:r>
    </w:p>
    <w:p w14:paraId="03941FA9">
      <w:pPr>
        <w:pStyle w:val="4"/>
        <w:spacing w:before="240" w:after="240"/>
      </w:pPr>
      <w:bookmarkStart w:id="10" w:name="_Toc243339190"/>
      <w:r>
        <w:t>1.2.4 现有研究不足</w:t>
      </w:r>
      <w:bookmarkEnd w:id="10"/>
    </w:p>
    <w:p w14:paraId="648F5209">
      <w:r>
        <w:t>结合上述研究与本课题的实现条件，尚需处理三个方面的问题。首先，通用人体关键点不能覆盖所有穴位推理锚点，局部模型的训练指标与穴位级误差之间缺少直接等价关系，需要明确中间表示和评价层级。其次，受限采样、双向连接与反馈更新相互影响，如果消融时同时改变机制和启动条件，难以判断性能变化的实际来源。最后，视觉目标与规划路径属于不同坐标和约束层级，若缺少手眼与工具关系、目标生成规则以及运动学检查，算法的独立结果不足以证明系统能够完成统一任务。</w:t>
      </w:r>
    </w:p>
    <w:p w14:paraId="694B1396">
      <w:pPr>
        <w:pStyle w:val="3"/>
      </w:pPr>
      <w:bookmarkStart w:id="11" w:name="_Toc243339191"/>
      <w:r>
        <w:t>1.3 主要研究内容与技术路线</w:t>
      </w:r>
      <w:bookmarkEnd w:id="11"/>
    </w:p>
    <w:p w14:paraId="003B460D">
      <w:pPr>
        <w:pStyle w:val="4"/>
        <w:spacing w:before="240" w:after="240"/>
      </w:pPr>
      <w:bookmarkStart w:id="12" w:name="_Toc243339192"/>
      <w:r>
        <w:t>1.3.1 主要研究内容</w:t>
      </w:r>
      <w:bookmarkEnd w:id="12"/>
    </w:p>
    <w:p w14:paraId="7CFB0B0E">
      <w:r>
        <w:t>本文研究任务定义为：利用视觉获取人体目标的二维位置，结合RGB-D信息与坐标变换生成机械臂目标位姿，利用SC-RRT完成目标之间的静态转移路径搜索，并结合已有机械臂部署材料说明执行过程。穴位是本文的具体目标对象，算法研究和部署验证构成论文主体。</w:t>
      </w:r>
    </w:p>
    <w:p w14:paraId="45E409FA">
      <w:r>
        <w:t>第一部分建立机械臂位姿与运动学描述，统一基坐标、法兰、相机和工具之间的变换记号，并讨论工作空间和末端可达性。第二部分研究YOLOv11-AMP方法，通过部位编码调用通用与局部模型，利用骨度约束形成二维穴位坐标，整理训练记录及待核实的定位评价。第三部分研究SC-RRT方法及公平评价协议，分析双椭球采样、动态参考点和搜索状态反馈的作用。第四部分将视觉定位与规划执行连接起来，说明标定依据、目标位姿生成、路径转换及实验记录要求。</w:t>
      </w:r>
    </w:p>
    <w:p w14:paraId="585FA7A4">
      <w:pPr>
        <w:pStyle w:val="4"/>
        <w:spacing w:before="240" w:after="240"/>
      </w:pPr>
      <w:bookmarkStart w:id="13" w:name="_Toc243339193"/>
      <w:r>
        <w:t>1.3.2 总体技术路线</w:t>
      </w:r>
      <w:bookmarkEnd w:id="13"/>
    </w:p>
    <w:p w14:paraId="68AF2707">
      <w:r>
        <w:t>技术路线从视觉目标定义开始。图像进入姿态估计模块后形成解剖锚点集合，规则库将锚点及尺度转化为目标像素。经人工确认的像素与对应深度构成三维点，局部点云用于补充表面方向。通过相机、法兰、工具和机器人基坐标之间的变换，将点与方向转化为目标位姿；根据目标位姿生成接近点及转移端点，交由SC-RRT规划几何路径；在执行层完成姿态配置、逆解与运动约束检查。流程中的数据应保持相同采集批次与明确的坐标语义。</w:t>
      </w:r>
    </w:p>
    <w:p w14:paraId="22791954">
      <w:r>
        <w:t>算法验证分为两个层次。视觉部分首先依据训练日志分析锚点模型，再以独立穴位真值检验几何推理；规划部分在冻结地图和统一扩展预算下比较首解与终值表现。部署部分使用现有平台、点云和轨迹案例说明实现关系，并将缺失的同次采集记录、参数矩阵和误差依据列为待补材料。该组织方式使方法贡献与工程实现相互联系，同时保留各自可验证的结论范围。</w:t>
      </w:r>
    </w:p>
    <w:p w14:paraId="1ACD6091">
      <w:pPr>
        <w:pStyle w:val="3"/>
      </w:pPr>
      <w:bookmarkStart w:id="14" w:name="_Toc243339194"/>
      <w:r>
        <w:t>1.4 论文组织结构</w:t>
      </w:r>
      <w:bookmarkEnd w:id="14"/>
    </w:p>
    <w:p w14:paraId="53FE653B">
      <w:r>
        <w:t>第1章介绍研究背景、相关方法及本文的任务边界。第2章给出机械臂位姿、坐标变换、运动学和可达性分析基础。第3章介绍YOLOv11-AMP的模型调用、尺度构造、穴位推理及实验材料。第4章给出SC-RRT的算法实现、公平对比和消融分析。第5章介绍平台部署、相机与工具标定关系、视觉到路径规划的衔接以及现有机械臂案例。第6章总结已得到支持的研究贡献，讨论尚未解决的问题及后续方向。</w:t>
      </w:r>
    </w:p>
    <w:p w14:paraId="617E5801">
      <w:pPr>
        <w:pStyle w:val="2"/>
      </w:pPr>
      <w:bookmarkStart w:id="15" w:name="_Toc243339195"/>
      <w:r>
        <w:t>第2章 机械臂运动学建模与分析</w:t>
      </w:r>
      <w:bookmarkEnd w:id="15"/>
    </w:p>
    <w:p w14:paraId="47031AD2">
      <w:r>
        <w:t>视觉定位结果需要经过坐标变换与运动学求解，才能对应到机械臂的关节运动。本章建立统一的位姿记号，给出六自由度串联机械臂的建模方法与验证方法，并讨论位置可达性和完整位姿可达性的区别。模型中的实际连杆参数、关节零位和工具参数，应与实验平台的控制器及机器人描述文件一致。</w:t>
      </w:r>
    </w:p>
    <w:p w14:paraId="5D28B8D0">
      <w:pPr>
        <w:pStyle w:val="3"/>
      </w:pPr>
      <w:bookmarkStart w:id="16" w:name="_Toc243339196"/>
      <w:r>
        <w:t>2.1 机械臂位姿描述与坐标变换</w:t>
      </w:r>
      <w:bookmarkEnd w:id="16"/>
    </w:p>
    <w:p w14:paraId="7E46EB2F">
      <w:pPr>
        <w:pStyle w:val="4"/>
        <w:spacing w:before="240" w:after="240"/>
      </w:pPr>
      <w:bookmarkStart w:id="17" w:name="_Toc243339197"/>
      <w:r>
        <w:t>2.1.1 位置与姿态表示</w:t>
      </w:r>
      <w:bookmarkEnd w:id="17"/>
    </w:p>
    <w:p w14:paraId="01B9724C">
      <w:r>
        <w:t>设坐标系A为参考系，坐标系B为待描述坐标系。位置向量表示B系原点在A系中的坐标，旋转矩阵的三列分别表示B系各坐标轴在A系中的方向。本文采用列向量和左乘约定，符号T_AB表示将B系坐标变换到A系坐标的齐次矩阵。该下标约定在全篇保持一致，不与“从A运动到B”的语言描述混用。</w:t>
      </w:r>
    </w:p>
    <w:p w14:paraId="426289C7">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A</m:t>
            </m:r>
            <m:ctrlPr>
              <w:rPr>
                <w:rFonts w:ascii="Cambria Math" w:hAnsi="Cambria Math"/>
              </w:rPr>
            </m:ctrlPr>
          </m:sub>
        </m:sSub>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A</m:t>
                      </m:r>
                      <m:ctrlPr>
                        <w:rPr>
                          <w:rFonts w:ascii="Cambria Math" w:hAnsi="Cambria Math"/>
                        </w:rPr>
                      </m:ctrlPr>
                    </m:sub>
                  </m:sSub>
                  <m:ctrlPr>
                    <w:rPr>
                      <w:rFonts w:ascii="Cambria Math" w:hAnsi="Cambria Math"/>
                    </w:rPr>
                  </m:ctrlPr>
                </m:e>
              </m:mr>
              <m:mr>
                <m:e>
                  <m:sSub>
                    <m:sSubPr>
                      <m:ctrlPr>
                        <w:rPr>
                          <w:rFonts w:ascii="Cambria Math" w:hAnsi="Cambria Math"/>
                        </w:rPr>
                      </m:ctrlPr>
                    </m:sSubPr>
                    <m:e>
                      <m:r>
                        <m:rPr>
                          <m:sty m:val="p"/>
                        </m:rPr>
                        <w:rPr>
                          <w:rFonts w:ascii="Cambria Math" w:hAnsi="Cambria Math"/>
                        </w:rPr>
                        <m:t>y</m:t>
                      </m:r>
                      <m:ctrlPr>
                        <w:rPr>
                          <w:rFonts w:ascii="Cambria Math" w:hAnsi="Cambria Math"/>
                        </w:rPr>
                      </m:ctrlPr>
                    </m:e>
                    <m:sub>
                      <m:r>
                        <m:rPr>
                          <m:sty m:val="p"/>
                        </m:rPr>
                        <w:rPr>
                          <w:rFonts w:ascii="Cambria Math" w:hAnsi="Cambria Math"/>
                        </w:rPr>
                        <m:t>A</m:t>
                      </m:r>
                      <m:ctrlPr>
                        <w:rPr>
                          <w:rFonts w:ascii="Cambria Math" w:hAnsi="Cambria Math"/>
                        </w:rPr>
                      </m:ctrlPr>
                    </m:sub>
                  </m:sSub>
                  <m:ctrlPr>
                    <w:rPr>
                      <w:rFonts w:ascii="Cambria Math" w:hAnsi="Cambria Math"/>
                    </w:rPr>
                  </m:ctrlPr>
                </m:e>
              </m:mr>
              <m:mr>
                <m:e>
                  <m:sSub>
                    <m:sSubPr>
                      <m:ctrlPr>
                        <w:rPr>
                          <w:rFonts w:ascii="Cambria Math" w:hAnsi="Cambria Math"/>
                        </w:rPr>
                      </m:ctrlPr>
                    </m:sSubPr>
                    <m:e>
                      <m:r>
                        <m:rPr>
                          <m:sty m:val="p"/>
                        </m:rPr>
                        <w:rPr>
                          <w:rFonts w:ascii="Cambria Math" w:hAnsi="Cambria Math"/>
                        </w:rPr>
                        <m:t>z</m:t>
                      </m:r>
                      <m:ctrlPr>
                        <w:rPr>
                          <w:rFonts w:ascii="Cambria Math" w:hAnsi="Cambria Math"/>
                        </w:rPr>
                      </m:ctrlPr>
                    </m:e>
                    <m:sub>
                      <m:r>
                        <m:rPr>
                          <m:sty m:val="p"/>
                        </m:rPr>
                        <w:rPr>
                          <w:rFonts w:ascii="Cambria Math" w:hAnsi="Cambria Math"/>
                        </w:rPr>
                        <m:t>A</m:t>
                      </m:r>
                      <m:ctrlPr>
                        <w:rPr>
                          <w:rFonts w:ascii="Cambria Math" w:hAnsi="Cambria Math"/>
                        </w:rPr>
                      </m:ctrlPr>
                    </m:sub>
                  </m:sSub>
                  <m:ctrlPr>
                    <w:rPr>
                      <w:rFonts w:ascii="Cambria Math" w:hAnsi="Cambria Math"/>
                    </w:rPr>
                  </m:ctrlPr>
                </m:e>
              </m:mr>
            </m:m>
            <m:ctrlPr>
              <w:rPr>
                <w:rFonts w:ascii="Cambria Math" w:hAnsi="Cambria Math"/>
              </w:rPr>
            </m:ctrlPr>
          </m:e>
        </m:d>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R</m:t>
            </m:r>
            <m:ctrlPr>
              <w:rPr>
                <w:rFonts w:ascii="Cambria Math" w:hAnsi="Cambria Math"/>
              </w:rPr>
            </m:ctrlPr>
          </m:e>
          <m:sub>
            <m:r>
              <m:rPr>
                <m:sty m:val="p"/>
              </m:rPr>
              <w:rPr>
                <w:rFonts w:ascii="Cambria Math" w:hAnsi="Cambria Math"/>
              </w:rPr>
              <m:t>AB</m:t>
            </m:r>
            <m:ctrlPr>
              <w:rPr>
                <w:rFonts w:ascii="Cambria Math" w:hAnsi="Cambria Math"/>
              </w:rPr>
            </m:ctrlPr>
          </m:sub>
        </m:sSub>
        <m:r>
          <m:rPr>
            <m:sty m:val="p"/>
          </m:rP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sSubSup>
                    <m:sSubSupPr>
                      <m:ctrlPr>
                        <w:rPr>
                          <w:rFonts w:ascii="Cambria Math" w:hAnsi="Cambria Math"/>
                        </w:rPr>
                      </m:ctrlPr>
                    </m:sSubSupPr>
                    <m:e>
                      <m:r>
                        <m:rPr>
                          <m:sty m:val="p"/>
                        </m:rPr>
                        <w:rPr>
                          <w:rFonts w:ascii="Cambria Math" w:hAnsi="Cambria Math"/>
                        </w:rPr>
                        <m:t>x</m:t>
                      </m:r>
                      <m:ctrlPr>
                        <w:rPr>
                          <w:rFonts w:ascii="Cambria Math" w:hAnsi="Cambria Math"/>
                        </w:rPr>
                      </m:ctrlPr>
                    </m:e>
                    <m:sub>
                      <m:r>
                        <m:rPr>
                          <m:sty m:val="p"/>
                        </m:rPr>
                        <w:rPr>
                          <w:rFonts w:ascii="Cambria Math" w:hAnsi="Cambria Math"/>
                        </w:rPr>
                        <m:t>B</m:t>
                      </m:r>
                      <m:ctrlPr>
                        <w:rPr>
                          <w:rFonts w:ascii="Cambria Math" w:hAnsi="Cambria Math"/>
                        </w:rPr>
                      </m:ctrlPr>
                    </m:sub>
                    <m:sup>
                      <m:r>
                        <m:rPr>
                          <m:sty m:val="p"/>
                        </m:rPr>
                        <w:rPr>
                          <w:rFonts w:ascii="Cambria Math" w:hAnsi="Cambria Math"/>
                        </w:rPr>
                        <m:t>A</m:t>
                      </m:r>
                      <m:ctrlPr>
                        <w:rPr>
                          <w:rFonts w:ascii="Cambria Math" w:hAnsi="Cambria Math"/>
                        </w:rPr>
                      </m:ctrlPr>
                    </m:sup>
                  </m:sSubSup>
                  <m:ctrlPr>
                    <w:rPr>
                      <w:rFonts w:ascii="Cambria Math" w:hAnsi="Cambria Math"/>
                    </w:rPr>
                  </m:ctrlPr>
                </m:e>
                <m:e>
                  <m:sSubSup>
                    <m:sSubSupPr>
                      <m:ctrlPr>
                        <w:rPr>
                          <w:rFonts w:ascii="Cambria Math" w:hAnsi="Cambria Math"/>
                        </w:rPr>
                      </m:ctrlPr>
                    </m:sSubSupPr>
                    <m:e>
                      <m:r>
                        <m:rPr>
                          <m:sty m:val="p"/>
                        </m:rPr>
                        <w:rPr>
                          <w:rFonts w:ascii="Cambria Math" w:hAnsi="Cambria Math"/>
                        </w:rPr>
                        <m:t>y</m:t>
                      </m:r>
                      <m:ctrlPr>
                        <w:rPr>
                          <w:rFonts w:ascii="Cambria Math" w:hAnsi="Cambria Math"/>
                        </w:rPr>
                      </m:ctrlPr>
                    </m:e>
                    <m:sub>
                      <m:r>
                        <m:rPr>
                          <m:sty m:val="p"/>
                        </m:rPr>
                        <w:rPr>
                          <w:rFonts w:ascii="Cambria Math" w:hAnsi="Cambria Math"/>
                        </w:rPr>
                        <m:t>B</m:t>
                      </m:r>
                      <m:ctrlPr>
                        <w:rPr>
                          <w:rFonts w:ascii="Cambria Math" w:hAnsi="Cambria Math"/>
                        </w:rPr>
                      </m:ctrlPr>
                    </m:sub>
                    <m:sup>
                      <m:r>
                        <m:rPr>
                          <m:sty m:val="p"/>
                        </m:rPr>
                        <w:rPr>
                          <w:rFonts w:ascii="Cambria Math" w:hAnsi="Cambria Math"/>
                        </w:rPr>
                        <m:t>A</m:t>
                      </m:r>
                      <m:ctrlPr>
                        <w:rPr>
                          <w:rFonts w:ascii="Cambria Math" w:hAnsi="Cambria Math"/>
                        </w:rPr>
                      </m:ctrlPr>
                    </m:sup>
                  </m:sSubSup>
                  <m:ctrlPr>
                    <w:rPr>
                      <w:rFonts w:ascii="Cambria Math" w:hAnsi="Cambria Math"/>
                    </w:rPr>
                  </m:ctrlPr>
                </m:e>
                <m:e>
                  <m:sSubSup>
                    <m:sSubSupPr>
                      <m:ctrlPr>
                        <w:rPr>
                          <w:rFonts w:ascii="Cambria Math" w:hAnsi="Cambria Math"/>
                        </w:rPr>
                      </m:ctrlPr>
                    </m:sSubSupPr>
                    <m:e>
                      <m:r>
                        <m:rPr>
                          <m:sty m:val="p"/>
                        </m:rPr>
                        <w:rPr>
                          <w:rFonts w:ascii="Cambria Math" w:hAnsi="Cambria Math"/>
                        </w:rPr>
                        <m:t>z</m:t>
                      </m:r>
                      <m:ctrlPr>
                        <w:rPr>
                          <w:rFonts w:ascii="Cambria Math" w:hAnsi="Cambria Math"/>
                        </w:rPr>
                      </m:ctrlPr>
                    </m:e>
                    <m:sub>
                      <m:r>
                        <m:rPr>
                          <m:sty m:val="p"/>
                        </m:rPr>
                        <w:rPr>
                          <w:rFonts w:ascii="Cambria Math" w:hAnsi="Cambria Math"/>
                        </w:rPr>
                        <m:t>B</m:t>
                      </m:r>
                      <m:ctrlPr>
                        <w:rPr>
                          <w:rFonts w:ascii="Cambria Math" w:hAnsi="Cambria Math"/>
                        </w:rPr>
                      </m:ctrlPr>
                    </m:sub>
                    <m:sup>
                      <m:r>
                        <m:rPr>
                          <m:sty m:val="p"/>
                        </m:rPr>
                        <w:rPr>
                          <w:rFonts w:ascii="Cambria Math" w:hAnsi="Cambria Math"/>
                        </w:rPr>
                        <m:t>A</m:t>
                      </m:r>
                      <m:ctrlPr>
                        <w:rPr>
                          <w:rFonts w:ascii="Cambria Math" w:hAnsi="Cambria Math"/>
                        </w:rPr>
                      </m:ctrlPr>
                    </m:sup>
                  </m:sSubSup>
                  <m:ctrlPr>
                    <w:rPr>
                      <w:rFonts w:ascii="Cambria Math" w:hAnsi="Cambria Math"/>
                    </w:rPr>
                  </m:ctrlPr>
                </m:e>
              </m:mr>
            </m:m>
            <m:ctrlPr>
              <w:rPr>
                <w:rFonts w:ascii="Cambria Math" w:hAnsi="Cambria Math"/>
              </w:rPr>
            </m:ctrlPr>
          </m:e>
        </m:d>
      </m:oMath>
      <w:r>
        <w:rPr>
          <w:sz w:val="21"/>
        </w:rPr>
        <w:t xml:space="preserve">    （2-1）</w:t>
      </w:r>
    </w:p>
    <w:p w14:paraId="594C6BAA">
      <w:r>
        <w:t>旋转矩阵应满足正交性及行列式约束。位置向量使用米作为部署接口中的基本单位，规划仿真保留毫米并在接口处显式转换。角度在数学计算中使用弧度，界面显示角度时另行转换，避免同一数组中混用单位。</w:t>
      </w:r>
    </w:p>
    <w:p w14:paraId="63CB3777">
      <w:pPr>
        <w:spacing w:before="120" w:after="120" w:line="300" w:lineRule="auto"/>
        <w:ind w:firstLine="0"/>
        <w:jc w:val="center"/>
      </w:pPr>
      <m:oMath>
        <m:sSubSup>
          <m:sSubSupPr>
            <m:ctrlPr>
              <w:rPr>
                <w:rFonts w:ascii="Cambria Math" w:hAnsi="Cambria Math"/>
              </w:rPr>
            </m:ctrlPr>
          </m:sSubSupPr>
          <m:e>
            <m:r>
              <m:rPr>
                <m:sty m:val="p"/>
              </m:rPr>
              <w:rPr>
                <w:rFonts w:ascii="Cambria Math" w:hAnsi="Cambria Math"/>
              </w:rPr>
              <m:t>R</m:t>
            </m:r>
            <m:ctrlPr>
              <w:rPr>
                <w:rFonts w:ascii="Cambria Math" w:hAnsi="Cambria Math"/>
              </w:rPr>
            </m:ctrlPr>
          </m:e>
          <m:sub>
            <m:r>
              <m:rPr>
                <m:sty m:val="p"/>
              </m:rPr>
              <w:rPr>
                <w:rFonts w:ascii="Cambria Math" w:hAnsi="Cambria Math"/>
              </w:rPr>
              <m:t>AB</m:t>
            </m:r>
            <m:ctrlPr>
              <w:rPr>
                <w:rFonts w:ascii="Cambria Math" w:hAnsi="Cambria Math"/>
              </w:rPr>
            </m:ctrlPr>
          </m:sub>
          <m:sup>
            <m:r>
              <m:rPr>
                <m:sty m:val="p"/>
              </m:rPr>
              <w:rPr>
                <w:rFonts w:ascii="Cambria Math" w:hAnsi="Cambria Math"/>
              </w:rPr>
              <m:t>T</m:t>
            </m:r>
            <m:ctrlPr>
              <w:rPr>
                <w:rFonts w:ascii="Cambria Math" w:hAnsi="Cambria Math"/>
              </w:rPr>
            </m:ctrlPr>
          </m:sup>
        </m:sSubSup>
        <m:sSub>
          <m:sSubPr>
            <m:ctrlPr>
              <w:rPr>
                <w:rFonts w:ascii="Cambria Math" w:hAnsi="Cambria Math"/>
              </w:rPr>
            </m:ctrlPr>
          </m:sSubPr>
          <m:e>
            <m:r>
              <m:rPr>
                <m:sty m:val="p"/>
              </m:rPr>
              <w:rPr>
                <w:rFonts w:ascii="Cambria Math" w:hAnsi="Cambria Math"/>
              </w:rPr>
              <m:t>R</m:t>
            </m:r>
            <m:ctrlPr>
              <w:rPr>
                <w:rFonts w:ascii="Cambria Math" w:hAnsi="Cambria Math"/>
              </w:rPr>
            </m:ctrlPr>
          </m:e>
          <m:sub>
            <m:r>
              <m:rPr>
                <m:sty m:val="p"/>
              </m:rPr>
              <w:rPr>
                <w:rFonts w:ascii="Cambria Math" w:hAnsi="Cambria Math"/>
              </w:rPr>
              <m:t>AB</m:t>
            </m:r>
            <m:ctrlPr>
              <w:rPr>
                <w:rFonts w:ascii="Cambria Math" w:hAnsi="Cambria Math"/>
              </w:rPr>
            </m:ctrlPr>
          </m:sub>
        </m:sSub>
        <m:r>
          <m:rPr>
            <m:sty m:val="p"/>
          </m:rPr>
          <w:rPr>
            <w:rFonts w:ascii="Cambria Math" w:hAnsi="Cambria Math"/>
          </w:rPr>
          <m:t>=I,    det(</m:t>
        </m:r>
        <m:sSub>
          <m:sSubPr>
            <m:ctrlPr>
              <w:rPr>
                <w:rFonts w:ascii="Cambria Math" w:hAnsi="Cambria Math"/>
              </w:rPr>
            </m:ctrlPr>
          </m:sSubPr>
          <m:e>
            <m:r>
              <m:rPr>
                <m:sty m:val="p"/>
              </m:rPr>
              <w:rPr>
                <w:rFonts w:ascii="Cambria Math" w:hAnsi="Cambria Math"/>
              </w:rPr>
              <m:t>R</m:t>
            </m:r>
            <m:ctrlPr>
              <w:rPr>
                <w:rFonts w:ascii="Cambria Math" w:hAnsi="Cambria Math"/>
              </w:rPr>
            </m:ctrlPr>
          </m:e>
          <m:sub>
            <m:r>
              <m:rPr>
                <m:sty m:val="p"/>
              </m:rPr>
              <w:rPr>
                <w:rFonts w:ascii="Cambria Math" w:hAnsi="Cambria Math"/>
              </w:rPr>
              <m:t>AB</m:t>
            </m:r>
            <m:ctrlPr>
              <w:rPr>
                <w:rFonts w:ascii="Cambria Math" w:hAnsi="Cambria Math"/>
              </w:rPr>
            </m:ctrlPr>
          </m:sub>
        </m:sSub>
        <m:r>
          <m:rPr>
            <m:sty m:val="p"/>
          </m:rPr>
          <w:rPr>
            <w:rFonts w:ascii="Cambria Math" w:hAnsi="Cambria Math"/>
          </w:rPr>
          <m:t>)=1</m:t>
        </m:r>
      </m:oMath>
      <w:r>
        <w:rPr>
          <w:sz w:val="21"/>
        </w:rPr>
        <w:t xml:space="preserve">    （2-2）</w:t>
      </w:r>
    </w:p>
    <w:p w14:paraId="061BC0DA">
      <w:r>
        <w:t>滚转、俯仰和偏航角便于理解工具朝向，但其含义依赖旋转顺序。本文用绕固定轴的Z-Y-X组合表示姿态，即先作用绕X轴的滚转，再作用绕Y轴的俯仰，最后作用绕Z轴的偏航。实际控制接口若采用其他顺序，需要在接口层转换。俯仰接近奇异位置时，欧拉角变化并不能直接反映姿态变化的大小；分析相邻姿态连续性时宜使用旋转矩阵或单位四元数。</w:t>
      </w:r>
    </w:p>
    <w:p w14:paraId="71C21EE5">
      <w:pPr>
        <w:spacing w:before="120" w:after="120" w:line="300" w:lineRule="auto"/>
        <w:ind w:firstLine="0"/>
        <w:jc w:val="center"/>
      </w:pPr>
      <m:oMath>
        <m:r>
          <m:rPr>
            <m:sty m:val="p"/>
          </m:rPr>
          <w:rPr>
            <w:rFonts w:ascii="Cambria Math" w:hAnsi="Cambria Math"/>
          </w:rPr>
          <m:t>R=</m:t>
        </m:r>
        <m:sSub>
          <m:sSubPr>
            <m:ctrlPr>
              <w:rPr>
                <w:rFonts w:ascii="Cambria Math" w:hAnsi="Cambria Math"/>
              </w:rPr>
            </m:ctrlPr>
          </m:sSubPr>
          <m:e>
            <m:r>
              <m:rPr>
                <m:sty m:val="p"/>
              </m:rPr>
              <w:rPr>
                <w:rFonts w:ascii="Cambria Math" w:hAnsi="Cambria Math"/>
              </w:rPr>
              <m:t>R</m:t>
            </m:r>
            <m:ctrlPr>
              <w:rPr>
                <w:rFonts w:ascii="Cambria Math" w:hAnsi="Cambria Math"/>
              </w:rPr>
            </m:ctrlPr>
          </m:e>
          <m:sub>
            <m:r>
              <m:rPr>
                <m:sty m:val="p"/>
              </m:rPr>
              <w:rPr>
                <w:rFonts w:ascii="Cambria Math" w:hAnsi="Cambria Math"/>
              </w:rPr>
              <m:t>z</m:t>
            </m:r>
            <m:ctrlPr>
              <w:rPr>
                <w:rFonts w:ascii="Cambria Math" w:hAnsi="Cambria Math"/>
              </w:rPr>
            </m:ctrlPr>
          </m:sub>
        </m:sSub>
        <m:r>
          <m:rPr>
            <m:sty m:val="p"/>
          </m:rPr>
          <w:rPr>
            <w:rFonts w:ascii="Cambria Math" w:hAnsi="Cambria Math"/>
          </w:rPr>
          <m:t>(ψ)</m:t>
        </m:r>
        <m:sSub>
          <m:sSubPr>
            <m:ctrlPr>
              <w:rPr>
                <w:rFonts w:ascii="Cambria Math" w:hAnsi="Cambria Math"/>
              </w:rPr>
            </m:ctrlPr>
          </m:sSubPr>
          <m:e>
            <m:r>
              <m:rPr>
                <m:sty m:val="p"/>
              </m:rPr>
              <w:rPr>
                <w:rFonts w:ascii="Cambria Math" w:hAnsi="Cambria Math"/>
              </w:rPr>
              <m:t>R</m:t>
            </m:r>
            <m:ctrlPr>
              <w:rPr>
                <w:rFonts w:ascii="Cambria Math" w:hAnsi="Cambria Math"/>
              </w:rPr>
            </m:ctrlPr>
          </m:e>
          <m:sub>
            <m:r>
              <m:rPr>
                <m:sty m:val="p"/>
              </m:rPr>
              <w:rPr>
                <w:rFonts w:ascii="Cambria Math" w:hAnsi="Cambria Math"/>
              </w:rPr>
              <m:t>y</m:t>
            </m:r>
            <m:ctrlPr>
              <w:rPr>
                <w:rFonts w:ascii="Cambria Math" w:hAnsi="Cambria Math"/>
              </w:rPr>
            </m:ctrlPr>
          </m:sub>
        </m:sSub>
        <m:r>
          <m:rPr>
            <m:sty m:val="p"/>
          </m:rPr>
          <w:rPr>
            <w:rFonts w:ascii="Cambria Math" w:hAnsi="Cambria Math"/>
          </w:rPr>
          <m:t>(θ)</m:t>
        </m:r>
        <m:sSub>
          <m:sSubPr>
            <m:ctrlPr>
              <w:rPr>
                <w:rFonts w:ascii="Cambria Math" w:hAnsi="Cambria Math"/>
              </w:rPr>
            </m:ctrlPr>
          </m:sSubPr>
          <m:e>
            <m:r>
              <m:rPr>
                <m:sty m:val="p"/>
              </m:rPr>
              <w:rPr>
                <w:rFonts w:ascii="Cambria Math" w:hAnsi="Cambria Math"/>
              </w:rPr>
              <m:t>R</m:t>
            </m:r>
            <m:ctrlPr>
              <w:rPr>
                <w:rFonts w:ascii="Cambria Math" w:hAnsi="Cambria Math"/>
              </w:rPr>
            </m:ctrlPr>
          </m:e>
          <m:sub>
            <m:r>
              <m:rPr>
                <m:sty m:val="p"/>
              </m:rPr>
              <w:rPr>
                <w:rFonts w:ascii="Cambria Math" w:hAnsi="Cambria Math"/>
              </w:rPr>
              <m:t>x</m:t>
            </m:r>
            <m:ctrlPr>
              <w:rPr>
                <w:rFonts w:ascii="Cambria Math" w:hAnsi="Cambria Math"/>
              </w:rPr>
            </m:ctrlPr>
          </m:sub>
        </m:sSub>
        <m:r>
          <m:rPr>
            <m:sty m:val="p"/>
          </m:rPr>
          <w:rPr>
            <w:rFonts w:ascii="Cambria Math" w:hAnsi="Cambria Math"/>
          </w:rPr>
          <m:t>(φ)</m:t>
        </m:r>
      </m:oMath>
      <w:r>
        <w:rPr>
          <w:sz w:val="21"/>
        </w:rPr>
        <w:t xml:space="preserve">    （2-3）</w:t>
      </w:r>
    </w:p>
    <w:p w14:paraId="3F281DC5">
      <w:pPr>
        <w:pStyle w:val="4"/>
        <w:spacing w:before="240" w:after="240"/>
      </w:pPr>
      <w:bookmarkStart w:id="18" w:name="_Toc243339198"/>
      <w:r>
        <w:t>2.1.2 齐次坐标变换</w:t>
      </w:r>
      <w:bookmarkEnd w:id="18"/>
    </w:p>
    <w:p w14:paraId="010ADBAC">
      <w:r>
        <w:t>齐次变换将位置与姿态合并为四阶矩阵。点的齐次坐标末项为1，方向向量只受旋转部分影响。若将法向误当作点进行完整齐次变换，会错误引入平移项；该区别在第五章工具姿态生成中尤其重要。</w:t>
      </w:r>
    </w:p>
    <w:p w14:paraId="189A0571">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AB</m:t>
            </m:r>
            <m:ctrlPr>
              <w:rPr>
                <w:rFonts w:ascii="Cambria Math" w:hAnsi="Cambria Math"/>
              </w:rPr>
            </m:ctrlPr>
          </m:sub>
        </m:sSub>
        <m:r>
          <m:rPr>
            <m:sty m:val="p"/>
          </m:rP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m:rPr>
                          <m:sty m:val="p"/>
                        </m:rPr>
                        <w:rPr>
                          <w:rFonts w:ascii="Cambria Math" w:hAnsi="Cambria Math"/>
                        </w:rPr>
                        <m:t>R</m:t>
                      </m:r>
                      <m:ctrlPr>
                        <w:rPr>
                          <w:rFonts w:ascii="Cambria Math" w:hAnsi="Cambria Math"/>
                        </w:rPr>
                      </m:ctrlPr>
                    </m:e>
                    <m:sub>
                      <m:r>
                        <m:rPr>
                          <m:sty m:val="p"/>
                        </m:rPr>
                        <w:rPr>
                          <w:rFonts w:ascii="Cambria Math" w:hAnsi="Cambria Math"/>
                        </w:rPr>
                        <m:t>AB</m:t>
                      </m:r>
                      <m:ctrlPr>
                        <w:rPr>
                          <w:rFonts w:ascii="Cambria Math" w:hAnsi="Cambria Math"/>
                        </w:rPr>
                      </m:ctrlPr>
                    </m:sub>
                  </m:sSub>
                  <m:ctrlPr>
                    <w:rPr>
                      <w:rFonts w:ascii="Cambria Math" w:hAnsi="Cambria Math"/>
                    </w:rPr>
                  </m:ctrlPr>
                </m:e>
                <m:e>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AB</m:t>
                      </m:r>
                      <m:ctrlPr>
                        <w:rPr>
                          <w:rFonts w:ascii="Cambria Math" w:hAnsi="Cambria Math"/>
                        </w:rPr>
                      </m:ctrlPr>
                    </m:sub>
                  </m:sSub>
                  <m:ctrlPr>
                    <w:rPr>
                      <w:rFonts w:ascii="Cambria Math" w:hAnsi="Cambria Math"/>
                    </w:rPr>
                  </m:ctrlPr>
                </m:e>
              </m:mr>
              <m:mr>
                <m:e>
                  <m:sSup>
                    <m:sSupPr>
                      <m:ctrlPr>
                        <w:rPr>
                          <w:rFonts w:ascii="Cambria Math" w:hAnsi="Cambria Math"/>
                        </w:rPr>
                      </m:ctrlPr>
                    </m:sSupPr>
                    <m:e>
                      <m:r>
                        <m:rPr>
                          <m:sty m:val="p"/>
                        </m:rPr>
                        <w:rPr>
                          <w:rFonts w:ascii="Cambria Math" w:hAnsi="Cambria Math"/>
                        </w:rPr>
                        <m:t>0</m:t>
                      </m:r>
                      <m:ctrlPr>
                        <w:rPr>
                          <w:rFonts w:ascii="Cambria Math" w:hAnsi="Cambria Math"/>
                        </w:rPr>
                      </m:ctrlPr>
                    </m:e>
                    <m:sup>
                      <m:r>
                        <m:rPr>
                          <m:sty m:val="p"/>
                        </m:rPr>
                        <w:rPr>
                          <w:rFonts w:ascii="Cambria Math" w:hAnsi="Cambria Math"/>
                        </w:rPr>
                        <m:t>T</m:t>
                      </m:r>
                      <m:ctrlPr>
                        <w:rPr>
                          <w:rFonts w:ascii="Cambria Math" w:hAnsi="Cambria Math"/>
                        </w:rPr>
                      </m:ctrlPr>
                    </m:sup>
                  </m:sSup>
                  <m:ctrlPr>
                    <w:rPr>
                      <w:rFonts w:ascii="Cambria Math" w:hAnsi="Cambria Math"/>
                    </w:rPr>
                  </m:ctrlPr>
                </m:e>
                <m:e>
                  <m:r>
                    <m:rPr>
                      <m:sty m:val="p"/>
                    </m:rPr>
                    <w:rPr>
                      <w:rFonts w:ascii="Cambria Math" w:hAnsi="Cambria Math"/>
                    </w:rPr>
                    <m:t>1</m:t>
                  </m:r>
                  <m:ctrlPr>
                    <w:rPr>
                      <w:rFonts w:ascii="Cambria Math" w:hAnsi="Cambria Math"/>
                    </w:rPr>
                  </m:ctrlPr>
                </m:e>
              </m:mr>
            </m:m>
            <m:ctrlPr>
              <w:rPr>
                <w:rFonts w:ascii="Cambria Math" w:hAnsi="Cambria Math"/>
              </w:rPr>
            </m:ctrlPr>
          </m:e>
        </m:d>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h,A</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AB</m:t>
            </m:r>
            <m:ctrlPr>
              <w:rPr>
                <w:rFonts w:ascii="Cambria Math" w:hAnsi="Cambria Math"/>
              </w:rPr>
            </m:ctrlPr>
          </m:sub>
        </m:sSub>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h,B</m:t>
            </m:r>
            <m:ctrlPr>
              <w:rPr>
                <w:rFonts w:ascii="Cambria Math" w:hAnsi="Cambria Math"/>
              </w:rPr>
            </m:ctrlPr>
          </m:sub>
        </m:sSub>
      </m:oMath>
      <w:r>
        <w:rPr>
          <w:sz w:val="21"/>
        </w:rPr>
        <w:t xml:space="preserve">    （2-4）</w:t>
      </w:r>
    </w:p>
    <w:p w14:paraId="67CF7D1E">
      <w:r>
        <w:t>变换链按相邻坐标系相消的顺序相乘。逆变换的旋转部分为原旋转的转置，平移部分需要同时进行旋转和取反，而不是简单对三个平移分量取负。</w:t>
      </w:r>
    </w:p>
    <w:p w14:paraId="1DFFCEAA">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AC</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AB</m:t>
            </m:r>
            <m:ctrlPr>
              <w:rPr>
                <w:rFonts w:ascii="Cambria Math" w:hAnsi="Cambria Math"/>
              </w:rPr>
            </m:ctrlPr>
          </m:sub>
        </m:sSub>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BC</m:t>
            </m:r>
            <m:ctrlPr>
              <w:rPr>
                <w:rFonts w:ascii="Cambria Math" w:hAnsi="Cambria Math"/>
              </w:rPr>
            </m:ctrlP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BA</m:t>
            </m:r>
            <m:ctrlPr>
              <w:rPr>
                <w:rFonts w:ascii="Cambria Math" w:hAnsi="Cambria Math"/>
              </w:rPr>
            </m:ctrlPr>
          </m:sub>
        </m:sSub>
        <m:r>
          <m:rPr>
            <m:sty m:val="p"/>
          </m:rP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sSubSup>
                    <m:sSubSupPr>
                      <m:ctrlPr>
                        <w:rPr>
                          <w:rFonts w:ascii="Cambria Math" w:hAnsi="Cambria Math"/>
                        </w:rPr>
                      </m:ctrlPr>
                    </m:sSubSupPr>
                    <m:e>
                      <m:r>
                        <m:rPr>
                          <m:sty m:val="p"/>
                        </m:rPr>
                        <w:rPr>
                          <w:rFonts w:ascii="Cambria Math" w:hAnsi="Cambria Math"/>
                        </w:rPr>
                        <m:t>R</m:t>
                      </m:r>
                      <m:ctrlPr>
                        <w:rPr>
                          <w:rFonts w:ascii="Cambria Math" w:hAnsi="Cambria Math"/>
                        </w:rPr>
                      </m:ctrlPr>
                    </m:e>
                    <m:sub>
                      <m:r>
                        <m:rPr>
                          <m:sty m:val="p"/>
                        </m:rPr>
                        <w:rPr>
                          <w:rFonts w:ascii="Cambria Math" w:hAnsi="Cambria Math"/>
                        </w:rPr>
                        <m:t>AB</m:t>
                      </m:r>
                      <m:ctrlPr>
                        <w:rPr>
                          <w:rFonts w:ascii="Cambria Math" w:hAnsi="Cambria Math"/>
                        </w:rPr>
                      </m:ctrlPr>
                    </m:sub>
                    <m:sup>
                      <m:r>
                        <m:rPr>
                          <m:sty m:val="p"/>
                        </m:rPr>
                        <w:rPr>
                          <w:rFonts w:ascii="Cambria Math" w:hAnsi="Cambria Math"/>
                        </w:rPr>
                        <m:t>T</m:t>
                      </m:r>
                      <m:ctrlPr>
                        <w:rPr>
                          <w:rFonts w:ascii="Cambria Math" w:hAnsi="Cambria Math"/>
                        </w:rPr>
                      </m:ctrlPr>
                    </m:sup>
                  </m:sSubSup>
                  <m:ctrlPr>
                    <w:rPr>
                      <w:rFonts w:ascii="Cambria Math" w:hAnsi="Cambria Math"/>
                    </w:rPr>
                  </m:ctrlPr>
                </m:e>
                <m:e>
                  <m:r>
                    <m:rPr>
                      <m:sty m:val="p"/>
                    </m:rPr>
                    <w:rPr>
                      <w:rFonts w:ascii="Cambria Math" w:hAnsi="Cambria Math"/>
                    </w:rPr>
                    <m:t>−</m:t>
                  </m:r>
                  <m:sSubSup>
                    <m:sSubSupPr>
                      <m:ctrlPr>
                        <w:rPr>
                          <w:rFonts w:ascii="Cambria Math" w:hAnsi="Cambria Math"/>
                        </w:rPr>
                      </m:ctrlPr>
                    </m:sSubSupPr>
                    <m:e>
                      <m:r>
                        <m:rPr>
                          <m:sty m:val="p"/>
                        </m:rPr>
                        <w:rPr>
                          <w:rFonts w:ascii="Cambria Math" w:hAnsi="Cambria Math"/>
                        </w:rPr>
                        <m:t>R</m:t>
                      </m:r>
                      <m:ctrlPr>
                        <w:rPr>
                          <w:rFonts w:ascii="Cambria Math" w:hAnsi="Cambria Math"/>
                        </w:rPr>
                      </m:ctrlPr>
                    </m:e>
                    <m:sub>
                      <m:r>
                        <m:rPr>
                          <m:sty m:val="p"/>
                        </m:rPr>
                        <w:rPr>
                          <w:rFonts w:ascii="Cambria Math" w:hAnsi="Cambria Math"/>
                        </w:rPr>
                        <m:t>AB</m:t>
                      </m:r>
                      <m:ctrlPr>
                        <w:rPr>
                          <w:rFonts w:ascii="Cambria Math" w:hAnsi="Cambria Math"/>
                        </w:rPr>
                      </m:ctrlPr>
                    </m:sub>
                    <m:sup>
                      <m:r>
                        <m:rPr>
                          <m:sty m:val="p"/>
                        </m:rPr>
                        <w:rPr>
                          <w:rFonts w:ascii="Cambria Math" w:hAnsi="Cambria Math"/>
                        </w:rPr>
                        <m:t>T</m:t>
                      </m:r>
                      <m:ctrlPr>
                        <w:rPr>
                          <w:rFonts w:ascii="Cambria Math" w:hAnsi="Cambria Math"/>
                        </w:rPr>
                      </m:ctrlPr>
                    </m:sup>
                  </m:sSubSup>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AB</m:t>
                      </m:r>
                      <m:ctrlPr>
                        <w:rPr>
                          <w:rFonts w:ascii="Cambria Math" w:hAnsi="Cambria Math"/>
                        </w:rPr>
                      </m:ctrlPr>
                    </m:sub>
                  </m:sSub>
                  <m:ctrlPr>
                    <w:rPr>
                      <w:rFonts w:ascii="Cambria Math" w:hAnsi="Cambria Math"/>
                    </w:rPr>
                  </m:ctrlPr>
                </m:e>
              </m:mr>
              <m:mr>
                <m:e>
                  <m:sSup>
                    <m:sSupPr>
                      <m:ctrlPr>
                        <w:rPr>
                          <w:rFonts w:ascii="Cambria Math" w:hAnsi="Cambria Math"/>
                        </w:rPr>
                      </m:ctrlPr>
                    </m:sSupPr>
                    <m:e>
                      <m:r>
                        <m:rPr>
                          <m:sty m:val="p"/>
                        </m:rPr>
                        <w:rPr>
                          <w:rFonts w:ascii="Cambria Math" w:hAnsi="Cambria Math"/>
                        </w:rPr>
                        <m:t>0</m:t>
                      </m:r>
                      <m:ctrlPr>
                        <w:rPr>
                          <w:rFonts w:ascii="Cambria Math" w:hAnsi="Cambria Math"/>
                        </w:rPr>
                      </m:ctrlPr>
                    </m:e>
                    <m:sup>
                      <m:r>
                        <m:rPr>
                          <m:sty m:val="p"/>
                        </m:rPr>
                        <w:rPr>
                          <w:rFonts w:ascii="Cambria Math" w:hAnsi="Cambria Math"/>
                        </w:rPr>
                        <m:t>T</m:t>
                      </m:r>
                      <m:ctrlPr>
                        <w:rPr>
                          <w:rFonts w:ascii="Cambria Math" w:hAnsi="Cambria Math"/>
                        </w:rPr>
                      </m:ctrlPr>
                    </m:sup>
                  </m:sSup>
                  <m:ctrlPr>
                    <w:rPr>
                      <w:rFonts w:ascii="Cambria Math" w:hAnsi="Cambria Math"/>
                    </w:rPr>
                  </m:ctrlPr>
                </m:e>
                <m:e>
                  <m:r>
                    <m:rPr>
                      <m:sty m:val="p"/>
                    </m:rPr>
                    <w:rPr>
                      <w:rFonts w:ascii="Cambria Math" w:hAnsi="Cambria Math"/>
                    </w:rPr>
                    <m:t>1</m:t>
                  </m:r>
                  <m:ctrlPr>
                    <w:rPr>
                      <w:rFonts w:ascii="Cambria Math" w:hAnsi="Cambria Math"/>
                    </w:rPr>
                  </m:ctrlPr>
                </m:e>
              </m:mr>
            </m:m>
            <m:ctrlPr>
              <w:rPr>
                <w:rFonts w:ascii="Cambria Math" w:hAnsi="Cambria Math"/>
              </w:rPr>
            </m:ctrlPr>
          </m:e>
        </m:d>
      </m:oMath>
      <w:r>
        <w:rPr>
          <w:sz w:val="21"/>
        </w:rPr>
        <w:t xml:space="preserve">    （2-5）</w:t>
      </w:r>
    </w:p>
    <w:p w14:paraId="79A81AFC">
      <w:r>
        <w:t>本文将机器人基坐标系记为B，末端法兰系记为F，相机光学系记为C，工具中心点坐标系记为T，局部作业参考系记为S。相机安装支架系与相机光学系可能存在固定旋转，软件中的camera_link不一定直接等于光学系C。应用时必须以对应话题和TF定义为准。</w:t>
      </w:r>
    </w:p>
    <w:p w14:paraId="41201D79">
      <w:pPr>
        <w:pStyle w:val="79"/>
        <w:keepNext/>
      </w:pPr>
      <w:r>
        <w:t>表2-1 坐标系及其用途</w:t>
      </w:r>
    </w:p>
    <w:tbl>
      <w:tblPr>
        <w:tblStyle w:val="28"/>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75" w:type="dxa"/>
          <w:bottom w:w="65" w:type="dxa"/>
          <w:right w:w="75" w:type="dxa"/>
        </w:tblCellMar>
      </w:tblPr>
      <w:tblGrid>
        <w:gridCol w:w="3024"/>
        <w:gridCol w:w="3024"/>
        <w:gridCol w:w="3024"/>
      </w:tblGrid>
      <w:tr w14:paraId="78FC2D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tblHeader/>
          <w:jc w:val="center"/>
        </w:trPr>
        <w:tc>
          <w:tcPr>
            <w:tcW w:w="3024" w:type="dxa"/>
            <w:shd w:val="clear" w:color="auto" w:fill="F2F2F2"/>
            <w:vAlign w:val="center"/>
          </w:tcPr>
          <w:p w14:paraId="08178267">
            <w:pPr>
              <w:keepNext/>
              <w:spacing w:before="40" w:after="40" w:line="276" w:lineRule="auto"/>
              <w:ind w:firstLine="0"/>
              <w:jc w:val="center"/>
            </w:pPr>
            <w:r>
              <w:rPr>
                <w:b/>
                <w:sz w:val="20"/>
              </w:rPr>
              <w:t>符号</w:t>
            </w:r>
          </w:p>
        </w:tc>
        <w:tc>
          <w:tcPr>
            <w:tcW w:w="3024" w:type="dxa"/>
            <w:shd w:val="clear" w:color="auto" w:fill="F2F2F2"/>
            <w:vAlign w:val="center"/>
          </w:tcPr>
          <w:p w14:paraId="08F25BEC">
            <w:pPr>
              <w:keepNext/>
              <w:spacing w:before="40" w:after="40" w:line="276" w:lineRule="auto"/>
              <w:ind w:firstLine="0"/>
              <w:jc w:val="center"/>
            </w:pPr>
            <w:r>
              <w:rPr>
                <w:b/>
                <w:sz w:val="20"/>
              </w:rPr>
              <w:t>含义</w:t>
            </w:r>
          </w:p>
        </w:tc>
        <w:tc>
          <w:tcPr>
            <w:tcW w:w="3024" w:type="dxa"/>
            <w:shd w:val="clear" w:color="auto" w:fill="F2F2F2"/>
            <w:vAlign w:val="center"/>
          </w:tcPr>
          <w:p w14:paraId="54BD308B">
            <w:pPr>
              <w:keepNext/>
              <w:spacing w:before="40" w:after="40" w:line="276" w:lineRule="auto"/>
              <w:ind w:firstLine="0"/>
              <w:jc w:val="center"/>
            </w:pPr>
            <w:r>
              <w:rPr>
                <w:b/>
                <w:sz w:val="20"/>
              </w:rPr>
              <w:t>主要作用</w:t>
            </w:r>
          </w:p>
        </w:tc>
      </w:tr>
      <w:tr w14:paraId="642CB2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7D5AE16F">
            <w:pPr>
              <w:keepNext/>
              <w:spacing w:before="40" w:after="40" w:line="276" w:lineRule="auto"/>
              <w:ind w:firstLine="0"/>
              <w:jc w:val="center"/>
            </w:pPr>
            <w:r>
              <w:rPr>
                <w:sz w:val="20"/>
              </w:rPr>
              <w:t>B</w:t>
            </w:r>
          </w:p>
        </w:tc>
        <w:tc>
          <w:tcPr>
            <w:tcW w:w="3024" w:type="dxa"/>
            <w:vAlign w:val="center"/>
          </w:tcPr>
          <w:p w14:paraId="228758EF">
            <w:pPr>
              <w:keepNext/>
              <w:spacing w:before="40" w:after="40" w:line="276" w:lineRule="auto"/>
              <w:ind w:firstLine="0"/>
              <w:jc w:val="center"/>
            </w:pPr>
            <w:r>
              <w:rPr>
                <w:sz w:val="20"/>
              </w:rPr>
              <w:t>机器人基坐标系</w:t>
            </w:r>
          </w:p>
        </w:tc>
        <w:tc>
          <w:tcPr>
            <w:tcW w:w="3024" w:type="dxa"/>
            <w:vAlign w:val="center"/>
          </w:tcPr>
          <w:p w14:paraId="3D6B9B2C">
            <w:pPr>
              <w:keepNext/>
              <w:spacing w:before="40" w:after="40" w:line="276" w:lineRule="auto"/>
              <w:ind w:firstLine="0"/>
              <w:jc w:val="center"/>
            </w:pPr>
            <w:r>
              <w:rPr>
                <w:sz w:val="20"/>
              </w:rPr>
              <w:t>控制目标及机械臂运动学的参考</w:t>
            </w:r>
          </w:p>
        </w:tc>
      </w:tr>
      <w:tr w14:paraId="371041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21C36949">
            <w:pPr>
              <w:keepNext/>
              <w:spacing w:before="40" w:after="40" w:line="276" w:lineRule="auto"/>
              <w:ind w:firstLine="0"/>
              <w:jc w:val="center"/>
            </w:pPr>
            <w:r>
              <w:rPr>
                <w:sz w:val="20"/>
              </w:rPr>
              <w:t>F</w:t>
            </w:r>
          </w:p>
        </w:tc>
        <w:tc>
          <w:tcPr>
            <w:tcW w:w="3024" w:type="dxa"/>
            <w:vAlign w:val="center"/>
          </w:tcPr>
          <w:p w14:paraId="60AAE4A4">
            <w:pPr>
              <w:keepNext/>
              <w:spacing w:before="40" w:after="40" w:line="276" w:lineRule="auto"/>
              <w:ind w:firstLine="0"/>
              <w:jc w:val="center"/>
            </w:pPr>
            <w:r>
              <w:rPr>
                <w:sz w:val="20"/>
              </w:rPr>
              <w:t>末端法兰坐标系</w:t>
            </w:r>
          </w:p>
        </w:tc>
        <w:tc>
          <w:tcPr>
            <w:tcW w:w="3024" w:type="dxa"/>
            <w:vAlign w:val="center"/>
          </w:tcPr>
          <w:p w14:paraId="17126097">
            <w:pPr>
              <w:keepNext/>
              <w:spacing w:before="40" w:after="40" w:line="276" w:lineRule="auto"/>
              <w:ind w:firstLine="0"/>
              <w:jc w:val="center"/>
            </w:pPr>
            <w:r>
              <w:rPr>
                <w:sz w:val="20"/>
              </w:rPr>
              <w:t>连接关节运动学、相机与工具</w:t>
            </w:r>
          </w:p>
        </w:tc>
      </w:tr>
      <w:tr w14:paraId="6933D2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05B6FB68">
            <w:pPr>
              <w:keepNext/>
              <w:spacing w:before="40" w:after="40" w:line="276" w:lineRule="auto"/>
              <w:ind w:firstLine="0"/>
              <w:jc w:val="center"/>
            </w:pPr>
            <w:r>
              <w:rPr>
                <w:sz w:val="20"/>
              </w:rPr>
              <w:t>C</w:t>
            </w:r>
          </w:p>
        </w:tc>
        <w:tc>
          <w:tcPr>
            <w:tcW w:w="3024" w:type="dxa"/>
            <w:vAlign w:val="center"/>
          </w:tcPr>
          <w:p w14:paraId="57D76F0A">
            <w:pPr>
              <w:keepNext/>
              <w:spacing w:before="40" w:after="40" w:line="276" w:lineRule="auto"/>
              <w:ind w:firstLine="0"/>
              <w:jc w:val="center"/>
            </w:pPr>
            <w:r>
              <w:rPr>
                <w:sz w:val="20"/>
              </w:rPr>
              <w:t>相机光学坐标系</w:t>
            </w:r>
          </w:p>
        </w:tc>
        <w:tc>
          <w:tcPr>
            <w:tcW w:w="3024" w:type="dxa"/>
            <w:vAlign w:val="center"/>
          </w:tcPr>
          <w:p w14:paraId="7ECBBD8D">
            <w:pPr>
              <w:keepNext/>
              <w:spacing w:before="40" w:after="40" w:line="276" w:lineRule="auto"/>
              <w:ind w:firstLine="0"/>
              <w:jc w:val="center"/>
            </w:pPr>
            <w:r>
              <w:rPr>
                <w:sz w:val="20"/>
              </w:rPr>
              <w:t>图像反投影及深度点表示</w:t>
            </w:r>
          </w:p>
        </w:tc>
      </w:tr>
      <w:tr w14:paraId="477DB4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04119C1A">
            <w:pPr>
              <w:keepNext/>
              <w:spacing w:before="40" w:after="40" w:line="276" w:lineRule="auto"/>
              <w:ind w:firstLine="0"/>
              <w:jc w:val="center"/>
            </w:pPr>
            <w:r>
              <w:rPr>
                <w:sz w:val="20"/>
              </w:rPr>
              <w:t>T</w:t>
            </w:r>
          </w:p>
        </w:tc>
        <w:tc>
          <w:tcPr>
            <w:tcW w:w="3024" w:type="dxa"/>
            <w:vAlign w:val="center"/>
          </w:tcPr>
          <w:p w14:paraId="329E4FF0">
            <w:pPr>
              <w:keepNext/>
              <w:spacing w:before="40" w:after="40" w:line="276" w:lineRule="auto"/>
              <w:ind w:firstLine="0"/>
              <w:jc w:val="center"/>
            </w:pPr>
            <w:r>
              <w:rPr>
                <w:sz w:val="20"/>
              </w:rPr>
              <w:t>工具中心点坐标系</w:t>
            </w:r>
          </w:p>
        </w:tc>
        <w:tc>
          <w:tcPr>
            <w:tcW w:w="3024" w:type="dxa"/>
            <w:vAlign w:val="center"/>
          </w:tcPr>
          <w:p w14:paraId="7E6D7064">
            <w:pPr>
              <w:keepNext/>
              <w:spacing w:before="40" w:after="40" w:line="276" w:lineRule="auto"/>
              <w:ind w:firstLine="0"/>
              <w:jc w:val="center"/>
            </w:pPr>
            <w:r>
              <w:rPr>
                <w:sz w:val="20"/>
              </w:rPr>
              <w:t>工作点位置与工具朝向</w:t>
            </w:r>
          </w:p>
        </w:tc>
      </w:tr>
      <w:tr w14:paraId="40CDD9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3C730204">
            <w:pPr>
              <w:spacing w:before="40" w:after="40" w:line="276" w:lineRule="auto"/>
              <w:ind w:firstLine="0"/>
              <w:jc w:val="center"/>
            </w:pPr>
            <w:r>
              <w:rPr>
                <w:sz w:val="20"/>
              </w:rPr>
              <w:t>S</w:t>
            </w:r>
          </w:p>
        </w:tc>
        <w:tc>
          <w:tcPr>
            <w:tcW w:w="3024" w:type="dxa"/>
            <w:vAlign w:val="center"/>
          </w:tcPr>
          <w:p w14:paraId="2321329D">
            <w:pPr>
              <w:spacing w:before="40" w:after="40" w:line="276" w:lineRule="auto"/>
              <w:ind w:firstLine="0"/>
              <w:jc w:val="center"/>
            </w:pPr>
            <w:r>
              <w:rPr>
                <w:sz w:val="20"/>
              </w:rPr>
              <w:t>局部作业参考系</w:t>
            </w:r>
          </w:p>
        </w:tc>
        <w:tc>
          <w:tcPr>
            <w:tcW w:w="3024" w:type="dxa"/>
            <w:vAlign w:val="center"/>
          </w:tcPr>
          <w:p w14:paraId="4B9F7EBC">
            <w:pPr>
              <w:spacing w:before="40" w:after="40" w:line="276" w:lineRule="auto"/>
              <w:ind w:firstLine="0"/>
              <w:jc w:val="center"/>
            </w:pPr>
            <w:r>
              <w:rPr>
                <w:sz w:val="20"/>
              </w:rPr>
              <w:t>组织点云、目标序列与局部轨迹</w:t>
            </w:r>
          </w:p>
        </w:tc>
      </w:tr>
    </w:tbl>
    <w:p w14:paraId="3430F476"/>
    <w:p w14:paraId="551F3120">
      <w:pPr>
        <w:pStyle w:val="3"/>
      </w:pPr>
      <w:bookmarkStart w:id="19" w:name="_Toc243339199"/>
      <w:r>
        <w:t>2.2 机械臂运动学模型建立</w:t>
      </w:r>
      <w:bookmarkEnd w:id="19"/>
    </w:p>
    <w:p w14:paraId="28AC85CC">
      <w:pPr>
        <w:pStyle w:val="4"/>
        <w:spacing w:before="240" w:after="240"/>
      </w:pPr>
      <w:bookmarkStart w:id="20" w:name="_Toc243339200"/>
      <w:r>
        <w:t>2.2.1 机械臂结构与连杆坐标系</w:t>
      </w:r>
      <w:bookmarkEnd w:id="20"/>
    </w:p>
    <w:p w14:paraId="7D95AF88">
      <w:r>
        <w:t>现有平台材料使用AUBO-i10六自由度串联机械臂。其六个转动关节共同决定末端位置与姿态。运动学模型应基于实机型号版本建立，厂家用户手册和官方模型仓库可作为结构与参数核对的依据[14-15]。同一产品系列的公开文件可能对应不同硬件或描述文件版本，不能仅依据型号名称套用另一版本的连杆尺寸。</w:t>
      </w:r>
    </w:p>
    <w:p w14:paraId="727BFF19">
      <w:r>
        <w:t>连杆坐标系的建立需首先固定基坐标、各关节轴方向和零位姿态，再选择统一的D-H约定。标准D-H与改进D-H使用不同的坐标系布置和矩阵顺序。两种方法都能表达串联机构，但同一组参数不能跨约定直接使用。本文以下给出标准D-H的建模形式作为推导基础；实际参数表补齐时，应同时核对实机描述采用的约定及其与控制器坐标的固定变换。</w:t>
      </w:r>
    </w:p>
    <w:p w14:paraId="19F64451">
      <w:r>
        <w:rPr>
          <w:color w:val="C00000"/>
          <w:sz w:val="22"/>
        </w:rPr>
        <w:t>【待补D01：实机AUBO-i10硬件版本、对应URDF或厂家运动学参数、关节零位与正方向、D-H约定；表2-2数值留空，随后据此补绘与参数一致的连杆坐标图。】</w:t>
      </w:r>
    </w:p>
    <w:p w14:paraId="17A79000">
      <w:pPr>
        <w:pStyle w:val="4"/>
        <w:spacing w:before="240" w:after="240"/>
      </w:pPr>
      <w:bookmarkStart w:id="21" w:name="_Toc243339201"/>
      <w:r>
        <w:t>2.2.2 D-H参数与连杆变换关系</w:t>
      </w:r>
      <w:bookmarkEnd w:id="21"/>
    </w:p>
    <w:p w14:paraId="124C08CC">
      <w:r>
        <w:t>在标准D-H约定下，关节轴由相邻坐标系的Z轴表示，连杆长度a_i沿公共法线方向定义，连杆扭角α_i表示相邻关节轴的夹角，连杆偏距d_i表示沿关节轴的平移。对转动关节，关节变量进入θ_i，并需包含控制器零位与模型零位之间的偏置。第i个连杆的变换依次由绕Z轴旋转、沿Z轴平移、沿X轴平移和绕X轴旋转构成[9]。</w:t>
      </w:r>
    </w:p>
    <w:p w14:paraId="09FA47D0">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=Ro</m:t>
        </m:r>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z</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)Tran</m:t>
        </m:r>
        <m:sSub>
          <m:sSubPr>
            <m:ctrlPr>
              <w:rPr>
                <w:rFonts w:ascii="Cambria Math" w:hAnsi="Cambria Math"/>
              </w:rPr>
            </m:ctrlPr>
          </m:sSubPr>
          <m:e>
            <m:r>
              <m:rPr>
                <m:sty m:val="p"/>
              </m:rPr>
              <w:rPr>
                <w:rFonts w:ascii="Cambria Math" w:hAnsi="Cambria Math"/>
              </w:rPr>
              <m:t>s</m:t>
            </m:r>
            <m:ctrlPr>
              <w:rPr>
                <w:rFonts w:ascii="Cambria Math" w:hAnsi="Cambria Math"/>
              </w:rPr>
            </m:ctrlPr>
          </m:e>
          <m:sub>
            <m:r>
              <m:rPr>
                <m:sty m:val="p"/>
              </m:rPr>
              <w:rPr>
                <w:rFonts w:ascii="Cambria Math" w:hAnsi="Cambria Math"/>
              </w:rPr>
              <m:t>z</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)Tran</m:t>
        </m:r>
        <m:sSub>
          <m:sSubPr>
            <m:ctrlPr>
              <w:rPr>
                <w:rFonts w:ascii="Cambria Math" w:hAnsi="Cambria Math"/>
              </w:rPr>
            </m:ctrlPr>
          </m:sSubPr>
          <m:e>
            <m:r>
              <m:rPr>
                <m:sty m:val="p"/>
              </m:rPr>
              <w:rPr>
                <w:rFonts w:ascii="Cambria Math" w:hAnsi="Cambria Math"/>
              </w:rPr>
              <m:t>s</m:t>
            </m:r>
            <m:ctrlPr>
              <w:rPr>
                <w:rFonts w:ascii="Cambria Math" w:hAnsi="Cambria Math"/>
              </w:rPr>
            </m:ctrlPr>
          </m:e>
          <m:sub>
            <m:r>
              <m:rPr>
                <m:sty m:val="p"/>
              </m:rPr>
              <w:rPr>
                <w:rFonts w:ascii="Cambria Math" w:hAnsi="Cambria Math"/>
              </w:rPr>
              <m:t>x</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)Ro</m:t>
        </m:r>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x</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α</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oMath>
      <w:r>
        <w:rPr>
          <w:sz w:val="21"/>
        </w:rPr>
        <w:t xml:space="preserve">    （2-6）</w:t>
      </w:r>
    </w:p>
    <w:p w14:paraId="61A1B7E6">
      <w:r>
        <w:t>令c_i=cosθ_i，s_i=sinθ_i，c_α=cosα_i，s_α=sinα_i，则单连杆齐次矩阵为：</w:t>
      </w:r>
    </w:p>
    <w:p w14:paraId="1418DB62">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m:rPr>
                          <m:sty m:val="p"/>
                        </m:rPr>
                        <w:rPr>
                          <w:rFonts w:ascii="Cambria Math" w:hAnsi="Cambria Math"/>
                        </w:rPr>
                        <m:t>c</m:t>
                      </m:r>
                      <m:ctrlPr>
                        <w:rPr>
                          <w:rFonts w:ascii="Cambria Math" w:hAnsi="Cambria Math"/>
                        </w:rPr>
                      </m:ctrlPr>
                    </m:e>
                    <m:sub>
                      <m:r>
                        <m:rPr>
                          <m:sty m:val="p"/>
                        </m:rPr>
                        <w:rPr>
                          <w:rFonts w:ascii="Cambria Math" w:hAnsi="Cambria Math"/>
                        </w:rPr>
                        <m:t>i</m:t>
                      </m:r>
                      <m:ctrlPr>
                        <w:rPr>
                          <w:rFonts w:ascii="Cambria Math" w:hAnsi="Cambria Math"/>
                        </w:rPr>
                      </m:ctrlPr>
                    </m:sub>
                  </m:sSub>
                  <m:ctrlPr>
                    <w:rPr>
                      <w:rFonts w:ascii="Cambria Math" w:hAnsi="Cambria Math"/>
                    </w:rPr>
                  </m:ctrlPr>
                </m:e>
                <m:e>
                  <m:r>
                    <m:rPr>
                      <m:sty m:val="p"/>
                    </m:rPr>
                    <w:rPr>
                      <w:rFonts w:ascii="Cambria Math" w:hAnsi="Cambria Math"/>
                    </w:rPr>
                    <m:t>−</m:t>
                  </m:r>
                  <m:sSub>
                    <m:sSubPr>
                      <m:ctrlPr>
                        <w:rPr>
                          <w:rFonts w:ascii="Cambria Math" w:hAnsi="Cambria Math"/>
                        </w:rPr>
                      </m:ctrlPr>
                    </m:sSubPr>
                    <m:e>
                      <m:r>
                        <m:rPr>
                          <m:sty m:val="p"/>
                        </m:rPr>
                        <w:rPr>
                          <w:rFonts w:ascii="Cambria Math" w:hAnsi="Cambria Math"/>
                        </w:rPr>
                        <m:t>s</m:t>
                      </m:r>
                      <m:ctrlPr>
                        <w:rPr>
                          <w:rFonts w:ascii="Cambria Math" w:hAnsi="Cambria Math"/>
                        </w:rPr>
                      </m:ctrlPr>
                    </m:e>
                    <m:sub>
                      <m:r>
                        <m:rPr>
                          <m:sty m:val="p"/>
                        </m:rPr>
                        <w:rPr>
                          <w:rFonts w:ascii="Cambria Math" w:hAnsi="Cambria Math"/>
                        </w:rPr>
                        <m:t>i</m:t>
                      </m:r>
                      <m:ctrlPr>
                        <w:rPr>
                          <w:rFonts w:ascii="Cambria Math" w:hAnsi="Cambria Math"/>
                        </w:rPr>
                      </m:ctrlPr>
                    </m:sub>
                  </m:sSub>
                  <m:sSub>
                    <m:sSubPr>
                      <m:ctrlPr>
                        <w:rPr>
                          <w:rFonts w:ascii="Cambria Math" w:hAnsi="Cambria Math"/>
                        </w:rPr>
                      </m:ctrlPr>
                    </m:sSubPr>
                    <m:e>
                      <m:r>
                        <m:rPr>
                          <m:sty m:val="p"/>
                        </m:rPr>
                        <w:rPr>
                          <w:rFonts w:ascii="Cambria Math" w:hAnsi="Cambria Math"/>
                        </w:rPr>
                        <m:t>c</m:t>
                      </m:r>
                      <m:ctrlPr>
                        <w:rPr>
                          <w:rFonts w:ascii="Cambria Math" w:hAnsi="Cambria Math"/>
                        </w:rPr>
                      </m:ctrlPr>
                    </m:e>
                    <m:sub>
                      <m:r>
                        <m:rPr>
                          <m:sty m:val="p"/>
                        </m:rPr>
                        <w:rPr>
                          <w:rFonts w:ascii="Cambria Math" w:hAnsi="Cambria Math"/>
                        </w:rPr>
                        <m:t>α</m:t>
                      </m:r>
                      <m:ctrlPr>
                        <w:rPr>
                          <w:rFonts w:ascii="Cambria Math" w:hAnsi="Cambria Math"/>
                        </w:rPr>
                      </m:ctrlPr>
                    </m:sub>
                  </m:sSub>
                  <m:ctrlPr>
                    <w:rPr>
                      <w:rFonts w:ascii="Cambria Math" w:hAnsi="Cambria Math"/>
                    </w:rPr>
                  </m:ctrlPr>
                </m:e>
                <m:e>
                  <m:sSub>
                    <m:sSubPr>
                      <m:ctrlPr>
                        <w:rPr>
                          <w:rFonts w:ascii="Cambria Math" w:hAnsi="Cambria Math"/>
                        </w:rPr>
                      </m:ctrlPr>
                    </m:sSubPr>
                    <m:e>
                      <m:r>
                        <m:rPr>
                          <m:sty m:val="p"/>
                        </m:rPr>
                        <w:rPr>
                          <w:rFonts w:ascii="Cambria Math" w:hAnsi="Cambria Math"/>
                        </w:rPr>
                        <m:t>s</m:t>
                      </m:r>
                      <m:ctrlPr>
                        <w:rPr>
                          <w:rFonts w:ascii="Cambria Math" w:hAnsi="Cambria Math"/>
                        </w:rPr>
                      </m:ctrlPr>
                    </m:e>
                    <m:sub>
                      <m:r>
                        <m:rPr>
                          <m:sty m:val="p"/>
                        </m:rPr>
                        <w:rPr>
                          <w:rFonts w:ascii="Cambria Math" w:hAnsi="Cambria Math"/>
                        </w:rPr>
                        <m:t>i</m:t>
                      </m:r>
                      <m:ctrlPr>
                        <w:rPr>
                          <w:rFonts w:ascii="Cambria Math" w:hAnsi="Cambria Math"/>
                        </w:rPr>
                      </m:ctrlPr>
                    </m:sub>
                  </m:sSub>
                  <m:sSub>
                    <m:sSubPr>
                      <m:ctrlPr>
                        <w:rPr>
                          <w:rFonts w:ascii="Cambria Math" w:hAnsi="Cambria Math"/>
                        </w:rPr>
                      </m:ctrlPr>
                    </m:sSubPr>
                    <m:e>
                      <m:r>
                        <m:rPr>
                          <m:sty m:val="p"/>
                        </m:rPr>
                        <w:rPr>
                          <w:rFonts w:ascii="Cambria Math" w:hAnsi="Cambria Math"/>
                        </w:rPr>
                        <m:t>s</m:t>
                      </m:r>
                      <m:ctrlPr>
                        <w:rPr>
                          <w:rFonts w:ascii="Cambria Math" w:hAnsi="Cambria Math"/>
                        </w:rPr>
                      </m:ctrlPr>
                    </m:e>
                    <m:sub>
                      <m:r>
                        <m:rPr>
                          <m:sty m:val="p"/>
                        </m:rPr>
                        <w:rPr>
                          <w:rFonts w:ascii="Cambria Math" w:hAnsi="Cambria Math"/>
                        </w:rPr>
                        <m:t>α</m:t>
                      </m:r>
                      <m:ctrlPr>
                        <w:rPr>
                          <w:rFonts w:ascii="Cambria Math" w:hAnsi="Cambria Math"/>
                        </w:rPr>
                      </m:ctrlPr>
                    </m:sub>
                  </m:sSub>
                  <m:ctrlPr>
                    <w:rPr>
                      <w:rFonts w:ascii="Cambria Math" w:hAnsi="Cambria Math"/>
                    </w:rPr>
                  </m:ctrlPr>
                </m:e>
                <m:e>
                  <m:sSub>
                    <m:sSubPr>
                      <m:ctrlPr>
                        <w:rPr>
                          <w:rFonts w:ascii="Cambria Math" w:hAnsi="Cambria Math"/>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ctrlPr>
                        <w:rPr>
                          <w:rFonts w:ascii="Cambria Math" w:hAnsi="Cambria Math"/>
                        </w:rPr>
                      </m:ctrlPr>
                    </m:sub>
                  </m:sSub>
                  <m:sSub>
                    <m:sSubPr>
                      <m:ctrlPr>
                        <w:rPr>
                          <w:rFonts w:ascii="Cambria Math" w:hAnsi="Cambria Math"/>
                        </w:rPr>
                      </m:ctrlPr>
                    </m:sSubPr>
                    <m:e>
                      <m:r>
                        <m:rPr>
                          <m:sty m:val="p"/>
                        </m:rPr>
                        <w:rPr>
                          <w:rFonts w:ascii="Cambria Math" w:hAnsi="Cambria Math"/>
                        </w:rPr>
                        <m:t>c</m:t>
                      </m:r>
                      <m:ctrlPr>
                        <w:rPr>
                          <w:rFonts w:ascii="Cambria Math" w:hAnsi="Cambria Math"/>
                        </w:rPr>
                      </m:ctrlPr>
                    </m:e>
                    <m:sub>
                      <m:r>
                        <m:rPr>
                          <m:sty m:val="p"/>
                        </m:rPr>
                        <w:rPr>
                          <w:rFonts w:ascii="Cambria Math" w:hAnsi="Cambria Math"/>
                        </w:rPr>
                        <m:t>i</m:t>
                      </m:r>
                      <m:ctrlPr>
                        <w:rPr>
                          <w:rFonts w:ascii="Cambria Math" w:hAnsi="Cambria Math"/>
                        </w:rPr>
                      </m:ctrlPr>
                    </m:sub>
                  </m:sSub>
                  <m:ctrlPr>
                    <w:rPr>
                      <w:rFonts w:ascii="Cambria Math" w:hAnsi="Cambria Math"/>
                    </w:rPr>
                  </m:ctrlPr>
                </m:e>
              </m:mr>
              <m:mr>
                <m:e>
                  <m:sSub>
                    <m:sSubPr>
                      <m:ctrlPr>
                        <w:rPr>
                          <w:rFonts w:ascii="Cambria Math" w:hAnsi="Cambria Math"/>
                        </w:rPr>
                      </m:ctrlPr>
                    </m:sSubPr>
                    <m:e>
                      <m:r>
                        <m:rPr>
                          <m:sty m:val="p"/>
                        </m:rPr>
                        <w:rPr>
                          <w:rFonts w:ascii="Cambria Math" w:hAnsi="Cambria Math"/>
                        </w:rPr>
                        <m:t>s</m:t>
                      </m:r>
                      <m:ctrlPr>
                        <w:rPr>
                          <w:rFonts w:ascii="Cambria Math" w:hAnsi="Cambria Math"/>
                        </w:rPr>
                      </m:ctrlPr>
                    </m:e>
                    <m:sub>
                      <m:r>
                        <m:rPr>
                          <m:sty m:val="p"/>
                        </m:rPr>
                        <w:rPr>
                          <w:rFonts w:ascii="Cambria Math" w:hAnsi="Cambria Math"/>
                        </w:rPr>
                        <m:t>i</m:t>
                      </m:r>
                      <m:ctrlPr>
                        <w:rPr>
                          <w:rFonts w:ascii="Cambria Math" w:hAnsi="Cambria Math"/>
                        </w:rPr>
                      </m:ctrlPr>
                    </m:sub>
                  </m:sSub>
                  <m:ctrlPr>
                    <w:rPr>
                      <w:rFonts w:ascii="Cambria Math" w:hAnsi="Cambria Math"/>
                    </w:rPr>
                  </m:ctrlPr>
                </m:e>
                <m:e>
                  <m:sSub>
                    <m:sSubPr>
                      <m:ctrlPr>
                        <w:rPr>
                          <w:rFonts w:ascii="Cambria Math" w:hAnsi="Cambria Math"/>
                        </w:rPr>
                      </m:ctrlPr>
                    </m:sSubPr>
                    <m:e>
                      <m:r>
                        <m:rPr>
                          <m:sty m:val="p"/>
                        </m:rPr>
                        <w:rPr>
                          <w:rFonts w:ascii="Cambria Math" w:hAnsi="Cambria Math"/>
                        </w:rPr>
                        <m:t>c</m:t>
                      </m:r>
                      <m:ctrlPr>
                        <w:rPr>
                          <w:rFonts w:ascii="Cambria Math" w:hAnsi="Cambria Math"/>
                        </w:rPr>
                      </m:ctrlPr>
                    </m:e>
                    <m:sub>
                      <m:r>
                        <m:rPr>
                          <m:sty m:val="p"/>
                        </m:rPr>
                        <w:rPr>
                          <w:rFonts w:ascii="Cambria Math" w:hAnsi="Cambria Math"/>
                        </w:rPr>
                        <m:t>i</m:t>
                      </m:r>
                      <m:ctrlPr>
                        <w:rPr>
                          <w:rFonts w:ascii="Cambria Math" w:hAnsi="Cambria Math"/>
                        </w:rPr>
                      </m:ctrlPr>
                    </m:sub>
                  </m:sSub>
                  <m:sSub>
                    <m:sSubPr>
                      <m:ctrlPr>
                        <w:rPr>
                          <w:rFonts w:ascii="Cambria Math" w:hAnsi="Cambria Math"/>
                        </w:rPr>
                      </m:ctrlPr>
                    </m:sSubPr>
                    <m:e>
                      <m:r>
                        <m:rPr>
                          <m:sty m:val="p"/>
                        </m:rPr>
                        <w:rPr>
                          <w:rFonts w:ascii="Cambria Math" w:hAnsi="Cambria Math"/>
                        </w:rPr>
                        <m:t>c</m:t>
                      </m:r>
                      <m:ctrlPr>
                        <w:rPr>
                          <w:rFonts w:ascii="Cambria Math" w:hAnsi="Cambria Math"/>
                        </w:rPr>
                      </m:ctrlPr>
                    </m:e>
                    <m:sub>
                      <m:r>
                        <m:rPr>
                          <m:sty m:val="p"/>
                        </m:rPr>
                        <w:rPr>
                          <w:rFonts w:ascii="Cambria Math" w:hAnsi="Cambria Math"/>
                        </w:rPr>
                        <m:t>α</m:t>
                      </m:r>
                      <m:ctrlPr>
                        <w:rPr>
                          <w:rFonts w:ascii="Cambria Math" w:hAnsi="Cambria Math"/>
                        </w:rPr>
                      </m:ctrlPr>
                    </m:sub>
                  </m:sSub>
                  <m:ctrlPr>
                    <w:rPr>
                      <w:rFonts w:ascii="Cambria Math" w:hAnsi="Cambria Math"/>
                    </w:rPr>
                  </m:ctrlPr>
                </m:e>
                <m:e>
                  <m:r>
                    <m:rPr>
                      <m:sty m:val="p"/>
                    </m:rPr>
                    <w:rPr>
                      <w:rFonts w:ascii="Cambria Math" w:hAnsi="Cambria Math"/>
                    </w:rPr>
                    <m:t>−</m:t>
                  </m:r>
                  <m:sSub>
                    <m:sSubPr>
                      <m:ctrlPr>
                        <w:rPr>
                          <w:rFonts w:ascii="Cambria Math" w:hAnsi="Cambria Math"/>
                        </w:rPr>
                      </m:ctrlPr>
                    </m:sSubPr>
                    <m:e>
                      <m:r>
                        <m:rPr>
                          <m:sty m:val="p"/>
                        </m:rPr>
                        <w:rPr>
                          <w:rFonts w:ascii="Cambria Math" w:hAnsi="Cambria Math"/>
                        </w:rPr>
                        <m:t>c</m:t>
                      </m:r>
                      <m:ctrlPr>
                        <w:rPr>
                          <w:rFonts w:ascii="Cambria Math" w:hAnsi="Cambria Math"/>
                        </w:rPr>
                      </m:ctrlPr>
                    </m:e>
                    <m:sub>
                      <m:r>
                        <m:rPr>
                          <m:sty m:val="p"/>
                        </m:rPr>
                        <w:rPr>
                          <w:rFonts w:ascii="Cambria Math" w:hAnsi="Cambria Math"/>
                        </w:rPr>
                        <m:t>i</m:t>
                      </m:r>
                      <m:ctrlPr>
                        <w:rPr>
                          <w:rFonts w:ascii="Cambria Math" w:hAnsi="Cambria Math"/>
                        </w:rPr>
                      </m:ctrlPr>
                    </m:sub>
                  </m:sSub>
                  <m:sSub>
                    <m:sSubPr>
                      <m:ctrlPr>
                        <w:rPr>
                          <w:rFonts w:ascii="Cambria Math" w:hAnsi="Cambria Math"/>
                        </w:rPr>
                      </m:ctrlPr>
                    </m:sSubPr>
                    <m:e>
                      <m:r>
                        <m:rPr>
                          <m:sty m:val="p"/>
                        </m:rPr>
                        <w:rPr>
                          <w:rFonts w:ascii="Cambria Math" w:hAnsi="Cambria Math"/>
                        </w:rPr>
                        <m:t>s</m:t>
                      </m:r>
                      <m:ctrlPr>
                        <w:rPr>
                          <w:rFonts w:ascii="Cambria Math" w:hAnsi="Cambria Math"/>
                        </w:rPr>
                      </m:ctrlPr>
                    </m:e>
                    <m:sub>
                      <m:r>
                        <m:rPr>
                          <m:sty m:val="p"/>
                        </m:rPr>
                        <w:rPr>
                          <w:rFonts w:ascii="Cambria Math" w:hAnsi="Cambria Math"/>
                        </w:rPr>
                        <m:t>α</m:t>
                      </m:r>
                      <m:ctrlPr>
                        <w:rPr>
                          <w:rFonts w:ascii="Cambria Math" w:hAnsi="Cambria Math"/>
                        </w:rPr>
                      </m:ctrlPr>
                    </m:sub>
                  </m:sSub>
                  <m:ctrlPr>
                    <w:rPr>
                      <w:rFonts w:ascii="Cambria Math" w:hAnsi="Cambria Math"/>
                    </w:rPr>
                  </m:ctrlPr>
                </m:e>
                <m:e>
                  <m:sSub>
                    <m:sSubPr>
                      <m:ctrlPr>
                        <w:rPr>
                          <w:rFonts w:ascii="Cambria Math" w:hAnsi="Cambria Math"/>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ctrlPr>
                        <w:rPr>
                          <w:rFonts w:ascii="Cambria Math" w:hAnsi="Cambria Math"/>
                        </w:rPr>
                      </m:ctrlPr>
                    </m:sub>
                  </m:sSub>
                  <m:sSub>
                    <m:sSubPr>
                      <m:ctrlPr>
                        <w:rPr>
                          <w:rFonts w:ascii="Cambria Math" w:hAnsi="Cambria Math"/>
                        </w:rPr>
                      </m:ctrlPr>
                    </m:sSubPr>
                    <m:e>
                      <m:r>
                        <m:rPr>
                          <m:sty m:val="p"/>
                        </m:rPr>
                        <w:rPr>
                          <w:rFonts w:ascii="Cambria Math" w:hAnsi="Cambria Math"/>
                        </w:rPr>
                        <m:t>s</m:t>
                      </m:r>
                      <m:ctrlPr>
                        <w:rPr>
                          <w:rFonts w:ascii="Cambria Math" w:hAnsi="Cambria Math"/>
                        </w:rPr>
                      </m:ctrlPr>
                    </m:e>
                    <m:sub>
                      <m:r>
                        <m:rPr>
                          <m:sty m:val="p"/>
                        </m:rPr>
                        <w:rPr>
                          <w:rFonts w:ascii="Cambria Math" w:hAnsi="Cambria Math"/>
                        </w:rPr>
                        <m:t>i</m:t>
                      </m:r>
                      <m:ctrlPr>
                        <w:rPr>
                          <w:rFonts w:ascii="Cambria Math" w:hAnsi="Cambria Math"/>
                        </w:rPr>
                      </m:ctrlPr>
                    </m:sub>
                  </m:sSub>
                  <m:ctrlPr>
                    <w:rPr>
                      <w:rFonts w:ascii="Cambria Math" w:hAnsi="Cambria Math"/>
                    </w:rPr>
                  </m:ctrlPr>
                </m:e>
              </m:mr>
              <m:mr>
                <m:e>
                  <m:r>
                    <m:rPr>
                      <m:sty m:val="p"/>
                    </m:rPr>
                    <w:rPr>
                      <w:rFonts w:ascii="Cambria Math" w:hAnsi="Cambria Math"/>
                    </w:rPr>
                    <m:t>0</m:t>
                  </m:r>
                  <m:ctrlPr>
                    <w:rPr>
                      <w:rFonts w:ascii="Cambria Math" w:hAnsi="Cambria Math"/>
                    </w:rPr>
                  </m:ctrlPr>
                </m:e>
                <m:e>
                  <m:sSub>
                    <m:sSubPr>
                      <m:ctrlPr>
                        <w:rPr>
                          <w:rFonts w:ascii="Cambria Math" w:hAnsi="Cambria Math"/>
                        </w:rPr>
                      </m:ctrlPr>
                    </m:sSubPr>
                    <m:e>
                      <m:r>
                        <m:rPr>
                          <m:sty m:val="p"/>
                        </m:rPr>
                        <w:rPr>
                          <w:rFonts w:ascii="Cambria Math" w:hAnsi="Cambria Math"/>
                        </w:rPr>
                        <m:t>s</m:t>
                      </m:r>
                      <m:ctrlPr>
                        <w:rPr>
                          <w:rFonts w:ascii="Cambria Math" w:hAnsi="Cambria Math"/>
                        </w:rPr>
                      </m:ctrlPr>
                    </m:e>
                    <m:sub>
                      <m:r>
                        <m:rPr>
                          <m:sty m:val="p"/>
                        </m:rPr>
                        <w:rPr>
                          <w:rFonts w:ascii="Cambria Math" w:hAnsi="Cambria Math"/>
                        </w:rPr>
                        <m:t>α</m:t>
                      </m:r>
                      <m:ctrlPr>
                        <w:rPr>
                          <w:rFonts w:ascii="Cambria Math" w:hAnsi="Cambria Math"/>
                        </w:rPr>
                      </m:ctrlPr>
                    </m:sub>
                  </m:sSub>
                  <m:ctrlPr>
                    <w:rPr>
                      <w:rFonts w:ascii="Cambria Math" w:hAnsi="Cambria Math"/>
                    </w:rPr>
                  </m:ctrlPr>
                </m:e>
                <m:e>
                  <m:sSub>
                    <m:sSubPr>
                      <m:ctrlPr>
                        <w:rPr>
                          <w:rFonts w:ascii="Cambria Math" w:hAnsi="Cambria Math"/>
                        </w:rPr>
                      </m:ctrlPr>
                    </m:sSubPr>
                    <m:e>
                      <m:r>
                        <m:rPr>
                          <m:sty m:val="p"/>
                        </m:rPr>
                        <w:rPr>
                          <w:rFonts w:ascii="Cambria Math" w:hAnsi="Cambria Math"/>
                        </w:rPr>
                        <m:t>c</m:t>
                      </m:r>
                      <m:ctrlPr>
                        <w:rPr>
                          <w:rFonts w:ascii="Cambria Math" w:hAnsi="Cambria Math"/>
                        </w:rPr>
                      </m:ctrlPr>
                    </m:e>
                    <m:sub>
                      <m:r>
                        <m:rPr>
                          <m:sty m:val="p"/>
                        </m:rPr>
                        <w:rPr>
                          <w:rFonts w:ascii="Cambria Math" w:hAnsi="Cambria Math"/>
                        </w:rPr>
                        <m:t>α</m:t>
                      </m:r>
                      <m:ctrlPr>
                        <w:rPr>
                          <w:rFonts w:ascii="Cambria Math" w:hAnsi="Cambria Math"/>
                        </w:rPr>
                      </m:ctrlPr>
                    </m:sub>
                  </m:sSub>
                  <m:ctrlPr>
                    <w:rPr>
                      <w:rFonts w:ascii="Cambria Math" w:hAnsi="Cambria Math"/>
                    </w:rPr>
                  </m:ctrlPr>
                </m:e>
                <m:e>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ctrlPr>
                    <w:rPr>
                      <w:rFonts w:ascii="Cambria Math" w:hAnsi="Cambria Math"/>
                    </w:rPr>
                  </m:ctrlPr>
                </m:e>
              </m:mr>
              <m:mr>
                <m:e>
                  <m:r>
                    <m:rPr>
                      <m:sty m:val="p"/>
                    </m:rPr>
                    <w:rPr>
                      <w:rFonts w:ascii="Cambria Math" w:hAnsi="Cambria Math"/>
                    </w:rPr>
                    <m:t>0</m:t>
                  </m:r>
                  <m:ctrlPr>
                    <w:rPr>
                      <w:rFonts w:ascii="Cambria Math" w:hAnsi="Cambria Math"/>
                    </w:rPr>
                  </m:ctrlPr>
                </m:e>
                <m:e>
                  <m:r>
                    <m:rPr>
                      <m:sty m:val="p"/>
                    </m:rPr>
                    <w:rPr>
                      <w:rFonts w:ascii="Cambria Math" w:hAnsi="Cambria Math"/>
                    </w:rPr>
                    <m:t>0</m:t>
                  </m:r>
                  <m:ctrlPr>
                    <w:rPr>
                      <w:rFonts w:ascii="Cambria Math" w:hAnsi="Cambria Math"/>
                    </w:rPr>
                  </m:ctrlPr>
                </m:e>
                <m:e>
                  <m:r>
                    <m:rPr>
                      <m:sty m:val="p"/>
                    </m:rPr>
                    <w:rPr>
                      <w:rFonts w:ascii="Cambria Math" w:hAnsi="Cambria Math"/>
                    </w:rPr>
                    <m:t>0</m:t>
                  </m:r>
                  <m:ctrlPr>
                    <w:rPr>
                      <w:rFonts w:ascii="Cambria Math" w:hAnsi="Cambria Math"/>
                    </w:rPr>
                  </m:ctrlPr>
                </m:e>
                <m:e>
                  <m:r>
                    <m:rPr>
                      <m:sty m:val="p"/>
                    </m:rPr>
                    <w:rPr>
                      <w:rFonts w:ascii="Cambria Math" w:hAnsi="Cambria Math"/>
                    </w:rPr>
                    <m:t>1</m:t>
                  </m:r>
                  <m:ctrlPr>
                    <w:rPr>
                      <w:rFonts w:ascii="Cambria Math" w:hAnsi="Cambria Math"/>
                    </w:rPr>
                  </m:ctrlPr>
                </m:e>
              </m:mr>
            </m:m>
            <m:ctrlPr>
              <w:rPr>
                <w:rFonts w:ascii="Cambria Math" w:hAnsi="Cambria Math"/>
              </w:rPr>
            </m:ctrlPr>
          </m:e>
        </m:d>
      </m:oMath>
      <w:r>
        <w:rPr>
          <w:sz w:val="21"/>
        </w:rPr>
        <w:t xml:space="preserve">    （2-7）</w:t>
      </w:r>
    </w:p>
    <w:p w14:paraId="18A4F680">
      <w:pPr>
        <w:pStyle w:val="79"/>
        <w:keepNext/>
      </w:pPr>
      <w:r>
        <w:t>表2-2 实机D-H参数待填表</w:t>
      </w:r>
    </w:p>
    <w:tbl>
      <w:tblPr>
        <w:tblStyle w:val="28"/>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75" w:type="dxa"/>
          <w:bottom w:w="65" w:type="dxa"/>
          <w:right w:w="75" w:type="dxa"/>
        </w:tblCellMar>
      </w:tblPr>
      <w:tblGrid>
        <w:gridCol w:w="1814"/>
        <w:gridCol w:w="1814"/>
        <w:gridCol w:w="1814"/>
        <w:gridCol w:w="1814"/>
        <w:gridCol w:w="1814"/>
      </w:tblGrid>
      <w:tr w14:paraId="2ACB355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blHeader/>
          <w:jc w:val="center"/>
        </w:trPr>
        <w:tc>
          <w:tcPr>
            <w:tcW w:w="1814" w:type="dxa"/>
            <w:shd w:val="clear" w:color="auto" w:fill="F2F2F2"/>
            <w:vAlign w:val="center"/>
          </w:tcPr>
          <w:p w14:paraId="0B915350">
            <w:pPr>
              <w:keepNext/>
              <w:spacing w:before="40" w:after="40" w:line="276" w:lineRule="auto"/>
              <w:ind w:firstLine="0"/>
              <w:jc w:val="center"/>
            </w:pPr>
            <w:r>
              <w:rPr>
                <w:b/>
                <w:sz w:val="20"/>
              </w:rPr>
              <w:t>关节i</w:t>
            </w:r>
          </w:p>
        </w:tc>
        <w:tc>
          <w:tcPr>
            <w:tcW w:w="1814" w:type="dxa"/>
            <w:shd w:val="clear" w:color="auto" w:fill="F2F2F2"/>
            <w:vAlign w:val="center"/>
          </w:tcPr>
          <w:p w14:paraId="6135CA20">
            <w:pPr>
              <w:keepNext/>
              <w:spacing w:before="40" w:after="40" w:line="276" w:lineRule="auto"/>
              <w:ind w:firstLine="0"/>
              <w:jc w:val="center"/>
            </w:pPr>
            <w:r>
              <w:rPr>
                <w:b/>
                <w:sz w:val="20"/>
              </w:rPr>
              <w:t>a_i / mm</w:t>
            </w:r>
          </w:p>
        </w:tc>
        <w:tc>
          <w:tcPr>
            <w:tcW w:w="1814" w:type="dxa"/>
            <w:shd w:val="clear" w:color="auto" w:fill="F2F2F2"/>
            <w:vAlign w:val="center"/>
          </w:tcPr>
          <w:p w14:paraId="679811F4">
            <w:pPr>
              <w:keepNext/>
              <w:spacing w:before="40" w:after="40" w:line="276" w:lineRule="auto"/>
              <w:ind w:firstLine="0"/>
              <w:jc w:val="center"/>
            </w:pPr>
            <w:r>
              <w:rPr>
                <w:b/>
                <w:sz w:val="20"/>
              </w:rPr>
              <w:t>α_i / rad</w:t>
            </w:r>
          </w:p>
        </w:tc>
        <w:tc>
          <w:tcPr>
            <w:tcW w:w="1814" w:type="dxa"/>
            <w:shd w:val="clear" w:color="auto" w:fill="F2F2F2"/>
            <w:vAlign w:val="center"/>
          </w:tcPr>
          <w:p w14:paraId="4FF59FCC">
            <w:pPr>
              <w:keepNext/>
              <w:spacing w:before="40" w:after="40" w:line="276" w:lineRule="auto"/>
              <w:ind w:firstLine="0"/>
              <w:jc w:val="center"/>
            </w:pPr>
            <w:r>
              <w:rPr>
                <w:b/>
                <w:sz w:val="20"/>
              </w:rPr>
              <w:t>d_i / mm</w:t>
            </w:r>
          </w:p>
        </w:tc>
        <w:tc>
          <w:tcPr>
            <w:tcW w:w="1814" w:type="dxa"/>
            <w:shd w:val="clear" w:color="auto" w:fill="F2F2F2"/>
            <w:vAlign w:val="center"/>
          </w:tcPr>
          <w:p w14:paraId="1D002D01">
            <w:pPr>
              <w:keepNext/>
              <w:spacing w:before="40" w:after="40" w:line="276" w:lineRule="auto"/>
              <w:ind w:firstLine="0"/>
              <w:jc w:val="center"/>
            </w:pPr>
            <w:r>
              <w:rPr>
                <w:b/>
                <w:sz w:val="20"/>
              </w:rPr>
              <w:t>零位偏置 / rad</w:t>
            </w:r>
          </w:p>
        </w:tc>
      </w:tr>
      <w:tr w14:paraId="0E5974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814" w:type="dxa"/>
            <w:vAlign w:val="center"/>
          </w:tcPr>
          <w:p w14:paraId="50C90F82">
            <w:pPr>
              <w:keepNext/>
              <w:spacing w:before="40" w:after="40" w:line="276" w:lineRule="auto"/>
              <w:ind w:firstLine="0"/>
              <w:jc w:val="center"/>
            </w:pPr>
            <w:r>
              <w:rPr>
                <w:sz w:val="20"/>
              </w:rPr>
              <w:t>1</w:t>
            </w:r>
          </w:p>
        </w:tc>
        <w:tc>
          <w:tcPr>
            <w:tcW w:w="1814" w:type="dxa"/>
            <w:vAlign w:val="center"/>
          </w:tcPr>
          <w:p w14:paraId="4C64D913">
            <w:pPr>
              <w:keepNext/>
              <w:spacing w:before="40" w:after="40" w:line="276" w:lineRule="auto"/>
              <w:ind w:firstLine="0"/>
              <w:jc w:val="center"/>
            </w:pPr>
            <w:r>
              <w:rPr>
                <w:color w:val="C00000"/>
                <w:sz w:val="20"/>
              </w:rPr>
              <w:t>________</w:t>
            </w:r>
          </w:p>
        </w:tc>
        <w:tc>
          <w:tcPr>
            <w:tcW w:w="1814" w:type="dxa"/>
            <w:vAlign w:val="center"/>
          </w:tcPr>
          <w:p w14:paraId="53E8887D">
            <w:pPr>
              <w:keepNext/>
              <w:spacing w:before="40" w:after="40" w:line="276" w:lineRule="auto"/>
              <w:ind w:firstLine="0"/>
              <w:jc w:val="center"/>
            </w:pPr>
            <w:r>
              <w:rPr>
                <w:color w:val="C00000"/>
                <w:sz w:val="20"/>
              </w:rPr>
              <w:t>________</w:t>
            </w:r>
          </w:p>
        </w:tc>
        <w:tc>
          <w:tcPr>
            <w:tcW w:w="1814" w:type="dxa"/>
            <w:vAlign w:val="center"/>
          </w:tcPr>
          <w:p w14:paraId="1AC91468">
            <w:pPr>
              <w:keepNext/>
              <w:spacing w:before="40" w:after="40" w:line="276" w:lineRule="auto"/>
              <w:ind w:firstLine="0"/>
              <w:jc w:val="center"/>
            </w:pPr>
            <w:r>
              <w:rPr>
                <w:color w:val="C00000"/>
                <w:sz w:val="20"/>
              </w:rPr>
              <w:t>________</w:t>
            </w:r>
          </w:p>
        </w:tc>
        <w:tc>
          <w:tcPr>
            <w:tcW w:w="1814" w:type="dxa"/>
            <w:vAlign w:val="center"/>
          </w:tcPr>
          <w:p w14:paraId="2F2089F6">
            <w:pPr>
              <w:keepNext/>
              <w:spacing w:before="40" w:after="40" w:line="276" w:lineRule="auto"/>
              <w:ind w:firstLine="0"/>
              <w:jc w:val="center"/>
            </w:pPr>
            <w:r>
              <w:rPr>
                <w:color w:val="C00000"/>
                <w:sz w:val="20"/>
              </w:rPr>
              <w:t>________</w:t>
            </w:r>
          </w:p>
        </w:tc>
      </w:tr>
      <w:tr w14:paraId="0F8169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814" w:type="dxa"/>
            <w:vAlign w:val="center"/>
          </w:tcPr>
          <w:p w14:paraId="18D0FC82">
            <w:pPr>
              <w:keepNext/>
              <w:spacing w:before="40" w:after="40" w:line="276" w:lineRule="auto"/>
              <w:ind w:firstLine="0"/>
              <w:jc w:val="center"/>
            </w:pPr>
            <w:r>
              <w:rPr>
                <w:sz w:val="20"/>
              </w:rPr>
              <w:t>2</w:t>
            </w:r>
          </w:p>
        </w:tc>
        <w:tc>
          <w:tcPr>
            <w:tcW w:w="1814" w:type="dxa"/>
            <w:vAlign w:val="center"/>
          </w:tcPr>
          <w:p w14:paraId="2473C4F8">
            <w:pPr>
              <w:keepNext/>
              <w:spacing w:before="40" w:after="40" w:line="276" w:lineRule="auto"/>
              <w:ind w:firstLine="0"/>
              <w:jc w:val="center"/>
            </w:pPr>
            <w:r>
              <w:rPr>
                <w:color w:val="C00000"/>
                <w:sz w:val="20"/>
              </w:rPr>
              <w:t>________</w:t>
            </w:r>
          </w:p>
        </w:tc>
        <w:tc>
          <w:tcPr>
            <w:tcW w:w="1814" w:type="dxa"/>
            <w:vAlign w:val="center"/>
          </w:tcPr>
          <w:p w14:paraId="08582B59">
            <w:pPr>
              <w:keepNext/>
              <w:spacing w:before="40" w:after="40" w:line="276" w:lineRule="auto"/>
              <w:ind w:firstLine="0"/>
              <w:jc w:val="center"/>
            </w:pPr>
            <w:r>
              <w:rPr>
                <w:color w:val="C00000"/>
                <w:sz w:val="20"/>
              </w:rPr>
              <w:t>________</w:t>
            </w:r>
          </w:p>
        </w:tc>
        <w:tc>
          <w:tcPr>
            <w:tcW w:w="1814" w:type="dxa"/>
            <w:vAlign w:val="center"/>
          </w:tcPr>
          <w:p w14:paraId="3983B339">
            <w:pPr>
              <w:keepNext/>
              <w:spacing w:before="40" w:after="40" w:line="276" w:lineRule="auto"/>
              <w:ind w:firstLine="0"/>
              <w:jc w:val="center"/>
            </w:pPr>
            <w:r>
              <w:rPr>
                <w:color w:val="C00000"/>
                <w:sz w:val="20"/>
              </w:rPr>
              <w:t>________</w:t>
            </w:r>
          </w:p>
        </w:tc>
        <w:tc>
          <w:tcPr>
            <w:tcW w:w="1814" w:type="dxa"/>
            <w:vAlign w:val="center"/>
          </w:tcPr>
          <w:p w14:paraId="0C7F6CE6">
            <w:pPr>
              <w:keepNext/>
              <w:spacing w:before="40" w:after="40" w:line="276" w:lineRule="auto"/>
              <w:ind w:firstLine="0"/>
              <w:jc w:val="center"/>
            </w:pPr>
            <w:r>
              <w:rPr>
                <w:color w:val="C00000"/>
                <w:sz w:val="20"/>
              </w:rPr>
              <w:t>________</w:t>
            </w:r>
          </w:p>
        </w:tc>
      </w:tr>
      <w:tr w14:paraId="3246FC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814" w:type="dxa"/>
            <w:vAlign w:val="center"/>
          </w:tcPr>
          <w:p w14:paraId="72ADCBD3">
            <w:pPr>
              <w:keepNext/>
              <w:spacing w:before="40" w:after="40" w:line="276" w:lineRule="auto"/>
              <w:ind w:firstLine="0"/>
              <w:jc w:val="center"/>
            </w:pPr>
            <w:r>
              <w:rPr>
                <w:sz w:val="20"/>
              </w:rPr>
              <w:t>3</w:t>
            </w:r>
          </w:p>
        </w:tc>
        <w:tc>
          <w:tcPr>
            <w:tcW w:w="1814" w:type="dxa"/>
            <w:vAlign w:val="center"/>
          </w:tcPr>
          <w:p w14:paraId="107158FD">
            <w:pPr>
              <w:keepNext/>
              <w:spacing w:before="40" w:after="40" w:line="276" w:lineRule="auto"/>
              <w:ind w:firstLine="0"/>
              <w:jc w:val="center"/>
            </w:pPr>
            <w:r>
              <w:rPr>
                <w:color w:val="C00000"/>
                <w:sz w:val="20"/>
              </w:rPr>
              <w:t>________</w:t>
            </w:r>
          </w:p>
        </w:tc>
        <w:tc>
          <w:tcPr>
            <w:tcW w:w="1814" w:type="dxa"/>
            <w:vAlign w:val="center"/>
          </w:tcPr>
          <w:p w14:paraId="676F94C9">
            <w:pPr>
              <w:keepNext/>
              <w:spacing w:before="40" w:after="40" w:line="276" w:lineRule="auto"/>
              <w:ind w:firstLine="0"/>
              <w:jc w:val="center"/>
            </w:pPr>
            <w:r>
              <w:rPr>
                <w:color w:val="C00000"/>
                <w:sz w:val="20"/>
              </w:rPr>
              <w:t>________</w:t>
            </w:r>
          </w:p>
        </w:tc>
        <w:tc>
          <w:tcPr>
            <w:tcW w:w="1814" w:type="dxa"/>
            <w:vAlign w:val="center"/>
          </w:tcPr>
          <w:p w14:paraId="3EABC9AC">
            <w:pPr>
              <w:keepNext/>
              <w:spacing w:before="40" w:after="40" w:line="276" w:lineRule="auto"/>
              <w:ind w:firstLine="0"/>
              <w:jc w:val="center"/>
            </w:pPr>
            <w:r>
              <w:rPr>
                <w:color w:val="C00000"/>
                <w:sz w:val="20"/>
              </w:rPr>
              <w:t>________</w:t>
            </w:r>
          </w:p>
        </w:tc>
        <w:tc>
          <w:tcPr>
            <w:tcW w:w="1814" w:type="dxa"/>
            <w:vAlign w:val="center"/>
          </w:tcPr>
          <w:p w14:paraId="5F649F7A">
            <w:pPr>
              <w:keepNext/>
              <w:spacing w:before="40" w:after="40" w:line="276" w:lineRule="auto"/>
              <w:ind w:firstLine="0"/>
              <w:jc w:val="center"/>
            </w:pPr>
            <w:r>
              <w:rPr>
                <w:color w:val="C00000"/>
                <w:sz w:val="20"/>
              </w:rPr>
              <w:t>________</w:t>
            </w:r>
          </w:p>
        </w:tc>
      </w:tr>
      <w:tr w14:paraId="403614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814" w:type="dxa"/>
            <w:vAlign w:val="center"/>
          </w:tcPr>
          <w:p w14:paraId="68615E91">
            <w:pPr>
              <w:keepNext/>
              <w:spacing w:before="40" w:after="40" w:line="276" w:lineRule="auto"/>
              <w:ind w:firstLine="0"/>
              <w:jc w:val="center"/>
            </w:pPr>
            <w:r>
              <w:rPr>
                <w:sz w:val="20"/>
              </w:rPr>
              <w:t>4</w:t>
            </w:r>
          </w:p>
        </w:tc>
        <w:tc>
          <w:tcPr>
            <w:tcW w:w="1814" w:type="dxa"/>
            <w:vAlign w:val="center"/>
          </w:tcPr>
          <w:p w14:paraId="7A75DE67">
            <w:pPr>
              <w:keepNext/>
              <w:spacing w:before="40" w:after="40" w:line="276" w:lineRule="auto"/>
              <w:ind w:firstLine="0"/>
              <w:jc w:val="center"/>
            </w:pPr>
            <w:r>
              <w:rPr>
                <w:color w:val="C00000"/>
                <w:sz w:val="20"/>
              </w:rPr>
              <w:t>________</w:t>
            </w:r>
          </w:p>
        </w:tc>
        <w:tc>
          <w:tcPr>
            <w:tcW w:w="1814" w:type="dxa"/>
            <w:vAlign w:val="center"/>
          </w:tcPr>
          <w:p w14:paraId="16E20DAE">
            <w:pPr>
              <w:keepNext/>
              <w:spacing w:before="40" w:after="40" w:line="276" w:lineRule="auto"/>
              <w:ind w:firstLine="0"/>
              <w:jc w:val="center"/>
            </w:pPr>
            <w:r>
              <w:rPr>
                <w:color w:val="C00000"/>
                <w:sz w:val="20"/>
              </w:rPr>
              <w:t>________</w:t>
            </w:r>
          </w:p>
        </w:tc>
        <w:tc>
          <w:tcPr>
            <w:tcW w:w="1814" w:type="dxa"/>
            <w:vAlign w:val="center"/>
          </w:tcPr>
          <w:p w14:paraId="79339437">
            <w:pPr>
              <w:keepNext/>
              <w:spacing w:before="40" w:after="40" w:line="276" w:lineRule="auto"/>
              <w:ind w:firstLine="0"/>
              <w:jc w:val="center"/>
            </w:pPr>
            <w:r>
              <w:rPr>
                <w:color w:val="C00000"/>
                <w:sz w:val="20"/>
              </w:rPr>
              <w:t>________</w:t>
            </w:r>
          </w:p>
        </w:tc>
        <w:tc>
          <w:tcPr>
            <w:tcW w:w="1814" w:type="dxa"/>
            <w:vAlign w:val="center"/>
          </w:tcPr>
          <w:p w14:paraId="4AC9F12C">
            <w:pPr>
              <w:keepNext/>
              <w:spacing w:before="40" w:after="40" w:line="276" w:lineRule="auto"/>
              <w:ind w:firstLine="0"/>
              <w:jc w:val="center"/>
            </w:pPr>
            <w:r>
              <w:rPr>
                <w:color w:val="C00000"/>
                <w:sz w:val="20"/>
              </w:rPr>
              <w:t>________</w:t>
            </w:r>
          </w:p>
        </w:tc>
      </w:tr>
      <w:tr w14:paraId="6614D6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814" w:type="dxa"/>
            <w:vAlign w:val="center"/>
          </w:tcPr>
          <w:p w14:paraId="75AE1198">
            <w:pPr>
              <w:keepNext/>
              <w:spacing w:before="40" w:after="40" w:line="276" w:lineRule="auto"/>
              <w:ind w:firstLine="0"/>
              <w:jc w:val="center"/>
            </w:pPr>
            <w:r>
              <w:rPr>
                <w:sz w:val="20"/>
              </w:rPr>
              <w:t>5</w:t>
            </w:r>
          </w:p>
        </w:tc>
        <w:tc>
          <w:tcPr>
            <w:tcW w:w="1814" w:type="dxa"/>
            <w:vAlign w:val="center"/>
          </w:tcPr>
          <w:p w14:paraId="31E5E07E">
            <w:pPr>
              <w:keepNext/>
              <w:spacing w:before="40" w:after="40" w:line="276" w:lineRule="auto"/>
              <w:ind w:firstLine="0"/>
              <w:jc w:val="center"/>
            </w:pPr>
            <w:r>
              <w:rPr>
                <w:color w:val="C00000"/>
                <w:sz w:val="20"/>
              </w:rPr>
              <w:t>________</w:t>
            </w:r>
          </w:p>
        </w:tc>
        <w:tc>
          <w:tcPr>
            <w:tcW w:w="1814" w:type="dxa"/>
            <w:vAlign w:val="center"/>
          </w:tcPr>
          <w:p w14:paraId="5AE20761">
            <w:pPr>
              <w:keepNext/>
              <w:spacing w:before="40" w:after="40" w:line="276" w:lineRule="auto"/>
              <w:ind w:firstLine="0"/>
              <w:jc w:val="center"/>
            </w:pPr>
            <w:r>
              <w:rPr>
                <w:color w:val="C00000"/>
                <w:sz w:val="20"/>
              </w:rPr>
              <w:t>________</w:t>
            </w:r>
          </w:p>
        </w:tc>
        <w:tc>
          <w:tcPr>
            <w:tcW w:w="1814" w:type="dxa"/>
            <w:vAlign w:val="center"/>
          </w:tcPr>
          <w:p w14:paraId="2C420AA0">
            <w:pPr>
              <w:keepNext/>
              <w:spacing w:before="40" w:after="40" w:line="276" w:lineRule="auto"/>
              <w:ind w:firstLine="0"/>
              <w:jc w:val="center"/>
            </w:pPr>
            <w:r>
              <w:rPr>
                <w:color w:val="C00000"/>
                <w:sz w:val="20"/>
              </w:rPr>
              <w:t>________</w:t>
            </w:r>
          </w:p>
        </w:tc>
        <w:tc>
          <w:tcPr>
            <w:tcW w:w="1814" w:type="dxa"/>
            <w:vAlign w:val="center"/>
          </w:tcPr>
          <w:p w14:paraId="7C9E75A9">
            <w:pPr>
              <w:keepNext/>
              <w:spacing w:before="40" w:after="40" w:line="276" w:lineRule="auto"/>
              <w:ind w:firstLine="0"/>
              <w:jc w:val="center"/>
            </w:pPr>
            <w:r>
              <w:rPr>
                <w:color w:val="C00000"/>
                <w:sz w:val="20"/>
              </w:rPr>
              <w:t>________</w:t>
            </w:r>
          </w:p>
        </w:tc>
      </w:tr>
      <w:tr w14:paraId="6864E5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814" w:type="dxa"/>
            <w:vAlign w:val="center"/>
          </w:tcPr>
          <w:p w14:paraId="4885DF65">
            <w:pPr>
              <w:spacing w:before="40" w:after="40" w:line="276" w:lineRule="auto"/>
              <w:ind w:firstLine="0"/>
              <w:jc w:val="center"/>
            </w:pPr>
            <w:r>
              <w:rPr>
                <w:sz w:val="20"/>
              </w:rPr>
              <w:t>6</w:t>
            </w:r>
          </w:p>
        </w:tc>
        <w:tc>
          <w:tcPr>
            <w:tcW w:w="1814" w:type="dxa"/>
            <w:vAlign w:val="center"/>
          </w:tcPr>
          <w:p w14:paraId="52D8005B">
            <w:pPr>
              <w:spacing w:before="40" w:after="40" w:line="276" w:lineRule="auto"/>
              <w:ind w:firstLine="0"/>
              <w:jc w:val="center"/>
            </w:pPr>
            <w:r>
              <w:rPr>
                <w:color w:val="C00000"/>
                <w:sz w:val="20"/>
              </w:rPr>
              <w:t>________</w:t>
            </w:r>
          </w:p>
        </w:tc>
        <w:tc>
          <w:tcPr>
            <w:tcW w:w="1814" w:type="dxa"/>
            <w:vAlign w:val="center"/>
          </w:tcPr>
          <w:p w14:paraId="439274A8">
            <w:pPr>
              <w:spacing w:before="40" w:after="40" w:line="276" w:lineRule="auto"/>
              <w:ind w:firstLine="0"/>
              <w:jc w:val="center"/>
            </w:pPr>
            <w:r>
              <w:rPr>
                <w:color w:val="C00000"/>
                <w:sz w:val="20"/>
              </w:rPr>
              <w:t>________</w:t>
            </w:r>
          </w:p>
        </w:tc>
        <w:tc>
          <w:tcPr>
            <w:tcW w:w="1814" w:type="dxa"/>
            <w:vAlign w:val="center"/>
          </w:tcPr>
          <w:p w14:paraId="64922373">
            <w:pPr>
              <w:spacing w:before="40" w:after="40" w:line="276" w:lineRule="auto"/>
              <w:ind w:firstLine="0"/>
              <w:jc w:val="center"/>
            </w:pPr>
            <w:r>
              <w:rPr>
                <w:color w:val="C00000"/>
                <w:sz w:val="20"/>
              </w:rPr>
              <w:t>________</w:t>
            </w:r>
          </w:p>
        </w:tc>
        <w:tc>
          <w:tcPr>
            <w:tcW w:w="1814" w:type="dxa"/>
            <w:vAlign w:val="center"/>
          </w:tcPr>
          <w:p w14:paraId="5566EB7C">
            <w:pPr>
              <w:spacing w:before="40" w:after="40" w:line="276" w:lineRule="auto"/>
              <w:ind w:firstLine="0"/>
              <w:jc w:val="center"/>
            </w:pPr>
            <w:r>
              <w:rPr>
                <w:color w:val="C00000"/>
                <w:sz w:val="20"/>
              </w:rPr>
              <w:t>________</w:t>
            </w:r>
          </w:p>
        </w:tc>
      </w:tr>
    </w:tbl>
    <w:p w14:paraId="01D045E3"/>
    <w:p w14:paraId="2E15BE3A">
      <w:r>
        <w:t>表2-2中的空位不代表零值。完整模型还应说明D-H末端坐标系与控制器法兰坐标系的关系。工具延伸长度和相机安装位置属于末端附加变换，不应为方便计算而随意合并到某一连杆尺寸中，否则切换工具或标定参数时容易使运动学模型失去一致性。</w:t>
      </w:r>
    </w:p>
    <w:p w14:paraId="132F89B9">
      <w:pPr>
        <w:pStyle w:val="3"/>
      </w:pPr>
      <w:bookmarkStart w:id="22" w:name="_Toc243339202"/>
      <w:r>
        <w:t>2.3 正逆运动学分析</w:t>
      </w:r>
      <w:bookmarkEnd w:id="22"/>
    </w:p>
    <w:p w14:paraId="21C32FBD">
      <w:pPr>
        <w:pStyle w:val="4"/>
        <w:spacing w:before="240" w:after="240"/>
      </w:pPr>
      <w:bookmarkStart w:id="23" w:name="_Toc243339203"/>
      <w:r>
        <w:t>2.3.1 正运动学求解</w:t>
      </w:r>
      <w:bookmarkEnd w:id="23"/>
    </w:p>
    <w:p w14:paraId="580B1B9B">
      <w:r>
        <w:t>正运动学以六个关节角为输入，通过连杆变换连乘获得末端位姿。如果D-H起始系与基坐标系之间存在固定变换T_B0，D-H末端系与法兰之间存在固定变换T_6F，则法兰和工具位姿分别表示为：</w:t>
      </w:r>
    </w:p>
    <w:p w14:paraId="3D2F011F">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BF</m:t>
            </m:r>
            <m:ctrlPr>
              <w:rPr>
                <w:rFonts w:ascii="Cambria Math" w:hAnsi="Cambria Math"/>
              </w:rPr>
            </m:ctrlPr>
          </m:sub>
        </m:sSub>
        <m:r>
          <m:rPr>
            <m:sty m:val="p"/>
          </m:rPr>
          <w:rPr>
            <w:rFonts w:ascii="Cambria Math" w:hAnsi="Cambria Math"/>
          </w:rPr>
          <m:t>(q)=</m:t>
        </m:r>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B0</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ctrlPr>
              <w:rPr>
                <w:rFonts w:ascii="Cambria Math" w:hAnsi="Cambria Math"/>
              </w:rPr>
            </m:ctrlPr>
          </m:e>
          <m:sub>
            <m:r>
              <m:rPr>
                <m:sty m:val="p"/>
              </m:rPr>
              <w:rPr>
                <w:rFonts w:ascii="Cambria Math" w:hAnsi="Cambria Math"/>
              </w:rPr>
              <m:t>i=1</m:t>
            </m:r>
            <m:ctrlPr>
              <w:rPr>
                <w:rFonts w:ascii="Cambria Math" w:hAnsi="Cambria Math"/>
              </w:rPr>
            </m:ctrlPr>
          </m:sub>
          <m:sup>
            <m:r>
              <m:rPr>
                <m:sty m:val="p"/>
              </m:rPr>
              <w:rPr>
                <w:rFonts w:ascii="Cambria Math" w:hAnsi="Cambria Math"/>
              </w:rPr>
              <m:t>6</m:t>
            </m:r>
            <m:ctrlPr>
              <w:rPr>
                <w:rFonts w:ascii="Cambria Math" w:hAnsi="Cambria Math"/>
              </w:rPr>
            </m:ctrlPr>
          </m:sup>
        </m:sSubSup>
        <m:sSub>
          <m:sSubPr>
            <m:ctrlPr>
              <w:rPr>
                <w:rFonts w:ascii="Cambria Math" w:hAnsi="Cambria Math"/>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6F</m:t>
            </m:r>
            <m:ctrlPr>
              <w:rPr>
                <w:rFonts w:ascii="Cambria Math" w:hAnsi="Cambria Math"/>
              </w:rPr>
            </m:ctrlP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BT</m:t>
            </m:r>
            <m:ctrlPr>
              <w:rPr>
                <w:rFonts w:ascii="Cambria Math" w:hAnsi="Cambria Math"/>
              </w:rPr>
            </m:ctrlPr>
          </m:sub>
        </m:sSub>
        <m:r>
          <m:rPr>
            <m:sty m:val="p"/>
          </m:rPr>
          <w:rPr>
            <w:rFonts w:ascii="Cambria Math" w:hAnsi="Cambria Math"/>
          </w:rPr>
          <m:t>(q)=</m:t>
        </m:r>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BF</m:t>
            </m:r>
            <m:ctrlPr>
              <w:rPr>
                <w:rFonts w:ascii="Cambria Math" w:hAnsi="Cambria Math"/>
              </w:rPr>
            </m:ctrlPr>
          </m:sub>
        </m:sSub>
        <m:r>
          <m:rPr>
            <m:sty m:val="p"/>
          </m:rPr>
          <w:rPr>
            <w:rFonts w:ascii="Cambria Math" w:hAnsi="Cambria Math"/>
          </w:rPr>
          <m:t>(q)</m:t>
        </m:r>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FT</m:t>
            </m:r>
            <m:ctrlPr>
              <w:rPr>
                <w:rFonts w:ascii="Cambria Math" w:hAnsi="Cambria Math"/>
              </w:rPr>
            </m:ctrlPr>
          </m:sub>
        </m:sSub>
      </m:oMath>
      <w:r>
        <w:rPr>
          <w:sz w:val="21"/>
        </w:rPr>
        <w:t xml:space="preserve">    （2-8）</w:t>
      </w:r>
    </w:p>
    <w:p w14:paraId="4F4AC6BF">
      <w:r>
        <w:t>式中，T_FT为法兰到工具中心点的固定变换。对同一组关节角，改变工具参数会改变工具中心点的位置，而不会改变法兰位姿。因此，验证正运动学时必须说明比较对象是法兰还是工具中心点。若控制器已经在当前TCP下输出工具位姿，再次乘以T_FT会造成重复补偿。</w:t>
      </w:r>
    </w:p>
    <w:p w14:paraId="02B767FB">
      <w:r>
        <w:t>正运动学的计算流程为：读取关节角并统一单位，叠加模型定义中的零位偏置，计算六个连杆矩阵，乘入基座及法兰固定变换，最后按需要转换到工具中心点。该流程既用于检查逆解，也用于记录执行轨迹与分析工作空间。</w:t>
      </w:r>
    </w:p>
    <w:p w14:paraId="511CAC73">
      <w:pPr>
        <w:pStyle w:val="4"/>
        <w:spacing w:before="240" w:after="240"/>
      </w:pPr>
      <w:bookmarkStart w:id="24" w:name="_Toc243339204"/>
      <w:r>
        <w:t>2.3.2 逆运动学求解</w:t>
      </w:r>
      <w:bookmarkEnd w:id="24"/>
    </w:p>
    <w:p w14:paraId="54108E52">
      <w:r>
        <w:t>逆运动学根据期望工具位姿求取满足约束的关节角。首先将工具目标转为法兰目标，再调用与实机一致的求解器。本文不将调用已有求解器写成自行推导的解析逆解；应在部署说明中明确求解器来源、版本和输入输出约定。</w:t>
      </w:r>
    </w:p>
    <w:p w14:paraId="1A30C8C4">
      <w:pPr>
        <w:spacing w:before="120" w:after="120" w:line="300" w:lineRule="auto"/>
        <w:ind w:firstLine="0"/>
        <w:jc w:val="center"/>
      </w:pPr>
      <m:oMath>
        <m:sSubSup>
          <m:sSubSupPr>
            <m:ctrlPr>
              <w:rPr>
                <w:rFonts w:ascii="Cambria Math" w:hAnsi="Cambria Math"/>
              </w:rPr>
            </m:ctrlPr>
          </m:sSubSupPr>
          <m:e>
            <m:r>
              <m:rPr>
                <m:sty m:val="p"/>
              </m:rPr>
              <w:rPr>
                <w:rFonts w:ascii="Cambria Math" w:hAnsi="Cambria Math"/>
              </w:rPr>
              <m:t>T</m:t>
            </m:r>
            <m:ctrlPr>
              <w:rPr>
                <w:rFonts w:ascii="Cambria Math" w:hAnsi="Cambria Math"/>
              </w:rPr>
            </m:ctrlPr>
          </m:e>
          <m:sub>
            <m:r>
              <m:rPr>
                <m:sty m:val="p"/>
              </m:rPr>
              <w:rPr>
                <w:rFonts w:ascii="Cambria Math" w:hAnsi="Cambria Math"/>
              </w:rPr>
              <m:t>BF</m:t>
            </m:r>
            <m:ctrlPr>
              <w:rPr>
                <w:rFonts w:ascii="Cambria Math" w:hAnsi="Cambria Math"/>
              </w:rPr>
            </m:ctrlPr>
          </m:sub>
          <m:sup>
            <m:r>
              <m:rPr>
                <m:sty m:val="p"/>
              </m:rPr>
              <w:rPr>
                <w:rFonts w:ascii="Cambria Math" w:hAnsi="Cambria Math"/>
              </w:rPr>
              <m:t>d</m:t>
            </m:r>
            <m:ctrlPr>
              <w:rPr>
                <w:rFonts w:ascii="Cambria Math" w:hAnsi="Cambria Math"/>
              </w:rPr>
            </m:ctrlP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T</m:t>
            </m:r>
            <m:ctrlPr>
              <w:rPr>
                <w:rFonts w:ascii="Cambria Math" w:hAnsi="Cambria Math"/>
              </w:rPr>
            </m:ctrlPr>
          </m:e>
          <m:sub>
            <m:r>
              <m:rPr>
                <m:sty m:val="p"/>
              </m:rPr>
              <w:rPr>
                <w:rFonts w:ascii="Cambria Math" w:hAnsi="Cambria Math"/>
              </w:rPr>
              <m:t>BT</m:t>
            </m:r>
            <m:ctrlPr>
              <w:rPr>
                <w:rFonts w:ascii="Cambria Math" w:hAnsi="Cambria Math"/>
              </w:rPr>
            </m:ctrlPr>
          </m:sub>
          <m:sup>
            <m:r>
              <m:rPr>
                <m:sty m:val="p"/>
              </m:rPr>
              <w:rPr>
                <w:rFonts w:ascii="Cambria Math" w:hAnsi="Cambria Math"/>
              </w:rPr>
              <m:t>d</m:t>
            </m:r>
            <m:ctrlPr>
              <w:rPr>
                <w:rFonts w:ascii="Cambria Math" w:hAnsi="Cambria Math"/>
              </w:rPr>
            </m:ctrlPr>
          </m:sup>
        </m:sSubSup>
        <m:sSubSup>
          <m:sSubSupPr>
            <m:ctrlPr>
              <w:rPr>
                <w:rFonts w:ascii="Cambria Math" w:hAnsi="Cambria Math"/>
              </w:rPr>
            </m:ctrlPr>
          </m:sSubSupPr>
          <m:e>
            <m:r>
              <m:rPr>
                <m:sty m:val="p"/>
              </m:rPr>
              <w:rPr>
                <w:rFonts w:ascii="Cambria Math" w:hAnsi="Cambria Math"/>
              </w:rPr>
              <m:t>T</m:t>
            </m:r>
            <m:ctrlPr>
              <w:rPr>
                <w:rFonts w:ascii="Cambria Math" w:hAnsi="Cambria Math"/>
              </w:rPr>
            </m:ctrlPr>
          </m:e>
          <m:sub>
            <m:r>
              <m:rPr>
                <m:sty m:val="p"/>
              </m:rPr>
              <w:rPr>
                <w:rFonts w:ascii="Cambria Math" w:hAnsi="Cambria Math"/>
              </w:rPr>
              <m:t>FT</m:t>
            </m:r>
            <m:ctrlPr>
              <w:rPr>
                <w:rFonts w:ascii="Cambria Math" w:hAnsi="Cambria Math"/>
              </w:rPr>
            </m:ctrlPr>
          </m:sub>
          <m:sup>
            <m:r>
              <m:rPr>
                <m:sty m:val="p"/>
              </m:rPr>
              <w:rPr>
                <w:rFonts w:ascii="Cambria Math" w:hAnsi="Cambria Math"/>
              </w:rPr>
              <m:t>−1</m:t>
            </m:r>
            <m:ctrlPr>
              <w:rPr>
                <w:rFonts w:ascii="Cambria Math" w:hAnsi="Cambria Math"/>
              </w:rPr>
            </m:ctrlPr>
          </m:sup>
        </m:sSubSup>
        <m:r>
          <m:rPr>
            <m:sty m:val="p"/>
          </m:rPr>
          <w:rPr>
            <w:rFonts w:ascii="Cambria Math" w:hAnsi="Cambria Math"/>
          </w:rPr>
          <m:t>,    FK(q)=</m:t>
        </m:r>
        <m:sSubSup>
          <m:sSubSupPr>
            <m:ctrlPr>
              <w:rPr>
                <w:rFonts w:ascii="Cambria Math" w:hAnsi="Cambria Math"/>
              </w:rPr>
            </m:ctrlPr>
          </m:sSubSupPr>
          <m:e>
            <m:r>
              <m:rPr>
                <m:sty m:val="p"/>
              </m:rPr>
              <w:rPr>
                <w:rFonts w:ascii="Cambria Math" w:hAnsi="Cambria Math"/>
              </w:rPr>
              <m:t>T</m:t>
            </m:r>
            <m:ctrlPr>
              <w:rPr>
                <w:rFonts w:ascii="Cambria Math" w:hAnsi="Cambria Math"/>
              </w:rPr>
            </m:ctrlPr>
          </m:e>
          <m:sub>
            <m:r>
              <m:rPr>
                <m:sty m:val="p"/>
              </m:rPr>
              <w:rPr>
                <w:rFonts w:ascii="Cambria Math" w:hAnsi="Cambria Math"/>
              </w:rPr>
              <m:t>BF</m:t>
            </m:r>
            <m:ctrlPr>
              <w:rPr>
                <w:rFonts w:ascii="Cambria Math" w:hAnsi="Cambria Math"/>
              </w:rPr>
            </m:ctrlPr>
          </m:sub>
          <m:sup>
            <m:r>
              <m:rPr>
                <m:sty m:val="p"/>
              </m:rPr>
              <w:rPr>
                <w:rFonts w:ascii="Cambria Math" w:hAnsi="Cambria Math"/>
              </w:rPr>
              <m:t>d</m:t>
            </m:r>
            <m:ctrlPr>
              <w:rPr>
                <w:rFonts w:ascii="Cambria Math" w:hAnsi="Cambria Math"/>
              </w:rPr>
            </m:ctrlPr>
          </m:sup>
        </m:sSubSup>
      </m:oMath>
      <w:r>
        <w:rPr>
          <w:sz w:val="21"/>
        </w:rPr>
        <w:t xml:space="preserve">    （2-9）</w:t>
      </w:r>
    </w:p>
    <w:p w14:paraId="5C92CD09">
      <w:r>
        <w:t>六自由度机械臂可能存在多组满足同一末端位姿的逆解，也可能因关节限制、姿态要求或几何位置而无解。对目标序列逐点求解时，若每次任意选取一个可行解，关节角可能出现较大跳变。本文用与上一时刻关节状态接近、满足关节限位且不发生碰撞作为选解原则；当存在多个候选时，可用加权关节位移作为排序依据。</w:t>
      </w:r>
    </w:p>
    <w:p w14:paraId="06D0B734">
      <w:pPr>
        <w:spacing w:before="120" w:after="120" w:line="300" w:lineRule="auto"/>
        <w:ind w:firstLine="0"/>
        <w:jc w:val="center"/>
      </w:pPr>
      <m:oMath>
        <m:sSup>
          <m:sSupPr>
            <m:ctrlPr>
              <w:rPr>
                <w:rFonts w:ascii="Cambria Math" w:hAnsi="Cambria Math"/>
              </w:rPr>
            </m:ctrlPr>
          </m:sSupPr>
          <m:e>
            <m:r>
              <m:rPr>
                <m:sty m:val="p"/>
              </m:rPr>
              <w:rPr>
                <w:rFonts w:ascii="Cambria Math" w:hAnsi="Cambria Math"/>
              </w:rPr>
              <m:t>q</m:t>
            </m:r>
            <m:ctrlPr>
              <w:rPr>
                <w:rFonts w:ascii="Cambria Math" w:hAnsi="Cambria Math"/>
              </w:rPr>
            </m:ctrlPr>
          </m:e>
          <m:sup>
            <m:r>
              <m:rPr>
                <m:sty m:val="p"/>
              </m:rPr>
              <w:rPr>
                <w:rFonts w:ascii="Cambria Math" w:hAnsi="Cambria Math"/>
              </w:rPr>
              <m:t>∗</m:t>
            </m:r>
            <m:ctrlPr>
              <w:rPr>
                <w:rFonts w:ascii="Cambria Math" w:hAnsi="Cambria Math"/>
              </w:rPr>
            </m:ctrlPr>
          </m:sup>
        </m:sSup>
        <m:r>
          <m:rPr>
            <m:sty m:val="p"/>
          </m:rPr>
          <w:rPr>
            <w:rFonts w:ascii="Cambria Math" w:hAnsi="Cambria Math"/>
          </w:rPr>
          <m:t>=argmi</m:t>
        </m:r>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q∈</m:t>
            </m:r>
            <m:sSub>
              <m:sSubPr>
                <m:ctrlPr>
                  <w:rPr>
                    <w:rFonts w:ascii="Cambria Math" w:hAnsi="Cambria Math"/>
                  </w:rPr>
                </m:ctrlPr>
              </m:sSubPr>
              <m:e>
                <m:r>
                  <m:rPr>
                    <m:sty m:val="p"/>
                  </m:rPr>
                  <w:rPr>
                    <w:rFonts w:ascii="Cambria Math" w:hAnsi="Cambria Math"/>
                  </w:rPr>
                  <m:t>Q</m:t>
                </m:r>
                <m:ctrlPr>
                  <w:rPr>
                    <w:rFonts w:ascii="Cambria Math" w:hAnsi="Cambria Math"/>
                  </w:rPr>
                </m:ctrlPr>
              </m:e>
              <m:sub>
                <m:r>
                  <m:rPr>
                    <m:sty m:val="p"/>
                  </m:rPr>
                  <w:rPr>
                    <w:rFonts w:ascii="Cambria Math" w:hAnsi="Cambria Math"/>
                  </w:rPr>
                  <m:t>valid</m:t>
                </m:r>
                <m:ctrlPr>
                  <w:rPr>
                    <w:rFonts w:ascii="Cambria Math" w:hAnsi="Cambria Math"/>
                  </w:rPr>
                </m:ctrlPr>
              </m:sub>
            </m:sSub>
            <m:ctrlPr>
              <w:rPr>
                <w:rFonts w:ascii="Cambria Math" w:hAnsi="Cambria Math"/>
              </w:rPr>
            </m:ctrlPr>
          </m:sub>
        </m:sSub>
        <m:sSubSup>
          <m:sSubSupPr>
            <m:ctrlPr>
              <w:rPr>
                <w:rFonts w:ascii="Cambria Math" w:hAnsi="Cambria Math"/>
              </w:rPr>
            </m:ctrlPr>
          </m:sSubSupPr>
          <m:e>
            <m:r>
              <m:rPr>
                <m:sty m:val="p"/>
              </m:rPr>
              <w:rPr>
                <w:rFonts w:ascii="Cambria Math" w:hAnsi="Cambria Math"/>
              </w:rPr>
              <m:t>∑</m:t>
            </m:r>
            <m:ctrlPr>
              <w:rPr>
                <w:rFonts w:ascii="Cambria Math" w:hAnsi="Cambria Math"/>
              </w:rPr>
            </m:ctrlPr>
          </m:e>
          <m:sub>
            <m:r>
              <m:rPr>
                <m:sty m:val="p"/>
              </m:rPr>
              <w:rPr>
                <w:rFonts w:ascii="Cambria Math" w:hAnsi="Cambria Math"/>
              </w:rPr>
              <m:t>j=1</m:t>
            </m:r>
            <m:ctrlPr>
              <w:rPr>
                <w:rFonts w:ascii="Cambria Math" w:hAnsi="Cambria Math"/>
              </w:rPr>
            </m:ctrlPr>
          </m:sub>
          <m:sup>
            <m:r>
              <m:rPr>
                <m:sty m:val="p"/>
              </m:rPr>
              <w:rPr>
                <w:rFonts w:ascii="Cambria Math" w:hAnsi="Cambria Math"/>
              </w:rPr>
              <m:t>6</m:t>
            </m:r>
            <m:ctrlPr>
              <w:rPr>
                <w:rFonts w:ascii="Cambria Math" w:hAnsi="Cambria Math"/>
              </w:rPr>
            </m:ctrlPr>
          </m:sup>
        </m:sSubSup>
        <m:sSub>
          <m:sSubPr>
            <m:ctrlPr>
              <w:rPr>
                <w:rFonts w:ascii="Cambria Math" w:hAnsi="Cambria Math"/>
              </w:rPr>
            </m:ctrlPr>
          </m:sSubPr>
          <m:e>
            <m:r>
              <m:rPr>
                <m:sty m:val="p"/>
              </m:rPr>
              <w:rPr>
                <w:rFonts w:ascii="Cambria Math" w:hAnsi="Cambria Math"/>
              </w:rPr>
              <m:t>w</m:t>
            </m:r>
            <m:ctrlPr>
              <w:rPr>
                <w:rFonts w:ascii="Cambria Math" w:hAnsi="Cambria Math"/>
              </w:rPr>
            </m:ctrlPr>
          </m:e>
          <m:sub>
            <m:r>
              <m:rPr>
                <m:sty m:val="p"/>
              </m:rPr>
              <w:rPr>
                <w:rFonts w:ascii="Cambria Math" w:hAnsi="Cambria Math"/>
              </w:rPr>
              <m:t>j</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ctrlPr>
              <w:rPr>
                <w:rFonts w:ascii="Cambria Math" w:hAnsi="Cambria Math"/>
              </w:rPr>
            </m:ctrlPr>
          </m:e>
          <m:sub>
            <m:r>
              <m:rPr>
                <m:sty m:val="p"/>
              </m:rPr>
              <w:rPr>
                <w:rFonts w:ascii="Cambria Math" w:hAnsi="Cambria Math"/>
              </w:rPr>
              <m:t>j</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ctrlPr>
              <w:rPr>
                <w:rFonts w:ascii="Cambria Math" w:hAnsi="Cambria Math"/>
              </w:rPr>
            </m:ctrlPr>
          </m:e>
          <m:sub>
            <m:r>
              <m:rPr>
                <m:sty m:val="p"/>
              </m:rPr>
              <w:rPr>
                <w:rFonts w:ascii="Cambria Math" w:hAnsi="Cambria Math"/>
              </w:rPr>
              <m:t>j,prev</m:t>
            </m:r>
            <m:ctrlPr>
              <w:rPr>
                <w:rFonts w:ascii="Cambria Math" w:hAnsi="Cambria Math"/>
              </w:rPr>
            </m:ctrlPr>
          </m:sub>
        </m:sSub>
        <m:sSup>
          <m:sSupPr>
            <m:ctrlPr>
              <w:rPr>
                <w:rFonts w:ascii="Cambria Math" w:hAnsi="Cambria Math"/>
              </w:rPr>
            </m:ctrlPr>
          </m:sSupPr>
          <m:e>
            <m:r>
              <m:rPr>
                <m:sty m:val="p"/>
              </m:rPr>
              <w:rPr>
                <w:rFonts w:ascii="Cambria Math" w:hAnsi="Cambria Math"/>
              </w:rPr>
              <m:t>)</m:t>
            </m:r>
            <m:ctrlPr>
              <w:rPr>
                <w:rFonts w:ascii="Cambria Math" w:hAnsi="Cambria Math"/>
              </w:rPr>
            </m:ctrlPr>
          </m:e>
          <m:sup>
            <m:r>
              <m:rPr>
                <m:sty m:val="p"/>
              </m:rPr>
              <w:rPr>
                <w:rFonts w:ascii="Cambria Math" w:hAnsi="Cambria Math"/>
              </w:rPr>
              <m:t>2</m:t>
            </m:r>
            <m:ctrlPr>
              <w:rPr>
                <w:rFonts w:ascii="Cambria Math" w:hAnsi="Cambria Math"/>
              </w:rPr>
            </m:ctrlPr>
          </m:sup>
        </m:sSup>
      </m:oMath>
      <w:r>
        <w:rPr>
          <w:sz w:val="21"/>
        </w:rPr>
        <w:t xml:space="preserve">    （2-10）</w:t>
      </w:r>
    </w:p>
    <w:p w14:paraId="1010ECB5">
      <w:r>
        <w:t>式中，Q_valid为经限位、姿态残差和必要碰撞条件筛选后的候选解集合，w_j为关节权重。旋转关节的角度差需考虑实际允许的转动范围，不应一律按最短角度差跨越控制器限位。若求解器内部已经完成选解，应记录其种子关节和返回码，而不是再次假定其采用式（2-10）的具体实现。</w:t>
      </w:r>
    </w:p>
    <w:p w14:paraId="745592AC">
      <w:r>
        <w:rPr>
          <w:color w:val="C00000"/>
          <w:sz w:val="22"/>
        </w:rPr>
        <w:t>【待补D02：实机逆解接口名称、库或控制器版本、关节种子与选解方式、返回码解释，以及工具位姿和法兰位姿的接口约定。】</w:t>
      </w:r>
    </w:p>
    <w:p w14:paraId="11E8D629">
      <w:pPr>
        <w:pStyle w:val="4"/>
        <w:spacing w:before="240" w:after="240"/>
      </w:pPr>
      <w:bookmarkStart w:id="25" w:name="_Toc243339205"/>
      <w:r>
        <w:t>2.3.3 运动学模型验证</w:t>
      </w:r>
      <w:bookmarkEnd w:id="25"/>
    </w:p>
    <w:p w14:paraId="2C6C982C">
      <w:r>
        <w:t>运动学验证的目标是确认坐标、单位、零位和参数的一致性。可优先使用已有离线关节数据进行正运动学比较，再对逆解进行正解回代。对每组关节角，比较模型计算与控制器或可信仿真模型输出的位置及姿态；对每个逆解结果，将其回代后与期望位姿比较。回代误差小仅说明模型内部一致，还需要独立输出验证模型是否与实机一致。</w:t>
      </w:r>
    </w:p>
    <w:p w14:paraId="5D168914">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p</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model</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ref</m:t>
            </m:r>
            <m:ctrlPr>
              <w:rPr>
                <w:rFonts w:ascii="Cambria Math" w:hAnsi="Cambria Math"/>
              </w:rPr>
            </m:ctrlPr>
          </m:sub>
        </m:sSub>
        <m:sSub>
          <m:sSubPr>
            <m:ctrlPr>
              <w:rPr>
                <w:rFonts w:ascii="Cambria Math" w:hAnsi="Cambria Math"/>
              </w:rPr>
            </m:ctrlPr>
          </m:sSubPr>
          <m:e>
            <m:r>
              <m:rPr>
                <m:sty m:val="p"/>
              </m:rPr>
              <w:rPr>
                <w:rFonts w:ascii="Cambria Math" w:hAnsi="Cambria Math"/>
              </w:rPr>
              <m:t>‖</m:t>
            </m:r>
            <m:ctrlPr>
              <w:rPr>
                <w:rFonts w:ascii="Cambria Math" w:hAnsi="Cambria Math"/>
              </w:rPr>
            </m:ctrlPr>
          </m:e>
          <m:sub>
            <m:r>
              <m:rPr>
                <m:sty m:val="p"/>
              </m:rPr>
              <w:rPr>
                <w:rFonts w:ascii="Cambria Math" w:hAnsi="Cambria Math"/>
              </w:rPr>
              <m:t>2</m:t>
            </m:r>
            <m:ctrlPr>
              <w:rPr>
                <w:rFonts w:ascii="Cambria Math" w:hAnsi="Cambria Math"/>
              </w:rPr>
            </m:ctrlP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R</m:t>
            </m:r>
            <m:ctrlPr>
              <w:rPr>
                <w:rFonts w:ascii="Cambria Math" w:hAnsi="Cambria Math"/>
              </w:rPr>
            </m:ctrlPr>
          </m:sub>
        </m:sSub>
        <m:r>
          <m:rPr>
            <m:sty m:val="p"/>
          </m:rPr>
          <w:rPr>
            <w:rFonts w:ascii="Cambria Math" w:hAnsi="Cambria Math"/>
          </w:rPr>
          <m:t>=arccos(</m:t>
        </m:r>
        <m:f>
          <m:fPr>
            <m:ctrlPr>
              <w:rPr>
                <w:rFonts w:ascii="Cambria Math" w:hAnsi="Cambria Math"/>
              </w:rPr>
            </m:ctrlPr>
          </m:fPr>
          <m:num>
            <m:r>
              <m:rPr>
                <m:sty m:val="p"/>
              </m:rPr>
              <w:rPr>
                <w:rFonts w:ascii="Cambria Math" w:hAnsi="Cambria Math"/>
              </w:rPr>
              <m:t>tr(</m:t>
            </m:r>
            <m:sSubSup>
              <m:sSubSupPr>
                <m:ctrlPr>
                  <w:rPr>
                    <w:rFonts w:ascii="Cambria Math" w:hAnsi="Cambria Math"/>
                  </w:rPr>
                </m:ctrlPr>
              </m:sSubSupPr>
              <m:e>
                <m:r>
                  <m:rPr>
                    <m:sty m:val="p"/>
                  </m:rPr>
                  <w:rPr>
                    <w:rFonts w:ascii="Cambria Math" w:hAnsi="Cambria Math"/>
                  </w:rPr>
                  <m:t>R</m:t>
                </m:r>
                <m:ctrlPr>
                  <w:rPr>
                    <w:rFonts w:ascii="Cambria Math" w:hAnsi="Cambria Math"/>
                  </w:rPr>
                </m:ctrlPr>
              </m:e>
              <m:sub>
                <m:r>
                  <m:rPr>
                    <m:sty m:val="p"/>
                  </m:rPr>
                  <w:rPr>
                    <w:rFonts w:ascii="Cambria Math" w:hAnsi="Cambria Math"/>
                  </w:rPr>
                  <m:t>ref</m:t>
                </m:r>
                <m:ctrlPr>
                  <w:rPr>
                    <w:rFonts w:ascii="Cambria Math" w:hAnsi="Cambria Math"/>
                  </w:rPr>
                </m:ctrlPr>
              </m:sub>
              <m:sup>
                <m:r>
                  <m:rPr>
                    <m:sty m:val="p"/>
                  </m:rPr>
                  <w:rPr>
                    <w:rFonts w:ascii="Cambria Math" w:hAnsi="Cambria Math"/>
                  </w:rPr>
                  <m:t>T</m:t>
                </m:r>
                <m:ctrlPr>
                  <w:rPr>
                    <w:rFonts w:ascii="Cambria Math" w:hAnsi="Cambria Math"/>
                  </w:rPr>
                </m:ctrlPr>
              </m:sup>
            </m:sSubSup>
            <m:sSub>
              <m:sSubPr>
                <m:ctrlPr>
                  <w:rPr>
                    <w:rFonts w:ascii="Cambria Math" w:hAnsi="Cambria Math"/>
                  </w:rPr>
                </m:ctrlPr>
              </m:sSubPr>
              <m:e>
                <m:r>
                  <m:rPr>
                    <m:sty m:val="p"/>
                  </m:rPr>
                  <w:rPr>
                    <w:rFonts w:ascii="Cambria Math" w:hAnsi="Cambria Math"/>
                  </w:rPr>
                  <m:t>R</m:t>
                </m:r>
                <m:ctrlPr>
                  <w:rPr>
                    <w:rFonts w:ascii="Cambria Math" w:hAnsi="Cambria Math"/>
                  </w:rPr>
                </m:ctrlPr>
              </m:e>
              <m:sub>
                <m:r>
                  <m:rPr>
                    <m:sty m:val="p"/>
                  </m:rPr>
                  <w:rPr>
                    <w:rFonts w:ascii="Cambria Math" w:hAnsi="Cambria Math"/>
                  </w:rPr>
                  <m:t>model</m:t>
                </m:r>
                <m:ctrlPr>
                  <w:rPr>
                    <w:rFonts w:ascii="Cambria Math" w:hAnsi="Cambria Math"/>
                  </w:rPr>
                </m:ctrlPr>
              </m:sub>
            </m:sSub>
            <m:r>
              <m:rPr>
                <m:sty m:val="p"/>
              </m:rPr>
              <w:rPr>
                <w:rFonts w:ascii="Cambria Math" w:hAnsi="Cambria Math"/>
              </w:rPr>
              <m:t>)−1</m:t>
            </m:r>
            <m:ctrlPr>
              <w:rPr>
                <w:rFonts w:ascii="Cambria Math" w:hAnsi="Cambria Math"/>
              </w:rPr>
            </m:ctrlPr>
          </m:num>
          <m:den>
            <m:r>
              <m:rPr>
                <m:sty m:val="p"/>
              </m:rPr>
              <w:rPr>
                <w:rFonts w:ascii="Cambria Math" w:hAnsi="Cambria Math"/>
              </w:rPr>
              <m:t>2</m:t>
            </m:r>
            <m:ctrlPr>
              <w:rPr>
                <w:rFonts w:ascii="Cambria Math" w:hAnsi="Cambria Math"/>
              </w:rPr>
            </m:ctrlPr>
          </m:den>
        </m:f>
        <m:r>
          <m:rPr>
            <m:sty m:val="p"/>
          </m:rPr>
          <w:rPr>
            <w:rFonts w:ascii="Cambria Math" w:hAnsi="Cambria Math"/>
          </w:rPr>
          <m:t>)</m:t>
        </m:r>
      </m:oMath>
      <w:r>
        <w:rPr>
          <w:sz w:val="21"/>
        </w:rPr>
        <w:t xml:space="preserve">    （2-11）</w:t>
      </w:r>
    </w:p>
    <w:p w14:paraId="4495ADD7">
      <w:r>
        <w:t>姿态误差计算前应将反余弦输入截断至[-1,1]，以避免浮点误差产生无效值。样本应覆盖多个关节组合，不能只使用零位或少量相近姿态。该核查可以复用已有仿真与状态记录，无需另建一套实物试验；没有实际运行结果时，不给出虚构的误差表或工作空间云图。</w:t>
      </w:r>
    </w:p>
    <w:p w14:paraId="3D3AE853">
      <w:r>
        <w:rPr>
          <w:color w:val="C00000"/>
          <w:sz w:val="22"/>
        </w:rPr>
        <w:t>【待补D03：可复用的关节角与法兰或TCP参考位姿记录、对应工具配置、正逆解回代结果及误差统计；位置误差________，姿态误差________。】</w:t>
      </w:r>
    </w:p>
    <w:p w14:paraId="17EF7C1D">
      <w:pPr>
        <w:pStyle w:val="3"/>
      </w:pPr>
      <w:bookmarkStart w:id="26" w:name="_Toc243339206"/>
      <w:r>
        <w:t>2.4 机械臂工作空间与运动约束</w:t>
      </w:r>
      <w:bookmarkEnd w:id="26"/>
    </w:p>
    <w:p w14:paraId="597934B5">
      <w:pPr>
        <w:pStyle w:val="4"/>
        <w:spacing w:before="240" w:after="240"/>
      </w:pPr>
      <w:bookmarkStart w:id="27" w:name="_Toc243339207"/>
      <w:r>
        <w:t>2.4.1 工作空间分析</w:t>
      </w:r>
      <w:bookmarkEnd w:id="27"/>
    </w:p>
    <w:p w14:paraId="19E7EB3C">
      <w:r>
        <w:t>工作空间反映关节允许变化范围内末端能够到达的集合。基于已核实的运动学模型，可以对关节角进行采样，再利用正运动学获得末端位置点集。采样密度决定图形的细节和覆盖程度，因此工作空间散点图应同时给出采样范围、样本数和工具参数。有限采样得到的是对可达集合的近似，并不能严格证明所有未采到的位置均不可达。</w:t>
      </w:r>
    </w:p>
    <w:p w14:paraId="71380A5A">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W</m:t>
            </m:r>
            <m:ctrlPr>
              <w:rPr>
                <w:rFonts w:ascii="Cambria Math" w:hAnsi="Cambria Math"/>
              </w:rPr>
            </m:ctrlPr>
          </m:e>
          <m:sub>
            <m:r>
              <m:rPr>
                <m:sty m:val="p"/>
              </m:rPr>
              <w:rPr>
                <w:rFonts w:ascii="Cambria Math" w:hAnsi="Cambria Math"/>
              </w:rPr>
              <m:t>p</m:t>
            </m:r>
            <m:ctrlPr>
              <w:rPr>
                <w:rFonts w:ascii="Cambria Math" w:hAnsi="Cambria Math"/>
              </w:rPr>
            </m:ctrlPr>
          </m:sub>
        </m:sSub>
        <m:r>
          <m:rPr>
            <m:sty m:val="p"/>
          </m:rPr>
          <w:rPr>
            <w:rFonts w:ascii="Cambria Math" w:hAnsi="Cambria Math"/>
          </w:rPr>
          <m:t>={p(q)∣</m:t>
        </m:r>
        <m:sSub>
          <m:sSubPr>
            <m:ctrlPr>
              <w:rPr>
                <w:rFonts w:ascii="Cambria Math" w:hAnsi="Cambria Math"/>
              </w:rPr>
            </m:ctrlPr>
          </m:sSubPr>
          <m:e>
            <m:r>
              <m:rPr>
                <m:sty m:val="p"/>
              </m:rPr>
              <w:rPr>
                <w:rFonts w:ascii="Cambria Math" w:hAnsi="Cambria Math"/>
              </w:rPr>
              <m:t>q</m:t>
            </m:r>
            <m:ctrlPr>
              <w:rPr>
                <w:rFonts w:ascii="Cambria Math" w:hAnsi="Cambria Math"/>
              </w:rPr>
            </m:ctrlPr>
          </m:e>
          <m:sub>
            <m:r>
              <m:rPr>
                <m:sty m:val="p"/>
              </m:rPr>
              <w:rPr>
                <w:rFonts w:ascii="Cambria Math" w:hAnsi="Cambria Math"/>
              </w:rPr>
              <m:t>min</m:t>
            </m:r>
            <m:ctrlPr>
              <w:rPr>
                <w:rFonts w:ascii="Cambria Math" w:hAnsi="Cambria Math"/>
              </w:rPr>
            </m:ctrlPr>
          </m:sub>
        </m:sSub>
        <m:r>
          <m:rPr>
            <m:sty m:val="p"/>
          </m:rPr>
          <w:rPr>
            <w:rFonts w:ascii="Cambria Math" w:hAnsi="Cambria Math"/>
          </w:rPr>
          <m:t>≤q≤</m:t>
        </m:r>
        <m:sSub>
          <m:sSubPr>
            <m:ctrlPr>
              <w:rPr>
                <w:rFonts w:ascii="Cambria Math" w:hAnsi="Cambria Math"/>
              </w:rPr>
            </m:ctrlPr>
          </m:sSubPr>
          <m:e>
            <m:r>
              <m:rPr>
                <m:sty m:val="p"/>
              </m:rPr>
              <w:rPr>
                <w:rFonts w:ascii="Cambria Math" w:hAnsi="Cambria Math"/>
              </w:rPr>
              <m:t>q</m:t>
            </m:r>
            <m:ctrlPr>
              <w:rPr>
                <w:rFonts w:ascii="Cambria Math" w:hAnsi="Cambria Math"/>
              </w:rPr>
            </m:ctrlPr>
          </m:e>
          <m:sub>
            <m:r>
              <m:rPr>
                <m:sty m:val="p"/>
              </m:rPr>
              <w:rPr>
                <w:rFonts w:ascii="Cambria Math" w:hAnsi="Cambria Math"/>
              </w:rPr>
              <m:t>max</m:t>
            </m:r>
            <m:ctrlPr>
              <w:rPr>
                <w:rFonts w:ascii="Cambria Math" w:hAnsi="Cambria Math"/>
              </w:rPr>
            </m:ctrlP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W</m:t>
            </m:r>
            <m:ctrlPr>
              <w:rPr>
                <w:rFonts w:ascii="Cambria Math" w:hAnsi="Cambria Math"/>
              </w:rPr>
            </m:ctrlPr>
          </m:e>
          <m:sub>
            <m:r>
              <m:rPr>
                <m:sty m:val="p"/>
              </m:rPr>
              <w:rPr>
                <w:rFonts w:ascii="Cambria Math" w:hAnsi="Cambria Math"/>
              </w:rPr>
              <m:t>task</m:t>
            </m:r>
            <m:ctrlPr>
              <w:rPr>
                <w:rFonts w:ascii="Cambria Math" w:hAnsi="Cambria Math"/>
              </w:rPr>
            </m:ctrlPr>
          </m:sub>
        </m:sSub>
        <m:r>
          <m:rPr>
            <m:sty m:val="p"/>
          </m:rPr>
          <w:rPr>
            <w:rFonts w:ascii="Cambria Math" w:hAnsi="Cambria Math"/>
          </w:rPr>
          <m:t>={T(q)∣q∈</m:t>
        </m:r>
        <m:sSub>
          <m:sSubPr>
            <m:ctrlPr>
              <w:rPr>
                <w:rFonts w:ascii="Cambria Math" w:hAnsi="Cambria Math"/>
              </w:rPr>
            </m:ctrlPr>
          </m:sSubPr>
          <m:e>
            <m:r>
              <m:rPr>
                <m:sty m:val="p"/>
              </m:rPr>
              <w:rPr>
                <w:rFonts w:ascii="Cambria Math" w:hAnsi="Cambria Math"/>
              </w:rPr>
              <m:t>Q</m:t>
            </m:r>
            <m:ctrlPr>
              <w:rPr>
                <w:rFonts w:ascii="Cambria Math" w:hAnsi="Cambria Math"/>
              </w:rPr>
            </m:ctrlPr>
          </m:e>
          <m:sub>
            <m:r>
              <m:rPr>
                <m:sty m:val="p"/>
              </m:rPr>
              <w:rPr>
                <w:rFonts w:ascii="Cambria Math" w:hAnsi="Cambria Math"/>
              </w:rPr>
              <m:t>valid</m:t>
            </m:r>
            <m:ctrlPr>
              <w:rPr>
                <w:rFonts w:ascii="Cambria Math" w:hAnsi="Cambria Math"/>
              </w:rPr>
            </m:ctrlPr>
          </m:sub>
        </m:sSub>
        <m:r>
          <m:rPr>
            <m:sty m:val="p"/>
          </m:rPr>
          <w:rPr>
            <w:rFonts w:ascii="Cambria Math" w:hAnsi="Cambria Math"/>
          </w:rPr>
          <m:t>}</m:t>
        </m:r>
      </m:oMath>
      <w:r>
        <w:rPr>
          <w:sz w:val="21"/>
        </w:rPr>
        <w:t xml:space="preserve">    （2-12）</w:t>
      </w:r>
    </w:p>
    <w:p w14:paraId="0DF20952">
      <w:r>
        <w:t>位置可达空间W_p与任务位姿集合W_task不同。视觉点落在位置工作空间内，并不意味着工具沿指定法向到达该点时也有可行逆解。工具长度、朝向范围以及机械臂与床面或支架的相对位置会共同改变可执行区域。第五章生成接近点时，应对目标点与接近点分别进行位姿检查，而不能只根据一个外接球半径判断可达。</w:t>
      </w:r>
    </w:p>
    <w:p w14:paraId="195C548D">
      <w:r>
        <w:rPr>
          <w:color w:val="C00000"/>
          <w:sz w:val="22"/>
        </w:rPr>
        <w:t>【待补D04：实际关节上下限、工具配置和已有工作空间采样结果；如尚无结果，补齐模型后执行一次离线采样核查并填写采样数量及图2-1工作空间分布。】</w:t>
      </w:r>
    </w:p>
    <w:p w14:paraId="06245CD3">
      <w:pPr>
        <w:pStyle w:val="4"/>
        <w:spacing w:before="240" w:after="240"/>
      </w:pPr>
      <w:bookmarkStart w:id="28" w:name="_Toc243339208"/>
      <w:r>
        <w:t>2.4.2 关节限位与末端可达性</w:t>
      </w:r>
      <w:bookmarkEnd w:id="28"/>
    </w:p>
    <w:p w14:paraId="3C09B596">
      <w:r>
        <w:t>离散目标的可达性只是执行的必要条件。对于一段路径，还需考虑相邻路点的逆解连续性、插值段是否越限，以及执行速度和加速度是否符合控制器设置。即使每个端点均存在逆解，中间姿态仍可能经过奇异区域或发生关节分支切换。因此，本文区分目标点检查、离散路点检查和连续轨迹检查三个层级。</w:t>
      </w:r>
    </w:p>
    <w:p w14:paraId="5B881867">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q</m:t>
            </m:r>
            <m:ctrlPr>
              <w:rPr>
                <w:rFonts w:ascii="Cambria Math" w:hAnsi="Cambria Math"/>
              </w:rPr>
            </m:ctrlPr>
          </m:e>
          <m:sub>
            <m:r>
              <m:rPr>
                <m:sty m:val="p"/>
              </m:rPr>
              <w:rPr>
                <w:rFonts w:ascii="Cambria Math" w:hAnsi="Cambria Math"/>
              </w:rPr>
              <m:t>j,min</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ctrlPr>
              <w:rPr>
                <w:rFonts w:ascii="Cambria Math" w:hAnsi="Cambria Math"/>
              </w:rPr>
            </m:ctrlPr>
          </m:e>
          <m:sub>
            <m:r>
              <m:rPr>
                <m:sty m:val="p"/>
              </m:rPr>
              <w:rPr>
                <w:rFonts w:ascii="Cambria Math" w:hAnsi="Cambria Math"/>
              </w:rPr>
              <m:t>j</m:t>
            </m:r>
            <m:ctrlPr>
              <w:rPr>
                <w:rFonts w:ascii="Cambria Math" w:hAnsi="Cambria Math"/>
              </w:rPr>
            </m:ctrlPr>
          </m:sub>
        </m:sSub>
        <m:r>
          <m:rPr>
            <m:sty m:val="p"/>
          </m:rPr>
          <w:rPr>
            <w:rFonts w:ascii="Cambria Math" w:hAnsi="Cambria Math"/>
          </w:rPr>
          <m:t>(t)≤</m:t>
        </m:r>
        <m:sSub>
          <m:sSubPr>
            <m:ctrlPr>
              <w:rPr>
                <w:rFonts w:ascii="Cambria Math" w:hAnsi="Cambria Math"/>
              </w:rPr>
            </m:ctrlPr>
          </m:sSubPr>
          <m:e>
            <m:r>
              <m:rPr>
                <m:sty m:val="p"/>
              </m:rPr>
              <w:rPr>
                <w:rFonts w:ascii="Cambria Math" w:hAnsi="Cambria Math"/>
              </w:rPr>
              <m:t>q</m:t>
            </m:r>
            <m:ctrlPr>
              <w:rPr>
                <w:rFonts w:ascii="Cambria Math" w:hAnsi="Cambria Math"/>
              </w:rPr>
            </m:ctrlPr>
          </m:e>
          <m:sub>
            <m:r>
              <m:rPr>
                <m:sty m:val="p"/>
              </m:rPr>
              <w:rPr>
                <w:rFonts w:ascii="Cambria Math" w:hAnsi="Cambria Math"/>
              </w:rPr>
              <m:t>j,max</m:t>
            </m:r>
            <m:ctrlPr>
              <w:rPr>
                <w:rFonts w:ascii="Cambria Math" w:hAnsi="Cambria Math"/>
              </w:rPr>
            </m:ctrlPr>
          </m:sub>
        </m:sSub>
        <m:r>
          <m:rPr>
            <m:sty m:val="p"/>
          </m:rPr>
          <w:rPr>
            <w:rFonts w:ascii="Cambria Math" w:hAnsi="Cambria Math"/>
          </w:rPr>
          <m:t>,    |q</m:t>
        </m:r>
        <m:sSub>
          <m:sSubPr>
            <m:ctrlPr>
              <w:rPr>
                <w:rFonts w:ascii="Cambria Math" w:hAnsi="Cambria Math"/>
              </w:rPr>
            </m:ctrlPr>
          </m:sSubPr>
          <m:e>
            <m:r>
              <m:rPr>
                <m:sty m:val="p"/>
              </m:rPr>
              <w:rPr>
                <w:rFonts w:ascii="Cambria Math" w:hAnsi="Cambria Math"/>
              </w:rPr>
              <m:t>̇</m:t>
            </m:r>
            <m:ctrlPr>
              <w:rPr>
                <w:rFonts w:ascii="Cambria Math" w:hAnsi="Cambria Math"/>
              </w:rPr>
            </m:ctrlPr>
          </m:e>
          <m:sub>
            <m:r>
              <m:rPr>
                <m:sty m:val="p"/>
              </m:rPr>
              <w:rPr>
                <w:rFonts w:ascii="Cambria Math" w:hAnsi="Cambria Math"/>
              </w:rPr>
              <m:t>j</m:t>
            </m:r>
            <m:ctrlPr>
              <w:rPr>
                <w:rFonts w:ascii="Cambria Math" w:hAnsi="Cambria Math"/>
              </w:rPr>
            </m:ctrlPr>
          </m:sub>
        </m:sSub>
        <m:r>
          <m:rPr>
            <m:sty m:val="p"/>
          </m:rPr>
          <w:rPr>
            <w:rFonts w:ascii="Cambria Math" w:hAnsi="Cambria Math"/>
          </w:rPr>
          <m:t>(t)|≤</m:t>
        </m:r>
        <m:sSub>
          <m:sSubPr>
            <m:ctrlPr>
              <w:rPr>
                <w:rFonts w:ascii="Cambria Math" w:hAnsi="Cambria Math"/>
              </w:rPr>
            </m:ctrlPr>
          </m:sSubPr>
          <m:e>
            <m:r>
              <m:rPr>
                <m:sty m:val="p"/>
              </m:rPr>
              <w:rPr>
                <w:rFonts w:ascii="Cambria Math" w:hAnsi="Cambria Math"/>
              </w:rPr>
              <m:t>v</m:t>
            </m:r>
            <m:ctrlPr>
              <w:rPr>
                <w:rFonts w:ascii="Cambria Math" w:hAnsi="Cambria Math"/>
              </w:rPr>
            </m:ctrlPr>
          </m:e>
          <m:sub>
            <m:r>
              <m:rPr>
                <m:sty m:val="p"/>
              </m:rPr>
              <w:rPr>
                <w:rFonts w:ascii="Cambria Math" w:hAnsi="Cambria Math"/>
              </w:rPr>
              <m:t>j,max</m:t>
            </m:r>
            <m:ctrlPr>
              <w:rPr>
                <w:rFonts w:ascii="Cambria Math" w:hAnsi="Cambria Math"/>
              </w:rPr>
            </m:ctrlPr>
          </m:sub>
        </m:sSub>
        <m:r>
          <m:rPr>
            <m:sty m:val="p"/>
          </m:rPr>
          <w:rPr>
            <w:rFonts w:ascii="Cambria Math" w:hAnsi="Cambria Math"/>
          </w:rPr>
          <m:t>,    |q</m:t>
        </m:r>
        <m:sSub>
          <m:sSubPr>
            <m:ctrlPr>
              <w:rPr>
                <w:rFonts w:ascii="Cambria Math" w:hAnsi="Cambria Math"/>
              </w:rPr>
            </m:ctrlPr>
          </m:sSubPr>
          <m:e>
            <m:r>
              <m:rPr>
                <m:sty m:val="p"/>
              </m:rPr>
              <w:rPr>
                <w:rFonts w:ascii="Cambria Math" w:hAnsi="Cambria Math"/>
              </w:rPr>
              <m:t>̈</m:t>
            </m:r>
            <m:ctrlPr>
              <w:rPr>
                <w:rFonts w:ascii="Cambria Math" w:hAnsi="Cambria Math"/>
              </w:rPr>
            </m:ctrlPr>
          </m:e>
          <m:sub>
            <m:r>
              <m:rPr>
                <m:sty m:val="p"/>
              </m:rPr>
              <w:rPr>
                <w:rFonts w:ascii="Cambria Math" w:hAnsi="Cambria Math"/>
              </w:rPr>
              <m:t>j</m:t>
            </m:r>
            <m:ctrlPr>
              <w:rPr>
                <w:rFonts w:ascii="Cambria Math" w:hAnsi="Cambria Math"/>
              </w:rPr>
            </m:ctrlPr>
          </m:sub>
        </m:sSub>
        <m:r>
          <m:rPr>
            <m:sty m:val="p"/>
          </m:rPr>
          <w:rPr>
            <w:rFonts w:ascii="Cambria Math" w:hAnsi="Cambria Math"/>
          </w:rPr>
          <m:t>(t)|≤</m:t>
        </m:r>
        <m:sSub>
          <m:sSubPr>
            <m:ctrlPr>
              <w:rPr>
                <w:rFonts w:ascii="Cambria Math" w:hAnsi="Cambria Math"/>
              </w:rPr>
            </m:ctrlPr>
          </m:sSubPr>
          <m:e>
            <m:r>
              <m:rPr>
                <m:sty m:val="p"/>
              </m:rPr>
              <w:rPr>
                <w:rFonts w:ascii="Cambria Math" w:hAnsi="Cambria Math"/>
              </w:rPr>
              <m:t>a</m:t>
            </m:r>
            <m:ctrlPr>
              <w:rPr>
                <w:rFonts w:ascii="Cambria Math" w:hAnsi="Cambria Math"/>
              </w:rPr>
            </m:ctrlPr>
          </m:e>
          <m:sub>
            <m:r>
              <m:rPr>
                <m:sty m:val="p"/>
              </m:rPr>
              <w:rPr>
                <w:rFonts w:ascii="Cambria Math" w:hAnsi="Cambria Math"/>
              </w:rPr>
              <m:t>j,max</m:t>
            </m:r>
            <m:ctrlPr>
              <w:rPr>
                <w:rFonts w:ascii="Cambria Math" w:hAnsi="Cambria Math"/>
              </w:rPr>
            </m:ctrlPr>
          </m:sub>
        </m:sSub>
      </m:oMath>
      <w:r>
        <w:rPr>
          <w:sz w:val="21"/>
        </w:rPr>
        <w:t xml:space="preserve">    （2-13）</w:t>
      </w:r>
    </w:p>
    <w:p w14:paraId="0F1D0A40">
      <w:r>
        <w:t>式（2-13）描述运动约束，并不表示本平台已经完成全部约束验证。现有点机器人路径规划器主要检查空间线段与简化障碍的相交关系，不包含机械臂各连杆的完整碰撞几何。工具中心点路径无碰撞，不能替代机械臂本体、自碰撞与附件碰撞检查。相关部署现状及待补记录在第五章中给出。</w:t>
      </w:r>
    </w:p>
    <w:p w14:paraId="681F0321">
      <w:pPr>
        <w:pStyle w:val="3"/>
      </w:pPr>
      <w:bookmarkStart w:id="29" w:name="_Toc243339209"/>
      <w:r>
        <w:t>2.5 本章小结</w:t>
      </w:r>
      <w:bookmarkEnd w:id="29"/>
    </w:p>
    <w:p w14:paraId="08C7E694">
      <w:r>
        <w:t>本章建立了统一的位姿、齐次变换及六自由度机械臂运动学描述，给出标准D-H连杆变换、正逆运动学求解和误差核查方法。通过区分法兰与工具、位置与位姿、离散目标与连续运动，明确了视觉结果进入执行层前需要满足的条件。实际设备参数与验证记录补齐后，可在同一记号体系下完成数值模型与工作空间分析，并支撑第五章的坐标转换和运动约束检查。</w:t>
      </w:r>
    </w:p>
    <w:p w14:paraId="77E56A38">
      <w:pPr>
        <w:pStyle w:val="2"/>
      </w:pPr>
      <w:bookmarkStart w:id="30" w:name="_Toc243339210"/>
      <w:r>
        <w:t>第3章 基于YOLOv11-AMP的人体穴位视觉定位方法</w:t>
      </w:r>
      <w:bookmarkEnd w:id="30"/>
    </w:p>
    <w:p w14:paraId="3728D7DC">
      <w:r>
        <w:t>本章研究人体图像中的个体化目标定位。YOLOv11-AMP中的AMP统一指AcupointMap，其核心是将人体姿态估计、局部解剖锚点检测与可配置的穴位几何规则结合。网络输出锚点，规则输出穴位，两者具有不同的评价对象。RGB-D空间映射及机械臂坐标转换在第五章展开，本章主要讨论二维识别与推理。</w:t>
      </w:r>
    </w:p>
    <w:p w14:paraId="34EDF3F4">
      <w:pPr>
        <w:pStyle w:val="3"/>
      </w:pPr>
      <w:bookmarkStart w:id="31" w:name="_Toc243339211"/>
      <w:r>
        <w:t>3.1 穴位视觉定位问题与算法总体框架</w:t>
      </w:r>
      <w:bookmarkEnd w:id="31"/>
    </w:p>
    <w:p w14:paraId="27B4BA19">
      <w:pPr>
        <w:pStyle w:val="4"/>
        <w:spacing w:before="240" w:after="240"/>
      </w:pPr>
      <w:bookmarkStart w:id="32" w:name="_Toc243339212"/>
      <w:r>
        <w:t>3.1.1 解剖锚点与隐式穴位的定位特点</w:t>
      </w:r>
      <w:bookmarkEnd w:id="32"/>
    </w:p>
    <w:p w14:paraId="5B541E7B">
      <w:r>
        <w:t>肩、髋等人体关键点能够为躯干轮廓与中心线提供参考，而许多穴位的位置取决于多个解剖标志之间的关系。若直接把全部穴位作为独立图像目标，需要为每一类目标建立稳定的标注，且模型可能更多学习到拍摄姿态、肤色或背景等关联，而不一定掌握位置规则。本文将人体中相对可识别的部位作为锚点，再通过明确的尺度和偏移表达目标位置，使目标生成过程可以追溯到对应锚点与规则。</w:t>
      </w:r>
    </w:p>
    <w:p w14:paraId="452246E0">
      <w:r>
        <w:t>输入图像记为I，任务提供的部位编码记为b，锚点集合为K，穴位规则集合为G_b，最终输出目标像素集合U。不同部位使用不同的锚点和规则，但对外保持统一的编码、名称与像素位置字段。该问题可表示为：</w:t>
      </w:r>
    </w:p>
    <w:p w14:paraId="4F05D252">
      <w:pPr>
        <w:spacing w:before="120" w:after="120" w:line="300" w:lineRule="auto"/>
        <w:ind w:firstLine="0"/>
        <w:jc w:val="center"/>
      </w:pPr>
      <m:oMath>
        <m:r>
          <m:rPr>
            <m:sty m:val="p"/>
          </m:rPr>
          <w:rPr>
            <w:rFonts w:ascii="Cambria Math" w:hAnsi="Cambria Math"/>
          </w:rPr>
          <m:t>K=</m:t>
        </m:r>
        <m:sSub>
          <m:sSubPr>
            <m:ctrlPr>
              <w:rPr>
                <w:rFonts w:ascii="Cambria Math" w:hAnsi="Cambria Math"/>
              </w:rPr>
            </m:ctrlPr>
          </m:sSubPr>
          <m:e>
            <m:r>
              <m:rPr>
                <m:sty m:val="p"/>
              </m:rPr>
              <w:rPr>
                <w:rFonts w:ascii="Cambria Math" w:hAnsi="Cambria Math"/>
              </w:rPr>
              <m:t>F</m:t>
            </m:r>
            <m:ctrlPr>
              <w:rPr>
                <w:rFonts w:ascii="Cambria Math" w:hAnsi="Cambria Math"/>
              </w:rPr>
            </m:ctrlPr>
          </m:e>
          <m:sub>
            <m:r>
              <m:rPr>
                <m:sty m:val="p"/>
              </m:rPr>
              <w:rPr>
                <w:rFonts w:ascii="Cambria Math" w:hAnsi="Cambria Math"/>
              </w:rPr>
              <m:t>b</m:t>
            </m:r>
            <m:ctrlPr>
              <w:rPr>
                <w:rFonts w:ascii="Cambria Math" w:hAnsi="Cambria Math"/>
              </w:rPr>
            </m:ctrlPr>
          </m:sub>
        </m:sSub>
        <m:r>
          <m:rPr>
            <m:sty m:val="p"/>
          </m:rPr>
          <w:rPr>
            <w:rFonts w:ascii="Cambria Math" w:hAnsi="Cambria Math"/>
          </w:rPr>
          <m:t>(I),    U=</m:t>
        </m:r>
        <m:sSub>
          <m:sSubPr>
            <m:ctrlPr>
              <w:rPr>
                <w:rFonts w:ascii="Cambria Math" w:hAnsi="Cambria Math"/>
              </w:rPr>
            </m:ctrlPr>
          </m:sSubPr>
          <m:e>
            <m:r>
              <m:rPr>
                <m:sty m:val="p"/>
              </m:rPr>
              <w:rPr>
                <w:rFonts w:ascii="Cambria Math" w:hAnsi="Cambria Math"/>
              </w:rPr>
              <m:t>G</m:t>
            </m:r>
            <m:ctrlPr>
              <w:rPr>
                <w:rFonts w:ascii="Cambria Math" w:hAnsi="Cambria Math"/>
              </w:rPr>
            </m:ctrlPr>
          </m:e>
          <m:sub>
            <m:r>
              <m:rPr>
                <m:sty m:val="p"/>
              </m:rPr>
              <w:rPr>
                <w:rFonts w:ascii="Cambria Math" w:hAnsi="Cambria Math"/>
              </w:rPr>
              <m:t>b</m:t>
            </m:r>
            <m:ctrlPr>
              <w:rPr>
                <w:rFonts w:ascii="Cambria Math" w:hAnsi="Cambria Math"/>
              </w:rPr>
            </m:ctrlPr>
          </m:sub>
        </m:sSub>
        <m:r>
          <m:rPr>
            <m:sty m:val="p"/>
          </m:rPr>
          <w:rPr>
            <w:rFonts w:ascii="Cambria Math" w:hAnsi="Cambria Math"/>
          </w:rPr>
          <m:t>(K)={(</m:t>
        </m:r>
        <m:sSub>
          <m:sSubPr>
            <m:ctrlPr>
              <w:rPr>
                <w:rFonts w:ascii="Cambria Math" w:hAnsi="Cambria Math"/>
              </w:rPr>
            </m:ctrlPr>
          </m:sSubPr>
          <m:e>
            <m:r>
              <m:rPr>
                <m:sty m:val="p"/>
              </m:rPr>
              <w:rPr>
                <w:rFonts w:ascii="Cambria Math" w:hAnsi="Cambria Math"/>
              </w:rPr>
              <m:t>u</m:t>
            </m:r>
            <m:ctrlPr>
              <w:rPr>
                <w:rFonts w:ascii="Cambria Math" w:hAnsi="Cambria Math"/>
              </w:rPr>
            </m:ctrlPr>
          </m:e>
          <m:sub>
            <m:r>
              <m:rPr>
                <m:sty m:val="p"/>
              </m:rPr>
              <w:rPr>
                <w:rFonts w:ascii="Cambria Math" w:hAnsi="Cambria Math"/>
              </w:rPr>
              <m:t>j</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ctrlPr>
              <w:rPr>
                <w:rFonts w:ascii="Cambria Math" w:hAnsi="Cambria Math"/>
              </w:rPr>
            </m:ctrlPr>
          </m:e>
          <m:sub>
            <m:r>
              <m:rPr>
                <m:sty m:val="p"/>
              </m:rPr>
              <w:rPr>
                <w:rFonts w:ascii="Cambria Math" w:hAnsi="Cambria Math"/>
              </w:rPr>
              <m:t>j</m:t>
            </m:r>
            <m:ctrlPr>
              <w:rPr>
                <w:rFonts w:ascii="Cambria Math" w:hAnsi="Cambria Math"/>
              </w:rPr>
            </m:ctrlPr>
          </m:sub>
        </m:sSub>
        <m:sSup>
          <m:sSupPr>
            <m:ctrlPr>
              <w:rPr>
                <w:rFonts w:ascii="Cambria Math" w:hAnsi="Cambria Math"/>
              </w:rPr>
            </m:ctrlPr>
          </m:sSupPr>
          <m:e>
            <m:r>
              <m:rPr>
                <m:sty m:val="p"/>
              </m:rPr>
              <w:rPr>
                <w:rFonts w:ascii="Cambria Math" w:hAnsi="Cambria Math"/>
              </w:rPr>
              <m:t>)</m:t>
            </m:r>
            <m:ctrlPr>
              <w:rPr>
                <w:rFonts w:ascii="Cambria Math" w:hAnsi="Cambria Math"/>
              </w:rPr>
            </m:ctrlPr>
          </m:e>
          <m:sup>
            <m:r>
              <m:rPr>
                <m:sty m:val="p"/>
              </m:rPr>
              <w:rPr>
                <w:rFonts w:ascii="Cambria Math" w:hAnsi="Cambria Math"/>
              </w:rPr>
              <m:t>T</m:t>
            </m:r>
            <m:ctrlPr>
              <w:rPr>
                <w:rFonts w:ascii="Cambria Math" w:hAnsi="Cambria Math"/>
              </w:rPr>
            </m:ctrlPr>
          </m:sup>
        </m:sSup>
        <m:r>
          <m:rPr>
            <m:sty m:val="p"/>
          </m:rPr>
          <w:rPr>
            <w:rFonts w:ascii="Cambria Math" w:hAnsi="Cambria Math"/>
          </w:rPr>
          <m:t>}</m:t>
        </m:r>
      </m:oMath>
      <w:r>
        <w:rPr>
          <w:sz w:val="21"/>
        </w:rPr>
        <w:t xml:space="preserve">    （3-1）</w:t>
      </w:r>
    </w:p>
    <w:p w14:paraId="2D62708D">
      <w:r>
        <w:t>式中F_b表示按照任务部位组织的模型推理过程。部位编码由上游请求传入，当前实现不应描述为已经训练完成的自动部位分类器。目标的可见性、锚点置信度以及图像旋转状态共同决定输出是否可供后续使用。</w:t>
      </w:r>
    </w:p>
    <w:p w14:paraId="3484A61E">
      <w:pPr>
        <w:pStyle w:val="4"/>
        <w:spacing w:before="240" w:after="240"/>
      </w:pPr>
      <w:bookmarkStart w:id="33" w:name="_Toc243339213"/>
      <w:r>
        <w:t>3.1.2 YOLOv11-AMP算法总体流程</w:t>
      </w:r>
      <w:bookmarkEnd w:id="33"/>
    </w:p>
    <w:p w14:paraId="5FE59F05">
      <w:r>
        <w:t>算法首先读取图像与部位编码，调用通用姿态模型提取人体关键点；随后依据部位补充颈部或脐部局部锚点，对关键点的置信度和几何关系进行质量检查；在此基础上构造解剖基线与像素尺度，从规则库计算目标坐标；最后输出目标列表和叠加显示图。人工确认位于识别之后、三维映射之前，用于检查误检、异常目标或需要调整的位置。</w:t>
      </w:r>
    </w:p>
    <w:p w14:paraId="07125FA8">
      <w:r>
        <w:t>当前源码中通用模型文件为x-pose.pt，颈部模型为neck_x.pt，脐部模型为n-abdomen_navel_only.pt。背部、腹部和腿部请求分别由BP004、BP014和BP010等编码选择对应处理函数。训练目录包含膝部专用模型，但主推理初始化仅能核实通用、颈部与脐部三个模型的加载，因此不能据此宣称膝部专用模型已用于全部腿部识别流程。</w:t>
      </w:r>
    </w:p>
    <w:p w14:paraId="66EC6587">
      <w:pPr>
        <w:pStyle w:val="79"/>
        <w:keepNext/>
      </w:pPr>
      <w:r>
        <w:t>表3-1 分部位处理与模型状态</w:t>
      </w:r>
    </w:p>
    <w:tbl>
      <w:tblPr>
        <w:tblStyle w:val="28"/>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75" w:type="dxa"/>
          <w:bottom w:w="65" w:type="dxa"/>
          <w:right w:w="75" w:type="dxa"/>
        </w:tblCellMar>
      </w:tblPr>
      <w:tblGrid>
        <w:gridCol w:w="3024"/>
        <w:gridCol w:w="3024"/>
        <w:gridCol w:w="3024"/>
      </w:tblGrid>
      <w:tr w14:paraId="579190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tblHeader/>
          <w:jc w:val="center"/>
        </w:trPr>
        <w:tc>
          <w:tcPr>
            <w:tcW w:w="3024" w:type="dxa"/>
            <w:shd w:val="clear" w:color="auto" w:fill="F2F2F2"/>
            <w:vAlign w:val="center"/>
          </w:tcPr>
          <w:p w14:paraId="15FFE069">
            <w:pPr>
              <w:keepNext/>
              <w:spacing w:before="40" w:after="40" w:line="276" w:lineRule="auto"/>
              <w:ind w:firstLine="0"/>
              <w:jc w:val="center"/>
            </w:pPr>
            <w:r>
              <w:rPr>
                <w:b/>
                <w:sz w:val="20"/>
              </w:rPr>
              <w:t>任务部位</w:t>
            </w:r>
          </w:p>
        </w:tc>
        <w:tc>
          <w:tcPr>
            <w:tcW w:w="3024" w:type="dxa"/>
            <w:shd w:val="clear" w:color="auto" w:fill="F2F2F2"/>
            <w:vAlign w:val="center"/>
          </w:tcPr>
          <w:p w14:paraId="1450D2FF">
            <w:pPr>
              <w:keepNext/>
              <w:spacing w:before="40" w:after="40" w:line="276" w:lineRule="auto"/>
              <w:ind w:firstLine="0"/>
              <w:jc w:val="center"/>
            </w:pPr>
            <w:r>
              <w:rPr>
                <w:b/>
                <w:sz w:val="20"/>
              </w:rPr>
              <w:t>主要参考信息</w:t>
            </w:r>
          </w:p>
        </w:tc>
        <w:tc>
          <w:tcPr>
            <w:tcW w:w="3024" w:type="dxa"/>
            <w:shd w:val="clear" w:color="auto" w:fill="F2F2F2"/>
            <w:vAlign w:val="center"/>
          </w:tcPr>
          <w:p w14:paraId="7BBB329C">
            <w:pPr>
              <w:keepNext/>
              <w:spacing w:before="40" w:after="40" w:line="276" w:lineRule="auto"/>
              <w:ind w:firstLine="0"/>
              <w:jc w:val="center"/>
            </w:pPr>
            <w:r>
              <w:rPr>
                <w:b/>
                <w:sz w:val="20"/>
              </w:rPr>
              <w:t>现有实现状态</w:t>
            </w:r>
          </w:p>
        </w:tc>
      </w:tr>
      <w:tr w14:paraId="0B41E6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066C9AFC">
            <w:pPr>
              <w:keepNext/>
              <w:spacing w:before="40" w:after="40" w:line="276" w:lineRule="auto"/>
              <w:ind w:firstLine="0"/>
              <w:jc w:val="center"/>
            </w:pPr>
            <w:r>
              <w:rPr>
                <w:sz w:val="20"/>
              </w:rPr>
              <w:t>背部 BP004</w:t>
            </w:r>
          </w:p>
        </w:tc>
        <w:tc>
          <w:tcPr>
            <w:tcW w:w="3024" w:type="dxa"/>
            <w:vAlign w:val="center"/>
          </w:tcPr>
          <w:p w14:paraId="0F8263DB">
            <w:pPr>
              <w:keepNext/>
              <w:spacing w:before="40" w:after="40" w:line="276" w:lineRule="auto"/>
              <w:ind w:firstLine="0"/>
              <w:jc w:val="center"/>
            </w:pPr>
            <w:r>
              <w:rPr>
                <w:sz w:val="20"/>
              </w:rPr>
              <w:t>肩髋关键点、颈部锚点</w:t>
            </w:r>
          </w:p>
        </w:tc>
        <w:tc>
          <w:tcPr>
            <w:tcW w:w="3024" w:type="dxa"/>
            <w:vAlign w:val="center"/>
          </w:tcPr>
          <w:p w14:paraId="183D85C7">
            <w:pPr>
              <w:keepNext/>
              <w:spacing w:before="40" w:after="40" w:line="276" w:lineRule="auto"/>
              <w:ind w:firstLine="0"/>
              <w:jc w:val="center"/>
            </w:pPr>
            <w:r>
              <w:rPr>
                <w:sz w:val="20"/>
              </w:rPr>
              <w:t>通用与颈部模型协同处理</w:t>
            </w:r>
          </w:p>
        </w:tc>
      </w:tr>
      <w:tr w14:paraId="50701E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7A265AB9">
            <w:pPr>
              <w:keepNext/>
              <w:spacing w:before="40" w:after="40" w:line="276" w:lineRule="auto"/>
              <w:ind w:firstLine="0"/>
              <w:jc w:val="center"/>
            </w:pPr>
            <w:r>
              <w:rPr>
                <w:sz w:val="20"/>
              </w:rPr>
              <w:t>腹部 BP014</w:t>
            </w:r>
          </w:p>
        </w:tc>
        <w:tc>
          <w:tcPr>
            <w:tcW w:w="3024" w:type="dxa"/>
            <w:vAlign w:val="center"/>
          </w:tcPr>
          <w:p w14:paraId="2C736A23">
            <w:pPr>
              <w:keepNext/>
              <w:spacing w:before="40" w:after="40" w:line="276" w:lineRule="auto"/>
              <w:ind w:firstLine="0"/>
              <w:jc w:val="center"/>
            </w:pPr>
            <w:r>
              <w:rPr>
                <w:sz w:val="20"/>
              </w:rPr>
              <w:t>肩髋关键点、脐部锚点</w:t>
            </w:r>
          </w:p>
        </w:tc>
        <w:tc>
          <w:tcPr>
            <w:tcW w:w="3024" w:type="dxa"/>
            <w:vAlign w:val="center"/>
          </w:tcPr>
          <w:p w14:paraId="62BB8F2A">
            <w:pPr>
              <w:keepNext/>
              <w:spacing w:before="40" w:after="40" w:line="276" w:lineRule="auto"/>
              <w:ind w:firstLine="0"/>
              <w:jc w:val="center"/>
            </w:pPr>
            <w:r>
              <w:rPr>
                <w:sz w:val="20"/>
              </w:rPr>
              <w:t>通用与脐部模型协同处理</w:t>
            </w:r>
          </w:p>
        </w:tc>
      </w:tr>
      <w:tr w14:paraId="285698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785EDCFB">
            <w:pPr>
              <w:spacing w:before="40" w:after="40" w:line="276" w:lineRule="auto"/>
              <w:ind w:firstLine="0"/>
              <w:jc w:val="center"/>
            </w:pPr>
            <w:r>
              <w:rPr>
                <w:sz w:val="20"/>
              </w:rPr>
              <w:t>腿部 BP010</w:t>
            </w:r>
          </w:p>
        </w:tc>
        <w:tc>
          <w:tcPr>
            <w:tcW w:w="3024" w:type="dxa"/>
            <w:vAlign w:val="center"/>
          </w:tcPr>
          <w:p w14:paraId="6A50918D">
            <w:pPr>
              <w:spacing w:before="40" w:after="40" w:line="276" w:lineRule="auto"/>
              <w:ind w:firstLine="0"/>
              <w:jc w:val="center"/>
            </w:pPr>
            <w:r>
              <w:rPr>
                <w:sz w:val="20"/>
              </w:rPr>
              <w:t>通用姿态与腿部几何规则</w:t>
            </w:r>
          </w:p>
        </w:tc>
        <w:tc>
          <w:tcPr>
            <w:tcW w:w="3024" w:type="dxa"/>
            <w:vAlign w:val="center"/>
          </w:tcPr>
          <w:p w14:paraId="2FECBE8B">
            <w:pPr>
              <w:spacing w:before="40" w:after="40" w:line="276" w:lineRule="auto"/>
              <w:ind w:firstLine="0"/>
              <w:jc w:val="center"/>
            </w:pPr>
            <w:r>
              <w:rPr>
                <w:sz w:val="20"/>
              </w:rPr>
              <w:t>专用膝部模型已有训练，生产接入待核</w:t>
            </w:r>
          </w:p>
        </w:tc>
      </w:tr>
    </w:tbl>
    <w:p w14:paraId="1D2C68A3"/>
    <w:p w14:paraId="4BB700BE">
      <w:r>
        <w:t>这一方法改变的是任务表示与推理组织方式。现有证据不支持将其表述为增加了新的网络注意力模块或改造了YOLO11骨干结构。模型训练、规则设计和部署适配分别承担不同作用，后续实验也据此分层评价。</w:t>
      </w:r>
    </w:p>
    <w:p w14:paraId="46A45675">
      <w:pPr>
        <w:pStyle w:val="3"/>
      </w:pPr>
      <w:bookmarkStart w:id="34" w:name="_Toc243339214"/>
      <w:r>
        <w:t>3.2 解剖锚点数据集与模型训练</w:t>
      </w:r>
      <w:bookmarkEnd w:id="34"/>
    </w:p>
    <w:p w14:paraId="2995B3C0">
      <w:pPr>
        <w:pStyle w:val="4"/>
        <w:spacing w:before="240" w:after="240"/>
      </w:pPr>
      <w:bookmarkStart w:id="35" w:name="_Toc243339215"/>
      <w:r>
        <w:t>3.2.1 数据采集、标注与数据集划分</w:t>
      </w:r>
      <w:bookmarkEnd w:id="35"/>
    </w:p>
    <w:p w14:paraId="6F1DA025">
      <w:r>
        <w:t>现有材料分别建立颈部、脐部和膝部锚点训练任务，标注内容包括目标区域和关键点位置。图像样本覆盖不同姿态、衣着和拍摄条件，但现有统计图中的标注实例数不能直接解释为独立受试者数量。数据集整理时，应同时保留原图来源、人物或采集批次、标注文件、可见性定义以及训练验证归属，防止同一来源的相似图像同时进入训练集与评价集。</w:t>
      </w:r>
    </w:p>
    <w:p w14:paraId="5E958BA6">
      <w:r>
        <w:t>对人体目标而言，按图像随机划分可能使同一人物或同一次拍摄的相近样本跨集合分布，从而高估泛化能力。本文采用的结果首先按现有训练日志报告，不将其写成已经完成按受试者隔离的独立测试。后续核查应优先恢复实际数据划分清单，对同源图像和重复样本进行检查，再决定是否需要重新组织评价。</w:t>
      </w:r>
    </w:p>
    <w:p w14:paraId="2A1B41D6">
      <w:r>
        <w:rPr>
          <w:color w:val="C00000"/>
          <w:sz w:val="22"/>
        </w:rPr>
        <w:t>【待核D05：颈、脐、膝数据集的原始图片及标注清单、来源与使用条件、去重结果、人物或采集批次标识、训练/验证/测试划分。旧稿673、1225、1092为实例统计口径，独立人数与有效图像数量仍需确认。】</w:t>
      </w:r>
    </w:p>
    <w:p w14:paraId="72B9831C">
      <w:r>
        <w:t>标注质量直接限制锚点定位上限。颈部参考点应给出一致的解剖或图像操作定义，脐部应说明遮挡时是否标注推断位置，膝部应固定左右和关键点顺序。标注文件中的可见性字段也应与训练程序解释一致。只有在定义明确的情况下，锚点检测误差才具有可比较的含义。</w:t>
      </w:r>
    </w:p>
    <w:p w14:paraId="51E7B73E">
      <w:pPr>
        <w:pStyle w:val="4"/>
        <w:spacing w:before="240" w:after="240"/>
      </w:pPr>
      <w:bookmarkStart w:id="36" w:name="_Toc243339216"/>
      <w:r>
        <w:t>3.2.2 YOLO11-Pose基础模型与训练配置</w:t>
      </w:r>
      <w:bookmarkEnd w:id="36"/>
    </w:p>
    <w:p w14:paraId="416D98EB">
      <w:r>
        <w:t>本研究使用YOLO11-Pose作为锚点检测基础[4]。训练配置文件记录的基础权重为YOLO11x-pose，输入尺寸为640。颈部和脐部训练100轮，膝部训练200轮，三个任务的随机种子均为0。训练模型的规格应以args.yaml与权重文件对应关系为准，不因部署文件名中含有字母n而推断其必然采用nano结构。</w:t>
      </w:r>
    </w:p>
    <w:p w14:paraId="24904F95">
      <w:pPr>
        <w:pStyle w:val="79"/>
        <w:keepNext/>
      </w:pPr>
      <w:r>
        <w:t>表3-2 三类锚点模型训练配置</w:t>
      </w:r>
    </w:p>
    <w:tbl>
      <w:tblPr>
        <w:tblStyle w:val="28"/>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75" w:type="dxa"/>
          <w:bottom w:w="65" w:type="dxa"/>
          <w:right w:w="75" w:type="dxa"/>
        </w:tblCellMar>
      </w:tblPr>
      <w:tblGrid>
        <w:gridCol w:w="2268"/>
        <w:gridCol w:w="2268"/>
        <w:gridCol w:w="2268"/>
        <w:gridCol w:w="2268"/>
      </w:tblGrid>
      <w:tr w14:paraId="2F5B9B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tblHeader/>
          <w:jc w:val="center"/>
        </w:trPr>
        <w:tc>
          <w:tcPr>
            <w:tcW w:w="2268" w:type="dxa"/>
            <w:shd w:val="clear" w:color="auto" w:fill="F2F2F2"/>
            <w:vAlign w:val="center"/>
          </w:tcPr>
          <w:p w14:paraId="4F49C34C">
            <w:pPr>
              <w:keepNext/>
              <w:spacing w:before="40" w:after="40" w:line="276" w:lineRule="auto"/>
              <w:ind w:firstLine="0"/>
              <w:jc w:val="center"/>
            </w:pPr>
            <w:r>
              <w:rPr>
                <w:b/>
                <w:sz w:val="20"/>
              </w:rPr>
              <w:t>项目</w:t>
            </w:r>
          </w:p>
        </w:tc>
        <w:tc>
          <w:tcPr>
            <w:tcW w:w="2268" w:type="dxa"/>
            <w:shd w:val="clear" w:color="auto" w:fill="F2F2F2"/>
            <w:vAlign w:val="center"/>
          </w:tcPr>
          <w:p w14:paraId="5BD60EFA">
            <w:pPr>
              <w:keepNext/>
              <w:spacing w:before="40" w:after="40" w:line="276" w:lineRule="auto"/>
              <w:ind w:firstLine="0"/>
              <w:jc w:val="center"/>
            </w:pPr>
            <w:r>
              <w:rPr>
                <w:b/>
                <w:sz w:val="20"/>
              </w:rPr>
              <w:t>颈部</w:t>
            </w:r>
          </w:p>
        </w:tc>
        <w:tc>
          <w:tcPr>
            <w:tcW w:w="2268" w:type="dxa"/>
            <w:shd w:val="clear" w:color="auto" w:fill="F2F2F2"/>
            <w:vAlign w:val="center"/>
          </w:tcPr>
          <w:p w14:paraId="3E097AE4">
            <w:pPr>
              <w:keepNext/>
              <w:spacing w:before="40" w:after="40" w:line="276" w:lineRule="auto"/>
              <w:ind w:firstLine="0"/>
              <w:jc w:val="center"/>
            </w:pPr>
            <w:r>
              <w:rPr>
                <w:b/>
                <w:sz w:val="20"/>
              </w:rPr>
              <w:t>脐部</w:t>
            </w:r>
          </w:p>
        </w:tc>
        <w:tc>
          <w:tcPr>
            <w:tcW w:w="2268" w:type="dxa"/>
            <w:shd w:val="clear" w:color="auto" w:fill="F2F2F2"/>
            <w:vAlign w:val="center"/>
          </w:tcPr>
          <w:p w14:paraId="0CBC5027">
            <w:pPr>
              <w:keepNext/>
              <w:spacing w:before="40" w:after="40" w:line="276" w:lineRule="auto"/>
              <w:ind w:firstLine="0"/>
              <w:jc w:val="center"/>
            </w:pPr>
            <w:r>
              <w:rPr>
                <w:b/>
                <w:sz w:val="20"/>
              </w:rPr>
              <w:t>膝部</w:t>
            </w:r>
          </w:p>
        </w:tc>
      </w:tr>
      <w:tr w14:paraId="676C21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268" w:type="dxa"/>
            <w:vAlign w:val="center"/>
          </w:tcPr>
          <w:p w14:paraId="6857DBA5">
            <w:pPr>
              <w:keepNext/>
              <w:spacing w:before="40" w:after="40" w:line="276" w:lineRule="auto"/>
              <w:ind w:firstLine="0"/>
              <w:jc w:val="center"/>
            </w:pPr>
            <w:r>
              <w:rPr>
                <w:sz w:val="20"/>
              </w:rPr>
              <w:t>基础模型</w:t>
            </w:r>
          </w:p>
        </w:tc>
        <w:tc>
          <w:tcPr>
            <w:tcW w:w="2268" w:type="dxa"/>
            <w:vAlign w:val="center"/>
          </w:tcPr>
          <w:p w14:paraId="0D92434D">
            <w:pPr>
              <w:keepNext/>
              <w:spacing w:before="40" w:after="40" w:line="276" w:lineRule="auto"/>
              <w:ind w:firstLine="0"/>
              <w:jc w:val="center"/>
            </w:pPr>
            <w:r>
              <w:rPr>
                <w:sz w:val="20"/>
              </w:rPr>
              <w:t>YOLO11x-pose</w:t>
            </w:r>
          </w:p>
        </w:tc>
        <w:tc>
          <w:tcPr>
            <w:tcW w:w="2268" w:type="dxa"/>
            <w:vAlign w:val="center"/>
          </w:tcPr>
          <w:p w14:paraId="3F2CAC33">
            <w:pPr>
              <w:keepNext/>
              <w:spacing w:before="40" w:after="40" w:line="276" w:lineRule="auto"/>
              <w:ind w:firstLine="0"/>
              <w:jc w:val="center"/>
            </w:pPr>
            <w:r>
              <w:rPr>
                <w:sz w:val="20"/>
              </w:rPr>
              <w:t>YOLO11x-pose</w:t>
            </w:r>
          </w:p>
        </w:tc>
        <w:tc>
          <w:tcPr>
            <w:tcW w:w="2268" w:type="dxa"/>
            <w:vAlign w:val="center"/>
          </w:tcPr>
          <w:p w14:paraId="2FD70874">
            <w:pPr>
              <w:keepNext/>
              <w:spacing w:before="40" w:after="40" w:line="276" w:lineRule="auto"/>
              <w:ind w:firstLine="0"/>
              <w:jc w:val="center"/>
            </w:pPr>
            <w:r>
              <w:rPr>
                <w:sz w:val="20"/>
              </w:rPr>
              <w:t>YOLO11x-pose</w:t>
            </w:r>
          </w:p>
        </w:tc>
      </w:tr>
      <w:tr w14:paraId="6150F8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268" w:type="dxa"/>
            <w:vAlign w:val="center"/>
          </w:tcPr>
          <w:p w14:paraId="3A4E4A20">
            <w:pPr>
              <w:keepNext/>
              <w:spacing w:before="40" w:after="40" w:line="276" w:lineRule="auto"/>
              <w:ind w:firstLine="0"/>
              <w:jc w:val="center"/>
            </w:pPr>
            <w:r>
              <w:rPr>
                <w:sz w:val="20"/>
              </w:rPr>
              <w:t>输入尺寸</w:t>
            </w:r>
          </w:p>
        </w:tc>
        <w:tc>
          <w:tcPr>
            <w:tcW w:w="2268" w:type="dxa"/>
            <w:vAlign w:val="center"/>
          </w:tcPr>
          <w:p w14:paraId="687E758E">
            <w:pPr>
              <w:keepNext/>
              <w:spacing w:before="40" w:after="40" w:line="276" w:lineRule="auto"/>
              <w:ind w:firstLine="0"/>
              <w:jc w:val="center"/>
            </w:pPr>
            <w:r>
              <w:rPr>
                <w:sz w:val="20"/>
              </w:rPr>
              <w:t>640</w:t>
            </w:r>
          </w:p>
        </w:tc>
        <w:tc>
          <w:tcPr>
            <w:tcW w:w="2268" w:type="dxa"/>
            <w:vAlign w:val="center"/>
          </w:tcPr>
          <w:p w14:paraId="5670B0CF">
            <w:pPr>
              <w:keepNext/>
              <w:spacing w:before="40" w:after="40" w:line="276" w:lineRule="auto"/>
              <w:ind w:firstLine="0"/>
              <w:jc w:val="center"/>
            </w:pPr>
            <w:r>
              <w:rPr>
                <w:sz w:val="20"/>
              </w:rPr>
              <w:t>640</w:t>
            </w:r>
          </w:p>
        </w:tc>
        <w:tc>
          <w:tcPr>
            <w:tcW w:w="2268" w:type="dxa"/>
            <w:vAlign w:val="center"/>
          </w:tcPr>
          <w:p w14:paraId="3C3BE871">
            <w:pPr>
              <w:keepNext/>
              <w:spacing w:before="40" w:after="40" w:line="276" w:lineRule="auto"/>
              <w:ind w:firstLine="0"/>
              <w:jc w:val="center"/>
            </w:pPr>
            <w:r>
              <w:rPr>
                <w:sz w:val="20"/>
              </w:rPr>
              <w:t>640</w:t>
            </w:r>
          </w:p>
        </w:tc>
      </w:tr>
      <w:tr w14:paraId="18D53E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268" w:type="dxa"/>
            <w:vAlign w:val="center"/>
          </w:tcPr>
          <w:p w14:paraId="7A58B6A8">
            <w:pPr>
              <w:keepNext/>
              <w:spacing w:before="40" w:after="40" w:line="276" w:lineRule="auto"/>
              <w:ind w:firstLine="0"/>
              <w:jc w:val="center"/>
            </w:pPr>
            <w:r>
              <w:rPr>
                <w:sz w:val="20"/>
              </w:rPr>
              <w:t>训练轮数</w:t>
            </w:r>
          </w:p>
        </w:tc>
        <w:tc>
          <w:tcPr>
            <w:tcW w:w="2268" w:type="dxa"/>
            <w:vAlign w:val="center"/>
          </w:tcPr>
          <w:p w14:paraId="38644B89">
            <w:pPr>
              <w:keepNext/>
              <w:spacing w:before="40" w:after="40" w:line="276" w:lineRule="auto"/>
              <w:ind w:firstLine="0"/>
              <w:jc w:val="center"/>
            </w:pPr>
            <w:r>
              <w:rPr>
                <w:sz w:val="20"/>
              </w:rPr>
              <w:t>100</w:t>
            </w:r>
          </w:p>
        </w:tc>
        <w:tc>
          <w:tcPr>
            <w:tcW w:w="2268" w:type="dxa"/>
            <w:vAlign w:val="center"/>
          </w:tcPr>
          <w:p w14:paraId="7AB28E06">
            <w:pPr>
              <w:keepNext/>
              <w:spacing w:before="40" w:after="40" w:line="276" w:lineRule="auto"/>
              <w:ind w:firstLine="0"/>
              <w:jc w:val="center"/>
            </w:pPr>
            <w:r>
              <w:rPr>
                <w:sz w:val="20"/>
              </w:rPr>
              <w:t>100</w:t>
            </w:r>
          </w:p>
        </w:tc>
        <w:tc>
          <w:tcPr>
            <w:tcW w:w="2268" w:type="dxa"/>
            <w:vAlign w:val="center"/>
          </w:tcPr>
          <w:p w14:paraId="2EFF726B">
            <w:pPr>
              <w:keepNext/>
              <w:spacing w:before="40" w:after="40" w:line="276" w:lineRule="auto"/>
              <w:ind w:firstLine="0"/>
              <w:jc w:val="center"/>
            </w:pPr>
            <w:r>
              <w:rPr>
                <w:sz w:val="20"/>
              </w:rPr>
              <w:t>200</w:t>
            </w:r>
          </w:p>
        </w:tc>
      </w:tr>
      <w:tr w14:paraId="2DC47F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268" w:type="dxa"/>
            <w:vAlign w:val="center"/>
          </w:tcPr>
          <w:p w14:paraId="47D04C1A">
            <w:pPr>
              <w:keepNext/>
              <w:spacing w:before="40" w:after="40" w:line="276" w:lineRule="auto"/>
              <w:ind w:firstLine="0"/>
              <w:jc w:val="center"/>
            </w:pPr>
            <w:r>
              <w:rPr>
                <w:sz w:val="20"/>
              </w:rPr>
              <w:t>批大小</w:t>
            </w:r>
          </w:p>
        </w:tc>
        <w:tc>
          <w:tcPr>
            <w:tcW w:w="2268" w:type="dxa"/>
            <w:vAlign w:val="center"/>
          </w:tcPr>
          <w:p w14:paraId="1D046254">
            <w:pPr>
              <w:keepNext/>
              <w:spacing w:before="40" w:after="40" w:line="276" w:lineRule="auto"/>
              <w:ind w:firstLine="0"/>
              <w:jc w:val="center"/>
            </w:pPr>
            <w:r>
              <w:rPr>
                <w:sz w:val="20"/>
              </w:rPr>
              <w:t>16</w:t>
            </w:r>
          </w:p>
        </w:tc>
        <w:tc>
          <w:tcPr>
            <w:tcW w:w="2268" w:type="dxa"/>
            <w:vAlign w:val="center"/>
          </w:tcPr>
          <w:p w14:paraId="4C3D0509">
            <w:pPr>
              <w:keepNext/>
              <w:spacing w:before="40" w:after="40" w:line="276" w:lineRule="auto"/>
              <w:ind w:firstLine="0"/>
              <w:jc w:val="center"/>
            </w:pPr>
            <w:r>
              <w:rPr>
                <w:sz w:val="20"/>
              </w:rPr>
              <w:t>16</w:t>
            </w:r>
          </w:p>
        </w:tc>
        <w:tc>
          <w:tcPr>
            <w:tcW w:w="2268" w:type="dxa"/>
            <w:vAlign w:val="center"/>
          </w:tcPr>
          <w:p w14:paraId="5BF6FFE9">
            <w:pPr>
              <w:keepNext/>
              <w:spacing w:before="40" w:after="40" w:line="276" w:lineRule="auto"/>
              <w:ind w:firstLine="0"/>
              <w:jc w:val="center"/>
            </w:pPr>
            <w:r>
              <w:rPr>
                <w:sz w:val="20"/>
              </w:rPr>
              <w:t>24</w:t>
            </w:r>
          </w:p>
        </w:tc>
      </w:tr>
      <w:tr w14:paraId="604B26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268" w:type="dxa"/>
            <w:vAlign w:val="center"/>
          </w:tcPr>
          <w:p w14:paraId="664C48FB">
            <w:pPr>
              <w:keepNext/>
              <w:spacing w:before="40" w:after="40" w:line="276" w:lineRule="auto"/>
              <w:ind w:firstLine="0"/>
              <w:jc w:val="center"/>
            </w:pPr>
            <w:r>
              <w:rPr>
                <w:sz w:val="20"/>
              </w:rPr>
              <w:t>随机种子</w:t>
            </w:r>
          </w:p>
        </w:tc>
        <w:tc>
          <w:tcPr>
            <w:tcW w:w="2268" w:type="dxa"/>
            <w:vAlign w:val="center"/>
          </w:tcPr>
          <w:p w14:paraId="1798A4CB">
            <w:pPr>
              <w:keepNext/>
              <w:spacing w:before="40" w:after="40" w:line="276" w:lineRule="auto"/>
              <w:ind w:firstLine="0"/>
              <w:jc w:val="center"/>
            </w:pPr>
            <w:r>
              <w:rPr>
                <w:sz w:val="20"/>
              </w:rPr>
              <w:t>0</w:t>
            </w:r>
          </w:p>
        </w:tc>
        <w:tc>
          <w:tcPr>
            <w:tcW w:w="2268" w:type="dxa"/>
            <w:vAlign w:val="center"/>
          </w:tcPr>
          <w:p w14:paraId="55F6D0E4">
            <w:pPr>
              <w:keepNext/>
              <w:spacing w:before="40" w:after="40" w:line="276" w:lineRule="auto"/>
              <w:ind w:firstLine="0"/>
              <w:jc w:val="center"/>
            </w:pPr>
            <w:r>
              <w:rPr>
                <w:sz w:val="20"/>
              </w:rPr>
              <w:t>0</w:t>
            </w:r>
          </w:p>
        </w:tc>
        <w:tc>
          <w:tcPr>
            <w:tcW w:w="2268" w:type="dxa"/>
            <w:vAlign w:val="center"/>
          </w:tcPr>
          <w:p w14:paraId="78B8B02A">
            <w:pPr>
              <w:keepNext/>
              <w:spacing w:before="40" w:after="40" w:line="276" w:lineRule="auto"/>
              <w:ind w:firstLine="0"/>
              <w:jc w:val="center"/>
            </w:pPr>
            <w:r>
              <w:rPr>
                <w:sz w:val="20"/>
              </w:rPr>
              <w:t>0</w:t>
            </w:r>
          </w:p>
        </w:tc>
      </w:tr>
      <w:tr w14:paraId="68DBCC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268" w:type="dxa"/>
            <w:vAlign w:val="center"/>
          </w:tcPr>
          <w:p w14:paraId="3E0A5416">
            <w:pPr>
              <w:spacing w:before="40" w:after="40" w:line="276" w:lineRule="auto"/>
              <w:ind w:firstLine="0"/>
              <w:jc w:val="center"/>
            </w:pPr>
            <w:r>
              <w:rPr>
                <w:sz w:val="20"/>
              </w:rPr>
              <w:t>训练记录目录</w:t>
            </w:r>
          </w:p>
        </w:tc>
        <w:tc>
          <w:tcPr>
            <w:tcW w:w="2268" w:type="dxa"/>
            <w:vAlign w:val="center"/>
          </w:tcPr>
          <w:p w14:paraId="2D48953A">
            <w:pPr>
              <w:spacing w:before="40" w:after="40" w:line="276" w:lineRule="auto"/>
              <w:ind w:firstLine="0"/>
              <w:jc w:val="center"/>
            </w:pPr>
            <w:r>
              <w:rPr>
                <w:sz w:val="20"/>
              </w:rPr>
              <w:t>neck_x_first</w:t>
            </w:r>
          </w:p>
        </w:tc>
        <w:tc>
          <w:tcPr>
            <w:tcW w:w="2268" w:type="dxa"/>
            <w:vAlign w:val="center"/>
          </w:tcPr>
          <w:p w14:paraId="5491A59D">
            <w:pPr>
              <w:spacing w:before="40" w:after="40" w:line="276" w:lineRule="auto"/>
              <w:ind w:firstLine="0"/>
              <w:jc w:val="center"/>
            </w:pPr>
            <w:r>
              <w:rPr>
                <w:sz w:val="20"/>
              </w:rPr>
              <w:t>train_x_navel_only</w:t>
            </w:r>
          </w:p>
        </w:tc>
        <w:tc>
          <w:tcPr>
            <w:tcW w:w="2268" w:type="dxa"/>
            <w:vAlign w:val="center"/>
          </w:tcPr>
          <w:p w14:paraId="728B662D">
            <w:pPr>
              <w:spacing w:before="40" w:after="40" w:line="276" w:lineRule="auto"/>
              <w:ind w:firstLine="0"/>
              <w:jc w:val="center"/>
            </w:pPr>
            <w:r>
              <w:rPr>
                <w:sz w:val="20"/>
              </w:rPr>
              <w:t>leg_two</w:t>
            </w:r>
          </w:p>
        </w:tc>
      </w:tr>
    </w:tbl>
    <w:p w14:paraId="53544E31"/>
    <w:p w14:paraId="64489BCB">
      <w:r>
        <w:t>训练中的框回归、分类、关键点位置与可见性相关损失共同约束模型输出。具体权重与增强设置应按各任务保存的配置完整复现，而不将框检测指标和关键点指标混合报告。模型最终部署还可能经历格式导出与设备后端转换，因此训练权重、导出模型与运行时模型需分别记录版本。</w:t>
      </w:r>
    </w:p>
    <w:p w14:paraId="508DAD76">
      <w:r>
        <w:rPr>
          <w:color w:val="C00000"/>
          <w:sz w:val="22"/>
        </w:rPr>
        <w:t>【待补D06：训练硬件与软件版本、三个数据集配置文件、最终采用best或last权重的依据，以及训练权重到OpenVINO/RKNN部署文件的对应关系和校验值。】</w:t>
      </w:r>
    </w:p>
    <w:p w14:paraId="6644653A">
      <w:pPr>
        <w:pStyle w:val="4"/>
        <w:spacing w:before="240" w:after="240"/>
      </w:pPr>
      <w:bookmarkStart w:id="37" w:name="_Toc243339217"/>
      <w:r>
        <w:t>3.2.3 颈部、脐部及膝部锚点模型训练</w:t>
      </w:r>
      <w:bookmarkEnd w:id="37"/>
    </w:p>
    <w:p w14:paraId="68EC4858">
      <w:r>
        <w:t>颈部模型用于补充通用人体姿态中不能直接满足背部纵向定位需求的参考点。脐部模型为腹部规则提供局部原点，减少仅依靠躯干框比例估计腹部位置的依赖。膝部模型用于探索腿部局部锚点的可检测性，其训练结果可作为模型研究材料，但在部署版本得到核实之前，不能用于解释现有腿部输出的改善。</w:t>
      </w:r>
    </w:p>
    <w:p w14:paraId="4BA055D9">
      <w:r>
        <w:t>图3-1至图3-3根据三个任务各自保存的逐轮日志重绘验证pose loss与关键点mAP50-95。它们展示了训练过程中损失与验证指标的变化，可用于检查训练是否完成以及指标是否趋于稳定。曲线不作平滑，统计对象是锚点任务；不同任务之间的数据规模与难度不同，不能仅按曲线高低判定哪一类解剖锚点更容易定位。</w:t>
      </w:r>
    </w:p>
    <w:p w14:paraId="610A45AA">
      <w:pPr>
        <w:keepNext/>
        <w:spacing w:before="100" w:line="240" w:lineRule="auto"/>
        <w:ind w:firstLine="0"/>
        <w:jc w:val="center"/>
      </w:pPr>
      <w:r>
        <w:drawing>
          <wp:inline distT="0" distB="0" distL="0" distR="0">
            <wp:extent cx="5687695" cy="1958975"/>
            <wp:effectExtent l="0" t="0" r="0" b="0"/>
            <wp:docPr id="1" name="Picture 1" descr="图3-1 颈部锚点模型的主要验证指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图3-1 颈部锚点模型的主要验证指标"/>
                    <pic:cNvPicPr>
                      <a:picLocks noChangeAspect="1"/>
                    </pic:cNvPicPr>
                  </pic:nvPicPr>
                  <pic:blipFill>
                    <a:blip r:embed="rId10"/>
                    <a:stretch>
                      <a:fillRect/>
                    </a:stretch>
                  </pic:blipFill>
                  <pic:spPr>
                    <a:xfrm>
                      <a:off x="0" y="0"/>
                      <a:ext cx="5688000" cy="1959200"/>
                    </a:xfrm>
                    <a:prstGeom prst="rect">
                      <a:avLst/>
                    </a:prstGeom>
                  </pic:spPr>
                </pic:pic>
              </a:graphicData>
            </a:graphic>
          </wp:inline>
        </w:drawing>
      </w:r>
    </w:p>
    <w:p w14:paraId="621F70CF">
      <w:pPr>
        <w:pStyle w:val="79"/>
        <w:keepNext/>
      </w:pPr>
      <w:r>
        <w:t>图3-1 颈部锚点模型的主要验证指标</w:t>
      </w:r>
    </w:p>
    <w:p w14:paraId="6B379E2C">
      <w:pPr>
        <w:spacing w:line="276" w:lineRule="auto"/>
        <w:ind w:firstLine="0"/>
      </w:pPr>
      <w:r>
        <w:rPr>
          <w:sz w:val="18"/>
        </w:rPr>
        <w:t>来源：neck_x_first/颈模results.csv逐轮记录重绘；未平滑。</w:t>
      </w:r>
    </w:p>
    <w:p w14:paraId="4FBBEA2E">
      <w:pPr>
        <w:keepNext/>
        <w:spacing w:before="100" w:line="240" w:lineRule="auto"/>
        <w:ind w:firstLine="0"/>
        <w:jc w:val="center"/>
      </w:pPr>
      <w:r>
        <w:drawing>
          <wp:inline distT="0" distB="0" distL="0" distR="0">
            <wp:extent cx="5687695" cy="1958975"/>
            <wp:effectExtent l="0" t="0" r="0" b="0"/>
            <wp:docPr id="2" name="Picture 2" descr="图3-2 脐部锚点模型的主要验证指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图3-2 脐部锚点模型的主要验证指标"/>
                    <pic:cNvPicPr>
                      <a:picLocks noChangeAspect="1"/>
                    </pic:cNvPicPr>
                  </pic:nvPicPr>
                  <pic:blipFill>
                    <a:blip r:embed="rId11"/>
                    <a:stretch>
                      <a:fillRect/>
                    </a:stretch>
                  </pic:blipFill>
                  <pic:spPr>
                    <a:xfrm>
                      <a:off x="0" y="0"/>
                      <a:ext cx="5688000" cy="1959200"/>
                    </a:xfrm>
                    <a:prstGeom prst="rect">
                      <a:avLst/>
                    </a:prstGeom>
                  </pic:spPr>
                </pic:pic>
              </a:graphicData>
            </a:graphic>
          </wp:inline>
        </w:drawing>
      </w:r>
    </w:p>
    <w:p w14:paraId="7713CBA3">
      <w:pPr>
        <w:pStyle w:val="79"/>
        <w:keepNext/>
      </w:pPr>
      <w:r>
        <w:t>图3-2 脐部锚点模型的主要验证指标</w:t>
      </w:r>
    </w:p>
    <w:p w14:paraId="4D781FC1">
      <w:pPr>
        <w:spacing w:line="276" w:lineRule="auto"/>
        <w:ind w:firstLine="0"/>
      </w:pPr>
      <w:r>
        <w:rPr>
          <w:sz w:val="18"/>
        </w:rPr>
        <w:t>来源：train_x_navel_only/脐模results.csv逐轮记录重绘；未平滑。</w:t>
      </w:r>
    </w:p>
    <w:p w14:paraId="14670C8D">
      <w:pPr>
        <w:keepNext/>
        <w:spacing w:before="100" w:line="240" w:lineRule="auto"/>
        <w:ind w:firstLine="0"/>
        <w:jc w:val="center"/>
      </w:pPr>
      <w:r>
        <w:drawing>
          <wp:inline distT="0" distB="0" distL="0" distR="0">
            <wp:extent cx="5687695" cy="1958975"/>
            <wp:effectExtent l="0" t="0" r="0" b="0"/>
            <wp:docPr id="3" name="Picture 3" descr="图3-3 膝部锚点模型的主要验证指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图3-3 膝部锚点模型的主要验证指标"/>
                    <pic:cNvPicPr>
                      <a:picLocks noChangeAspect="1"/>
                    </pic:cNvPicPr>
                  </pic:nvPicPr>
                  <pic:blipFill>
                    <a:blip r:embed="rId12"/>
                    <a:stretch>
                      <a:fillRect/>
                    </a:stretch>
                  </pic:blipFill>
                  <pic:spPr>
                    <a:xfrm>
                      <a:off x="0" y="0"/>
                      <a:ext cx="5688000" cy="1959200"/>
                    </a:xfrm>
                    <a:prstGeom prst="rect">
                      <a:avLst/>
                    </a:prstGeom>
                  </pic:spPr>
                </pic:pic>
              </a:graphicData>
            </a:graphic>
          </wp:inline>
        </w:drawing>
      </w:r>
    </w:p>
    <w:p w14:paraId="5059441B">
      <w:pPr>
        <w:pStyle w:val="79"/>
        <w:keepNext/>
      </w:pPr>
      <w:r>
        <w:t>图3-3 膝部锚点模型的主要验证指标</w:t>
      </w:r>
    </w:p>
    <w:p w14:paraId="0B969335">
      <w:pPr>
        <w:spacing w:line="276" w:lineRule="auto"/>
        <w:ind w:firstLine="0"/>
      </w:pPr>
      <w:r>
        <w:rPr>
          <w:sz w:val="18"/>
        </w:rPr>
        <w:t>来源：leg_two/膝模results.csv逐轮记录重绘；生产接入状态待核。</w:t>
      </w:r>
    </w:p>
    <w:p w14:paraId="2A9A121A">
      <w:pPr>
        <w:pStyle w:val="3"/>
      </w:pPr>
      <w:bookmarkStart w:id="38" w:name="_Toc243339218"/>
      <w:r>
        <w:t>3.3 分部位解剖锚点检测</w:t>
      </w:r>
      <w:bookmarkEnd w:id="38"/>
    </w:p>
    <w:p w14:paraId="73B52B9C">
      <w:pPr>
        <w:pStyle w:val="4"/>
        <w:spacing w:before="240" w:after="240"/>
      </w:pPr>
      <w:bookmarkStart w:id="39" w:name="_Toc243339219"/>
      <w:r>
        <w:t>3.3.1 部位编码驱动的模型调用</w:t>
      </w:r>
      <w:bookmarkEnd w:id="39"/>
    </w:p>
    <w:p w14:paraId="0856FA68">
      <w:r>
        <w:t>视觉服务接收image_base64与body_part_code等字段，解码图像后选择对应部位流程。这样的任务驱动调用减少了不必要的模型运行，也使每一分支能够设置适合该部位的锚点与质量条件。其适用前提是上游部位编码与实际拍摄区域一致；若编码错误，程序即使返回合法坐标，也可能对应错误的规则集合。</w:t>
      </w:r>
    </w:p>
    <w:p w14:paraId="0BD12FA4">
      <w:r>
        <w:t>输出采用统一的穴位编码、名称和pixel_x、pixel_y字段。源码中的shoulder_width、hip_width等字段在部分分支经过离散缩放或参考值转换，不能仅根据字段名将其解释为以米或毫米表示的实际肩宽与髋宽。调用方应使用明确的字段语义，不得把这类辅助系数直接作为机器人空间尺度。</w:t>
      </w:r>
    </w:p>
    <w:p w14:paraId="731D6178">
      <w:r>
        <w:t>现有实现支持在不同计算架构中加载模型：x86侧采用OpenVINO相关后端，ARM侧包含RKNN适配。后端转换能够改变计算方式与耗时，也可能影响输出精度，因此部署效率需要在实际模型与实际设备组合上测量；云端训练耗时或开发电脑上的推理时间不能代替机器人运行平台的指标。</w:t>
      </w:r>
    </w:p>
    <w:p w14:paraId="49312FF4">
      <w:pPr>
        <w:pStyle w:val="4"/>
        <w:spacing w:before="240" w:after="240"/>
      </w:pPr>
      <w:bookmarkStart w:id="40" w:name="_Toc243339220"/>
      <w:r>
        <w:t>3.3.2 通用姿态模型与局部锚点模型协同</w:t>
      </w:r>
      <w:bookmarkEnd w:id="40"/>
    </w:p>
    <w:p w14:paraId="7F098B1D">
      <w:r>
        <w:t>通用姿态模型提供人体整体结构，局部模型补充缺少的参考信息。背部流程先提取左右肩、左右髋等关键点，再结合颈部模型生成纵向参考；腹部流程引入脐部位置作为局部基准。协同的关键是统一图像坐标、关键点顺序和置信度含义，保证不同模型的输出可以在同一二维平面上计算。</w:t>
      </w:r>
    </w:p>
    <w:p w14:paraId="2C2AD1D2">
      <w:r>
        <w:t>源码包含锚点置信度与姿态几何检查，例如肩髋关键点置信度、肩线与髋线角度及人体主轴方向。部分异常分支使用模板或补偿逻辑。质量检查有助于过滤不适合当前规则的图像，但会改变参与统计的样本集合；因此报告定位误差时，还应同时报告输入样本数、拒绝数和有效输出数，不能仅在成功子集上评价而忽略覆盖率。</w:t>
      </w:r>
    </w:p>
    <w:p w14:paraId="01C0298E">
      <w:r>
        <w:t>人工确认是现有链路的一部分。若人工调整了穴位位置，后续机械臂到位结果反映的是“算法输出加人工修正”的整体流程，不能归因于原始算法定位精度。实验记录应保留修改前后坐标，以区分算法误差与交互修正效果。</w:t>
      </w:r>
    </w:p>
    <w:p w14:paraId="4406CBE8">
      <w:pPr>
        <w:pStyle w:val="3"/>
      </w:pPr>
      <w:bookmarkStart w:id="41" w:name="_Toc243339221"/>
      <w:r>
        <w:t>3.4 基于骨度约束的穴位几何推理</w:t>
      </w:r>
      <w:bookmarkEnd w:id="41"/>
    </w:p>
    <w:p w14:paraId="53C95A46">
      <w:pPr>
        <w:pStyle w:val="4"/>
        <w:spacing w:before="240" w:after="240"/>
      </w:pPr>
      <w:bookmarkStart w:id="42" w:name="_Toc243339222"/>
      <w:r>
        <w:t>3.4.1 解剖基线与个体化尺度估计</w:t>
      </w:r>
      <w:bookmarkEnd w:id="42"/>
    </w:p>
    <w:p w14:paraId="6E991BD9">
      <w:r>
        <w:t>以背部为例，记颈部锚点为N，左右髋点为H_L、H_R，髋中点为H。纵向基线由N指向H，单位向量e_l给出人体纵向方向；其垂直方向e_t用于横向偏移。这里的“寸”是规则计算中的相对尺度，并非固定长度单位，二维像素尺度也不直接等于人体表面的真实弧长。</w:t>
      </w:r>
    </w:p>
    <w:p w14:paraId="02CE4DAB">
      <w:pPr>
        <w:spacing w:before="120" w:after="120" w:line="300" w:lineRule="auto"/>
        <w:ind w:firstLine="0"/>
        <w:jc w:val="center"/>
      </w:pPr>
      <m:oMath>
        <m:r>
          <m:rPr>
            <m:sty m:val="p"/>
          </m:rPr>
          <w:rPr>
            <w:rFonts w:ascii="Cambria Math" w:hAnsi="Cambria Math"/>
          </w:rPr>
          <m:t>H=</m:t>
        </m:r>
        <m:f>
          <m:fPr>
            <m:ctrlPr>
              <w:rPr>
                <w:rFonts w:ascii="Cambria Math" w:hAnsi="Cambria Math"/>
              </w:rPr>
            </m:ctrlPr>
          </m:fPr>
          <m:num>
            <m:sSub>
              <m:sSubPr>
                <m:ctrlPr>
                  <w:rPr>
                    <w:rFonts w:ascii="Cambria Math" w:hAnsi="Cambria Math"/>
                  </w:rPr>
                </m:ctrlPr>
              </m:sSubPr>
              <m:e>
                <m:r>
                  <m:rPr>
                    <m:sty m:val="p"/>
                  </m:rPr>
                  <w:rPr>
                    <w:rFonts w:ascii="Cambria Math" w:hAnsi="Cambria Math"/>
                  </w:rPr>
                  <m:t>H</m:t>
                </m:r>
                <m:ctrlPr>
                  <w:rPr>
                    <w:rFonts w:ascii="Cambria Math" w:hAnsi="Cambria Math"/>
                  </w:rPr>
                </m:ctrlPr>
              </m:e>
              <m:sub>
                <m:r>
                  <m:rPr>
                    <m:sty m:val="p"/>
                  </m:rPr>
                  <w:rPr>
                    <w:rFonts w:ascii="Cambria Math" w:hAnsi="Cambria Math"/>
                  </w:rPr>
                  <m:t>L</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H</m:t>
                </m:r>
                <m:ctrlPr>
                  <w:rPr>
                    <w:rFonts w:ascii="Cambria Math" w:hAnsi="Cambria Math"/>
                  </w:rPr>
                </m:ctrlPr>
              </m:e>
              <m:sub>
                <m:r>
                  <m:rPr>
                    <m:sty m:val="p"/>
                  </m:rPr>
                  <w:rPr>
                    <w:rFonts w:ascii="Cambria Math" w:hAnsi="Cambria Math"/>
                  </w:rPr>
                  <m:t>R</m:t>
                </m:r>
                <m:ctrlPr>
                  <w:rPr>
                    <w:rFonts w:ascii="Cambria Math" w:hAnsi="Cambria Math"/>
                  </w:rPr>
                </m:ctrlPr>
              </m:sub>
            </m:sSub>
            <m:ctrlPr>
              <w:rPr>
                <w:rFonts w:ascii="Cambria Math" w:hAnsi="Cambria Math"/>
              </w:rPr>
            </m:ctrlPr>
          </m:num>
          <m:den>
            <m:r>
              <m:rPr>
                <m:sty m:val="p"/>
              </m:rPr>
              <w:rPr>
                <w:rFonts w:ascii="Cambria Math" w:hAnsi="Cambria Math"/>
              </w:rPr>
              <m:t>2</m:t>
            </m:r>
            <m:ctrlPr>
              <w:rPr>
                <w:rFonts w:ascii="Cambria Math" w:hAnsi="Cambria Math"/>
              </w:rPr>
            </m:ctrlPr>
          </m:den>
        </m:f>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l</m:t>
            </m:r>
            <m:ctrlPr>
              <w:rPr>
                <w:rFonts w:ascii="Cambria Math" w:hAnsi="Cambria Math"/>
              </w:rPr>
            </m:ctrlPr>
          </m:sub>
        </m:sSub>
        <m:r>
          <m:rPr>
            <m:sty m:val="p"/>
          </m:rPr>
          <w:rPr>
            <w:rFonts w:ascii="Cambria Math" w:hAnsi="Cambria Math"/>
          </w:rPr>
          <m:t>=</m:t>
        </m:r>
        <m:f>
          <m:fPr>
            <m:ctrlPr>
              <w:rPr>
                <w:rFonts w:ascii="Cambria Math" w:hAnsi="Cambria Math"/>
              </w:rPr>
            </m:ctrlPr>
          </m:fPr>
          <m:num>
            <m:r>
              <m:rPr>
                <m:sty m:val="p"/>
              </m:rPr>
              <w:rPr>
                <w:rFonts w:ascii="Cambria Math" w:hAnsi="Cambria Math"/>
              </w:rPr>
              <m:t>H−N</m:t>
            </m:r>
            <m:ctrlPr>
              <w:rPr>
                <w:rFonts w:ascii="Cambria Math" w:hAnsi="Cambria Math"/>
              </w:rPr>
            </m:ctrlPr>
          </m:num>
          <m:den>
            <m:r>
              <m:rPr>
                <m:sty m:val="p"/>
              </m:rPr>
              <w:rPr>
                <w:rFonts w:ascii="Cambria Math" w:hAnsi="Cambria Math"/>
              </w:rPr>
              <m:t>‖H−N‖</m:t>
            </m:r>
            <m:ctrlPr>
              <w:rPr>
                <w:rFonts w:ascii="Cambria Math" w:hAnsi="Cambria Math"/>
              </w:rPr>
            </m:ctrlPr>
          </m:den>
        </m:f>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t</m:t>
            </m:r>
            <m:ctrlPr>
              <w:rPr>
                <w:rFonts w:ascii="Cambria Math" w:hAnsi="Cambria Math"/>
              </w:rPr>
            </m:ctrlPr>
          </m:sub>
        </m:sSub>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l,y</m:t>
                      </m:r>
                      <m:ctrlPr>
                        <w:rPr>
                          <w:rFonts w:ascii="Cambria Math" w:hAnsi="Cambria Math"/>
                        </w:rPr>
                      </m:ctrlPr>
                    </m:sub>
                  </m:sSub>
                  <m:ctrlPr>
                    <w:rPr>
                      <w:rFonts w:ascii="Cambria Math" w:hAnsi="Cambria Math"/>
                    </w:rPr>
                  </m:ctrlPr>
                </m:e>
              </m:mr>
              <m:mr>
                <m:e>
                  <m:r>
                    <m:rPr>
                      <m:sty m:val="p"/>
                    </m:rPr>
                    <w:rPr>
                      <w:rFonts w:ascii="Cambria Math" w:hAnsi="Cambria Math"/>
                    </w:rPr>
                    <m:t>−</m:t>
                  </m:r>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l,x</m:t>
                      </m:r>
                      <m:ctrlPr>
                        <w:rPr>
                          <w:rFonts w:ascii="Cambria Math" w:hAnsi="Cambria Math"/>
                        </w:rPr>
                      </m:ctrlPr>
                    </m:sub>
                  </m:sSub>
                  <m:ctrlPr>
                    <w:rPr>
                      <w:rFonts w:ascii="Cambria Math" w:hAnsi="Cambria Math"/>
                    </w:rPr>
                  </m:ctrlPr>
                </m:e>
              </m:mr>
            </m:m>
            <m:ctrlPr>
              <w:rPr>
                <w:rFonts w:ascii="Cambria Math" w:hAnsi="Cambria Math"/>
              </w:rPr>
            </m:ctrlPr>
          </m:e>
        </m:d>
      </m:oMath>
      <w:r>
        <w:rPr>
          <w:sz w:val="21"/>
        </w:rPr>
        <w:t xml:space="preserve">    （3-2）</w:t>
      </w:r>
    </w:p>
    <w:p w14:paraId="3F865A16">
      <w:r>
        <w:t>当前背部实现以颈部至髋中点距离除以22作为纵向像素当量；横向尺度参考单侧肩部至中线距离和单侧髋部至中线距离，并取两种归一化尺度的较小值。设这两个距离为d_s、d_h，则：</w:t>
      </w:r>
    </w:p>
    <w:p w14:paraId="203AC3FB">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s</m:t>
            </m:r>
            <m:ctrlPr>
              <w:rPr>
                <w:rFonts w:ascii="Cambria Math" w:hAnsi="Cambria Math"/>
              </w:rPr>
            </m:ctrlPr>
          </m:e>
          <m:sub>
            <m:r>
              <m:rPr>
                <m:sty m:val="p"/>
              </m:rPr>
              <w:rPr>
                <w:rFonts w:ascii="Cambria Math" w:hAnsi="Cambria Math"/>
              </w:rPr>
              <m:t>l</m:t>
            </m:r>
            <m:ctrlPr>
              <w:rPr>
                <w:rFonts w:ascii="Cambria Math" w:hAnsi="Cambria Math"/>
              </w:rPr>
            </m:ctrlPr>
          </m:sub>
        </m:sSub>
        <m:r>
          <m:rPr>
            <m:sty m:val="p"/>
          </m:rPr>
          <w:rPr>
            <w:rFonts w:ascii="Cambria Math" w:hAnsi="Cambria Math"/>
          </w:rPr>
          <m:t>=</m:t>
        </m:r>
        <m:f>
          <m:fPr>
            <m:ctrlPr>
              <w:rPr>
                <w:rFonts w:ascii="Cambria Math" w:hAnsi="Cambria Math"/>
              </w:rPr>
            </m:ctrlPr>
          </m:fPr>
          <m:num>
            <m:r>
              <m:rPr>
                <m:sty m:val="p"/>
              </m:rPr>
              <w:rPr>
                <w:rFonts w:ascii="Cambria Math" w:hAnsi="Cambria Math"/>
              </w:rPr>
              <m:t>‖H−N‖</m:t>
            </m:r>
            <m:ctrlPr>
              <w:rPr>
                <w:rFonts w:ascii="Cambria Math" w:hAnsi="Cambria Math"/>
              </w:rPr>
            </m:ctrlPr>
          </m:num>
          <m:den>
            <m:r>
              <m:rPr>
                <m:sty m:val="p"/>
              </m:rPr>
              <w:rPr>
                <w:rFonts w:ascii="Cambria Math" w:hAnsi="Cambria Math"/>
              </w:rPr>
              <m:t>22</m:t>
            </m:r>
            <m:ctrlPr>
              <w:rPr>
                <w:rFonts w:ascii="Cambria Math" w:hAnsi="Cambria Math"/>
              </w:rPr>
            </m:ctrlPr>
          </m:den>
        </m:f>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s</m:t>
            </m:r>
            <m:ctrlPr>
              <w:rPr>
                <w:rFonts w:ascii="Cambria Math" w:hAnsi="Cambria Math"/>
              </w:rPr>
            </m:ctrlPr>
          </m:e>
          <m:sub>
            <m:r>
              <m:rPr>
                <m:sty m:val="p"/>
              </m:rPr>
              <w:rPr>
                <w:rFonts w:ascii="Cambria Math" w:hAnsi="Cambria Math"/>
              </w:rPr>
              <m:t>t</m:t>
            </m:r>
            <m:ctrlPr>
              <w:rPr>
                <w:rFonts w:ascii="Cambria Math" w:hAnsi="Cambria Math"/>
              </w:rPr>
            </m:ctrlPr>
          </m:sub>
        </m:sSub>
        <m:r>
          <m:rPr>
            <m:sty m:val="p"/>
          </m:rPr>
          <w:rPr>
            <w:rFonts w:ascii="Cambria Math" w:hAnsi="Cambria Math"/>
          </w:rPr>
          <m:t>=min(</m:t>
        </m:r>
        <m:f>
          <m:fPr>
            <m:ctrlPr>
              <w:rPr>
                <w:rFonts w:ascii="Cambria Math" w:hAnsi="Cambria Math"/>
              </w:rPr>
            </m:ctrlPr>
          </m:fPr>
          <m:num>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s</m:t>
                </m:r>
                <m:ctrlPr>
                  <w:rPr>
                    <w:rFonts w:ascii="Cambria Math" w:hAnsi="Cambria Math"/>
                  </w:rPr>
                </m:ctrlPr>
              </m:sub>
            </m:sSub>
            <m:ctrlPr>
              <w:rPr>
                <w:rFonts w:ascii="Cambria Math" w:hAnsi="Cambria Math"/>
              </w:rPr>
            </m:ctrlPr>
          </m:num>
          <m:den>
            <m:r>
              <m:rPr>
                <m:sty m:val="p"/>
              </m:rPr>
              <w:rPr>
                <w:rFonts w:ascii="Cambria Math" w:hAnsi="Cambria Math"/>
              </w:rPr>
              <m:t>8.5</m:t>
            </m:r>
            <m:ctrlPr>
              <w:rPr>
                <w:rFonts w:ascii="Cambria Math" w:hAnsi="Cambria Math"/>
              </w:rPr>
            </m:ctrlP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h</m:t>
                </m:r>
                <m:ctrlPr>
                  <w:rPr>
                    <w:rFonts w:ascii="Cambria Math" w:hAnsi="Cambria Math"/>
                  </w:rPr>
                </m:ctrlPr>
              </m:sub>
            </m:sSub>
            <m:ctrlPr>
              <w:rPr>
                <w:rFonts w:ascii="Cambria Math" w:hAnsi="Cambria Math"/>
              </w:rPr>
            </m:ctrlPr>
          </m:num>
          <m:den>
            <m:r>
              <m:rPr>
                <m:sty m:val="p"/>
              </m:rPr>
              <w:rPr>
                <w:rFonts w:ascii="Cambria Math" w:hAnsi="Cambria Math"/>
              </w:rPr>
              <m:t>6</m:t>
            </m:r>
            <m:ctrlPr>
              <w:rPr>
                <w:rFonts w:ascii="Cambria Math" w:hAnsi="Cambria Math"/>
              </w:rPr>
            </m:ctrlPr>
          </m:den>
        </m:f>
        <m:r>
          <m:rPr>
            <m:sty m:val="p"/>
          </m:rPr>
          <w:rPr>
            <w:rFonts w:ascii="Cambria Math" w:hAnsi="Cambria Math"/>
          </w:rPr>
          <m:t>)</m:t>
        </m:r>
      </m:oMath>
      <w:r>
        <w:rPr>
          <w:sz w:val="21"/>
        </w:rPr>
        <w:t xml:space="preserve">    （3-3）</w:t>
      </w:r>
    </w:p>
    <w:p w14:paraId="097D3154">
      <w:r>
        <w:t>式（3-3）的22、8.5和6是现有程序中的规则常数，其作用是定义该实现的比例关系。不能仅因使用骨度概念就认定所有常数和锚点定义均已与标准逐项一致。程序中的图像尺度、解剖定义和拍摄姿态需要共同验证，尤其在透视倾斜或躯干弯曲明显时，二维线性比例可能产生系统偏差。</w:t>
      </w:r>
    </w:p>
    <w:p w14:paraId="22DA1F63">
      <w:r>
        <w:t>式（3-3）给出初始尺度。背部程序先用初始纵向尺度和offset_cun=-4构造back_start_point，再在纵向尺度与肩部尺度之比不大于1.28时，将纵向尺度调整为肩部尺度的1.28倍。因此，最终目标生成包含经验补偿，原点生成与后续偏移使用的尺度可能不同。该处理应在消融与规则审查中单独说明，不能将全部输出解释为未经补偿的线性骨度公式。</w:t>
      </w:r>
    </w:p>
    <w:p w14:paraId="24F2D176">
      <w:pPr>
        <w:keepNext/>
        <w:spacing w:before="100" w:line="240" w:lineRule="auto"/>
        <w:ind w:firstLine="0"/>
        <w:jc w:val="center"/>
      </w:pPr>
      <w:r>
        <w:drawing>
          <wp:inline distT="0" distB="0" distL="0" distR="0">
            <wp:extent cx="5039995" cy="3359785"/>
            <wp:effectExtent l="0" t="0" r="0" b="0"/>
            <wp:docPr id="4" name="Picture 4" descr="图3-4 背部锚点与初始相对尺度的几何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图3-4 背部锚点与初始相对尺度的几何示意"/>
                    <pic:cNvPicPr>
                      <a:picLocks noChangeAspect="1"/>
                    </pic:cNvPicPr>
                  </pic:nvPicPr>
                  <pic:blipFill>
                    <a:blip r:embed="rId13"/>
                    <a:stretch>
                      <a:fillRect/>
                    </a:stretch>
                  </pic:blipFill>
                  <pic:spPr>
                    <a:xfrm>
                      <a:off x="0" y="0"/>
                      <a:ext cx="5040000" cy="3360000"/>
                    </a:xfrm>
                    <a:prstGeom prst="rect">
                      <a:avLst/>
                    </a:prstGeom>
                  </pic:spPr>
                </pic:pic>
              </a:graphicData>
            </a:graphic>
          </wp:inline>
        </w:drawing>
      </w:r>
    </w:p>
    <w:p w14:paraId="125A7410">
      <w:pPr>
        <w:pStyle w:val="79"/>
        <w:keepNext/>
      </w:pPr>
      <w:r>
        <w:t>图3-4 背部锚点与初始相对尺度的几何示意</w:t>
      </w:r>
    </w:p>
    <w:p w14:paraId="33233546">
      <w:pPr>
        <w:spacing w:line="276" w:lineRule="auto"/>
        <w:ind w:firstLine="0"/>
      </w:pPr>
      <w:r>
        <w:rPr>
          <w:sz w:val="18"/>
        </w:rPr>
        <w:t>依据现有代码中的初始尺度关系绘制；不表示真实测量、目标真值或补偿后的最终输出。</w:t>
      </w:r>
    </w:p>
    <w:p w14:paraId="68BF7F64">
      <w:pPr>
        <w:pStyle w:val="4"/>
        <w:spacing w:before="240" w:after="240"/>
      </w:pPr>
      <w:bookmarkStart w:id="43" w:name="_Toc243339223"/>
      <w:r>
        <w:t>3.4.2 穴位位置计算与规则库构建</w:t>
      </w:r>
      <w:bookmarkEnd w:id="43"/>
    </w:p>
    <w:p w14:paraId="15870BAD">
      <w:r>
        <w:t>给定基线原点u_0，目标j可用纵向与横向的尺度偏移表示。为避免方向歧义，本文在公式中将沿e_l的偏移记为a_j，沿e_t的偏移记为b_j；配置文件中的offset_cun必须结合对应函数的符号约定映射到该表示，不能只读取数值而忽略计算方向。</w:t>
      </w:r>
    </w:p>
    <w:p w14:paraId="78D7B859">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u</m:t>
            </m:r>
            <m:ctrlPr>
              <w:rPr>
                <w:rFonts w:ascii="Cambria Math" w:hAnsi="Cambria Math"/>
              </w:rPr>
            </m:ctrlPr>
          </m:e>
          <m:sub>
            <m:r>
              <m:rPr>
                <m:sty m:val="p"/>
              </m:rPr>
              <w:rPr>
                <w:rFonts w:ascii="Cambria Math" w:hAnsi="Cambria Math"/>
              </w:rPr>
              <m:t>j</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ctrlPr>
              <w:rPr>
                <w:rFonts w:ascii="Cambria Math" w:hAnsi="Cambria Math"/>
              </w:rPr>
            </m:ctrlPr>
          </m:e>
          <m:sub>
            <m:r>
              <m:rPr>
                <m:sty m:val="p"/>
              </m:rPr>
              <w:rPr>
                <w:rFonts w:ascii="Cambria Math" w:hAnsi="Cambria Math"/>
              </w:rPr>
              <m:t>0</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ctrlPr>
              <w:rPr>
                <w:rFonts w:ascii="Cambria Math" w:hAnsi="Cambria Math"/>
              </w:rPr>
            </m:ctrlPr>
          </m:e>
          <m:sub>
            <m:r>
              <m:rPr>
                <m:sty m:val="p"/>
              </m:rPr>
              <w:rPr>
                <w:rFonts w:ascii="Cambria Math" w:hAnsi="Cambria Math"/>
              </w:rPr>
              <m:t>j</m:t>
            </m:r>
            <m:ctrlPr>
              <w:rPr>
                <w:rFonts w:ascii="Cambria Math" w:hAnsi="Cambria Math"/>
              </w:rPr>
            </m:ctrlPr>
          </m:sub>
        </m:sSub>
        <m:sSub>
          <m:sSubPr>
            <m:ctrlPr>
              <w:rPr>
                <w:rFonts w:ascii="Cambria Math" w:hAnsi="Cambria Math"/>
              </w:rPr>
            </m:ctrlPr>
          </m:sSubPr>
          <m:e>
            <m:r>
              <m:rPr>
                <m:sty m:val="p"/>
              </m:rPr>
              <w:rPr>
                <w:rFonts w:ascii="Cambria Math" w:hAnsi="Cambria Math"/>
              </w:rPr>
              <m:t>s</m:t>
            </m:r>
            <m:ctrlPr>
              <w:rPr>
                <w:rFonts w:ascii="Cambria Math" w:hAnsi="Cambria Math"/>
              </w:rPr>
            </m:ctrlPr>
          </m:e>
          <m:sub>
            <m:r>
              <m:rPr>
                <m:sty m:val="p"/>
              </m:rPr>
              <w:rPr>
                <w:rFonts w:ascii="Cambria Math" w:hAnsi="Cambria Math"/>
              </w:rPr>
              <m:t>l</m:t>
            </m:r>
            <m:ctrlPr>
              <w:rPr>
                <w:rFonts w:ascii="Cambria Math" w:hAnsi="Cambria Math"/>
              </w:rPr>
            </m:ctrlPr>
          </m:sub>
        </m:sSub>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l</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b</m:t>
            </m:r>
            <m:ctrlPr>
              <w:rPr>
                <w:rFonts w:ascii="Cambria Math" w:hAnsi="Cambria Math"/>
              </w:rPr>
            </m:ctrlPr>
          </m:e>
          <m:sub>
            <m:r>
              <m:rPr>
                <m:sty m:val="p"/>
              </m:rPr>
              <w:rPr>
                <w:rFonts w:ascii="Cambria Math" w:hAnsi="Cambria Math"/>
              </w:rPr>
              <m:t>j</m:t>
            </m:r>
            <m:ctrlPr>
              <w:rPr>
                <w:rFonts w:ascii="Cambria Math" w:hAnsi="Cambria Math"/>
              </w:rPr>
            </m:ctrlPr>
          </m:sub>
        </m:sSub>
        <m:sSub>
          <m:sSubPr>
            <m:ctrlPr>
              <w:rPr>
                <w:rFonts w:ascii="Cambria Math" w:hAnsi="Cambria Math"/>
              </w:rPr>
            </m:ctrlPr>
          </m:sSubPr>
          <m:e>
            <m:r>
              <m:rPr>
                <m:sty m:val="p"/>
              </m:rPr>
              <w:rPr>
                <w:rFonts w:ascii="Cambria Math" w:hAnsi="Cambria Math"/>
              </w:rPr>
              <m:t>s</m:t>
            </m:r>
            <m:ctrlPr>
              <w:rPr>
                <w:rFonts w:ascii="Cambria Math" w:hAnsi="Cambria Math"/>
              </w:rPr>
            </m:ctrlPr>
          </m:e>
          <m:sub>
            <m:r>
              <m:rPr>
                <m:sty m:val="p"/>
              </m:rPr>
              <w:rPr>
                <w:rFonts w:ascii="Cambria Math" w:hAnsi="Cambria Math"/>
              </w:rPr>
              <m:t>t</m:t>
            </m:r>
            <m:ctrlPr>
              <w:rPr>
                <w:rFonts w:ascii="Cambria Math" w:hAnsi="Cambria Math"/>
              </w:rPr>
            </m:ctrlPr>
          </m:sub>
        </m:sSub>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t</m:t>
            </m:r>
            <m:ctrlPr>
              <w:rPr>
                <w:rFonts w:ascii="Cambria Math" w:hAnsi="Cambria Math"/>
              </w:rPr>
            </m:ctrlPr>
          </m:sub>
        </m:sSub>
      </m:oMath>
      <w:r>
        <w:rPr>
          <w:sz w:val="21"/>
        </w:rPr>
        <w:t xml:space="preserve">    （3-4）</w:t>
      </w:r>
    </w:p>
    <w:p w14:paraId="06C819A2">
      <w:r>
        <w:t>规则库按背部、腹部和腿部独立保存，字段包含目标编码、名称、起止参考点、偏移和方向等信息。现有背部规则使用acupoints_config.json，腹部与腿部使用对应的配置文件。以背部中央目标为例，配置中GV14、GV13、GV12的offset_cun分别为3、2和0，起止参考为back_start_point与hip_mid。这些条目说明规则可以由外部文件管理，不代表脱离程序方向定义后的独立定位公式。</w:t>
      </w:r>
    </w:p>
    <w:p w14:paraId="458C1386">
      <w:pPr>
        <w:pStyle w:val="79"/>
        <w:keepNext/>
      </w:pPr>
      <w:r>
        <w:t>表3-3 背部规则库字段示例</w:t>
      </w:r>
    </w:p>
    <w:tbl>
      <w:tblPr>
        <w:tblStyle w:val="28"/>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75" w:type="dxa"/>
          <w:bottom w:w="65" w:type="dxa"/>
          <w:right w:w="75" w:type="dxa"/>
        </w:tblCellMar>
      </w:tblPr>
      <w:tblGrid>
        <w:gridCol w:w="2268"/>
        <w:gridCol w:w="2268"/>
        <w:gridCol w:w="2268"/>
        <w:gridCol w:w="2268"/>
      </w:tblGrid>
      <w:tr w14:paraId="30BE78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tblHeader/>
          <w:jc w:val="center"/>
        </w:trPr>
        <w:tc>
          <w:tcPr>
            <w:tcW w:w="2268" w:type="dxa"/>
            <w:shd w:val="clear" w:color="auto" w:fill="F2F2F2"/>
            <w:vAlign w:val="center"/>
          </w:tcPr>
          <w:p w14:paraId="29D5D3F2">
            <w:pPr>
              <w:keepNext/>
              <w:spacing w:before="40" w:after="40" w:line="276" w:lineRule="auto"/>
              <w:ind w:firstLine="0"/>
              <w:jc w:val="center"/>
            </w:pPr>
            <w:r>
              <w:rPr>
                <w:b/>
                <w:sz w:val="20"/>
              </w:rPr>
              <w:t>目标编码</w:t>
            </w:r>
          </w:p>
        </w:tc>
        <w:tc>
          <w:tcPr>
            <w:tcW w:w="2268" w:type="dxa"/>
            <w:shd w:val="clear" w:color="auto" w:fill="F2F2F2"/>
            <w:vAlign w:val="center"/>
          </w:tcPr>
          <w:p w14:paraId="0B30C3B5">
            <w:pPr>
              <w:keepNext/>
              <w:spacing w:before="40" w:after="40" w:line="276" w:lineRule="auto"/>
              <w:ind w:firstLine="0"/>
              <w:jc w:val="center"/>
            </w:pPr>
            <w:r>
              <w:rPr>
                <w:b/>
                <w:sz w:val="20"/>
              </w:rPr>
              <w:t>名称</w:t>
            </w:r>
          </w:p>
        </w:tc>
        <w:tc>
          <w:tcPr>
            <w:tcW w:w="2268" w:type="dxa"/>
            <w:shd w:val="clear" w:color="auto" w:fill="F2F2F2"/>
            <w:vAlign w:val="center"/>
          </w:tcPr>
          <w:p w14:paraId="68D0B398">
            <w:pPr>
              <w:keepNext/>
              <w:spacing w:before="40" w:after="40" w:line="276" w:lineRule="auto"/>
              <w:ind w:firstLine="0"/>
              <w:jc w:val="center"/>
            </w:pPr>
            <w:r>
              <w:rPr>
                <w:b/>
                <w:sz w:val="20"/>
              </w:rPr>
              <w:t>参考关系</w:t>
            </w:r>
          </w:p>
        </w:tc>
        <w:tc>
          <w:tcPr>
            <w:tcW w:w="2268" w:type="dxa"/>
            <w:shd w:val="clear" w:color="auto" w:fill="F2F2F2"/>
            <w:vAlign w:val="center"/>
          </w:tcPr>
          <w:p w14:paraId="2986BAF1">
            <w:pPr>
              <w:keepNext/>
              <w:spacing w:before="40" w:after="40" w:line="276" w:lineRule="auto"/>
              <w:ind w:firstLine="0"/>
              <w:jc w:val="center"/>
            </w:pPr>
            <w:r>
              <w:rPr>
                <w:b/>
                <w:sz w:val="20"/>
              </w:rPr>
              <w:t>offset_cun</w:t>
            </w:r>
          </w:p>
        </w:tc>
      </w:tr>
      <w:tr w14:paraId="0EBDC8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268" w:type="dxa"/>
            <w:vAlign w:val="center"/>
          </w:tcPr>
          <w:p w14:paraId="1622D01A">
            <w:pPr>
              <w:keepNext/>
              <w:spacing w:before="40" w:after="40" w:line="276" w:lineRule="auto"/>
              <w:ind w:firstLine="0"/>
              <w:jc w:val="center"/>
            </w:pPr>
            <w:r>
              <w:rPr>
                <w:sz w:val="20"/>
              </w:rPr>
              <w:t>GV14</w:t>
            </w:r>
          </w:p>
        </w:tc>
        <w:tc>
          <w:tcPr>
            <w:tcW w:w="2268" w:type="dxa"/>
            <w:vAlign w:val="center"/>
          </w:tcPr>
          <w:p w14:paraId="50962EFD">
            <w:pPr>
              <w:keepNext/>
              <w:spacing w:before="40" w:after="40" w:line="276" w:lineRule="auto"/>
              <w:ind w:firstLine="0"/>
              <w:jc w:val="center"/>
            </w:pPr>
            <w:r>
              <w:rPr>
                <w:sz w:val="20"/>
              </w:rPr>
              <w:t>大椎</w:t>
            </w:r>
          </w:p>
        </w:tc>
        <w:tc>
          <w:tcPr>
            <w:tcW w:w="2268" w:type="dxa"/>
            <w:vAlign w:val="center"/>
          </w:tcPr>
          <w:p w14:paraId="2C958CEF">
            <w:pPr>
              <w:keepNext/>
              <w:spacing w:before="40" w:after="40" w:line="276" w:lineRule="auto"/>
              <w:ind w:firstLine="0"/>
              <w:jc w:val="left"/>
            </w:pPr>
            <w:r>
              <w:rPr>
                <w:sz w:val="20"/>
              </w:rPr>
              <w:t>back_start_point → hip_mid</w:t>
            </w:r>
          </w:p>
        </w:tc>
        <w:tc>
          <w:tcPr>
            <w:tcW w:w="2268" w:type="dxa"/>
            <w:vAlign w:val="center"/>
          </w:tcPr>
          <w:p w14:paraId="004C6B52">
            <w:pPr>
              <w:keepNext/>
              <w:spacing w:before="40" w:after="40" w:line="276" w:lineRule="auto"/>
              <w:ind w:firstLine="0"/>
              <w:jc w:val="center"/>
            </w:pPr>
            <w:r>
              <w:rPr>
                <w:sz w:val="20"/>
              </w:rPr>
              <w:t>3.0</w:t>
            </w:r>
          </w:p>
        </w:tc>
      </w:tr>
      <w:tr w14:paraId="466D03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268" w:type="dxa"/>
            <w:vAlign w:val="center"/>
          </w:tcPr>
          <w:p w14:paraId="21C6D043">
            <w:pPr>
              <w:keepNext/>
              <w:spacing w:before="40" w:after="40" w:line="276" w:lineRule="auto"/>
              <w:ind w:firstLine="0"/>
              <w:jc w:val="center"/>
            </w:pPr>
            <w:r>
              <w:rPr>
                <w:sz w:val="20"/>
              </w:rPr>
              <w:t>GV13</w:t>
            </w:r>
          </w:p>
        </w:tc>
        <w:tc>
          <w:tcPr>
            <w:tcW w:w="2268" w:type="dxa"/>
            <w:vAlign w:val="center"/>
          </w:tcPr>
          <w:p w14:paraId="63306147">
            <w:pPr>
              <w:keepNext/>
              <w:spacing w:before="40" w:after="40" w:line="276" w:lineRule="auto"/>
              <w:ind w:firstLine="0"/>
              <w:jc w:val="center"/>
            </w:pPr>
            <w:r>
              <w:rPr>
                <w:sz w:val="20"/>
              </w:rPr>
              <w:t>陶道</w:t>
            </w:r>
          </w:p>
        </w:tc>
        <w:tc>
          <w:tcPr>
            <w:tcW w:w="2268" w:type="dxa"/>
            <w:vAlign w:val="center"/>
          </w:tcPr>
          <w:p w14:paraId="5210C306">
            <w:pPr>
              <w:keepNext/>
              <w:spacing w:before="40" w:after="40" w:line="276" w:lineRule="auto"/>
              <w:ind w:firstLine="0"/>
              <w:jc w:val="left"/>
            </w:pPr>
            <w:r>
              <w:rPr>
                <w:sz w:val="20"/>
              </w:rPr>
              <w:t>back_start_point → hip_mid</w:t>
            </w:r>
          </w:p>
        </w:tc>
        <w:tc>
          <w:tcPr>
            <w:tcW w:w="2268" w:type="dxa"/>
            <w:vAlign w:val="center"/>
          </w:tcPr>
          <w:p w14:paraId="68169C09">
            <w:pPr>
              <w:keepNext/>
              <w:spacing w:before="40" w:after="40" w:line="276" w:lineRule="auto"/>
              <w:ind w:firstLine="0"/>
              <w:jc w:val="center"/>
            </w:pPr>
            <w:r>
              <w:rPr>
                <w:sz w:val="20"/>
              </w:rPr>
              <w:t>2.0</w:t>
            </w:r>
          </w:p>
        </w:tc>
      </w:tr>
      <w:tr w14:paraId="58C322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268" w:type="dxa"/>
            <w:vAlign w:val="center"/>
          </w:tcPr>
          <w:p w14:paraId="5F388779">
            <w:pPr>
              <w:spacing w:before="40" w:after="40" w:line="276" w:lineRule="auto"/>
              <w:ind w:firstLine="0"/>
              <w:jc w:val="center"/>
            </w:pPr>
            <w:r>
              <w:rPr>
                <w:sz w:val="20"/>
              </w:rPr>
              <w:t>GV12</w:t>
            </w:r>
          </w:p>
        </w:tc>
        <w:tc>
          <w:tcPr>
            <w:tcW w:w="2268" w:type="dxa"/>
            <w:vAlign w:val="center"/>
          </w:tcPr>
          <w:p w14:paraId="16B21449">
            <w:pPr>
              <w:spacing w:before="40" w:after="40" w:line="276" w:lineRule="auto"/>
              <w:ind w:firstLine="0"/>
              <w:jc w:val="center"/>
            </w:pPr>
            <w:r>
              <w:rPr>
                <w:sz w:val="20"/>
              </w:rPr>
              <w:t>身柱</w:t>
            </w:r>
          </w:p>
        </w:tc>
        <w:tc>
          <w:tcPr>
            <w:tcW w:w="2268" w:type="dxa"/>
            <w:vAlign w:val="center"/>
          </w:tcPr>
          <w:p w14:paraId="48C0FA81">
            <w:pPr>
              <w:spacing w:before="40" w:after="40" w:line="276" w:lineRule="auto"/>
              <w:ind w:firstLine="0"/>
              <w:jc w:val="left"/>
            </w:pPr>
            <w:r>
              <w:rPr>
                <w:sz w:val="20"/>
              </w:rPr>
              <w:t>back_start_point → hip_mid</w:t>
            </w:r>
          </w:p>
        </w:tc>
        <w:tc>
          <w:tcPr>
            <w:tcW w:w="2268" w:type="dxa"/>
            <w:vAlign w:val="center"/>
          </w:tcPr>
          <w:p w14:paraId="2E56F35E">
            <w:pPr>
              <w:spacing w:before="40" w:after="40" w:line="276" w:lineRule="auto"/>
              <w:ind w:firstLine="0"/>
              <w:jc w:val="center"/>
            </w:pPr>
            <w:r>
              <w:rPr>
                <w:sz w:val="20"/>
              </w:rPr>
              <w:t>0.0</w:t>
            </w:r>
          </w:p>
        </w:tc>
      </w:tr>
    </w:tbl>
    <w:p w14:paraId="50FF5DAA"/>
    <w:p w14:paraId="6FB91B05">
      <w:r>
        <w:t>腹部推理利用脐部锚点与躯干结构建立局部关系，腿部依据当前姿态关键点和腿部规则确定目标。不同部位不能强行套用同一组纵横尺度。规则生成后还需检查目标是否落在有效图像范围内、是否存在编码重复以及名称字段是否完整，再向三维映射模块传递结果。</w:t>
      </w:r>
    </w:p>
    <w:p w14:paraId="2B4E8DF9">
      <w:r>
        <w:rPr>
          <w:color w:val="C00000"/>
          <w:sz w:val="22"/>
        </w:rPr>
        <w:t>【待核D07：规则库中各穴位的解剖依据、所用标准版本、锚点定义与代码符号约定，尤其是纵向22寸、横向8.5/6寸常数及局部补偿的适用条件；需逐项核对后的规则表。】</w:t>
      </w:r>
    </w:p>
    <w:p w14:paraId="7FA9465F">
      <w:pPr>
        <w:pStyle w:val="3"/>
      </w:pPr>
      <w:bookmarkStart w:id="44" w:name="_Toc243339224"/>
      <w:r>
        <w:t>3.5 实验结果与分析</w:t>
      </w:r>
      <w:bookmarkEnd w:id="44"/>
    </w:p>
    <w:p w14:paraId="1BFD9E34">
      <w:pPr>
        <w:pStyle w:val="4"/>
        <w:spacing w:before="240" w:after="240"/>
      </w:pPr>
      <w:bookmarkStart w:id="45" w:name="_Toc243339225"/>
      <w:r>
        <w:t>3.5.1 实验设置与评价指标</w:t>
      </w:r>
      <w:bookmarkEnd w:id="45"/>
    </w:p>
    <w:p w14:paraId="6BAAF5BF">
      <w:r>
        <w:t>锚点检测使用训练日志中的关键点精确率、召回率和平均精度，框检测指标单独保留。穴位二维定位则需要与独立人工参考位置比较，可以报告像素欧氏距离和尺度归一化的PCK。对样本i中的有效目标j，设预测像素为u_ij，参考像素为u_ij*，归一化尺度为l_i，PCK按误差是否小于τl_i计算。</w:t>
      </w:r>
    </w:p>
    <w:p w14:paraId="18A29DD2">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ij</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ctrlPr>
              <w:rPr>
                <w:rFonts w:ascii="Cambria Math" w:hAnsi="Cambria Math"/>
              </w:rPr>
            </m:ctrlPr>
          </m:e>
          <m:sub>
            <m:r>
              <m:rPr>
                <m:sty m:val="p"/>
              </m:rPr>
              <w:rPr>
                <w:rFonts w:ascii="Cambria Math" w:hAnsi="Cambria Math"/>
              </w:rPr>
              <m:t>ij</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u</m:t>
            </m:r>
            <m:ctrlPr>
              <w:rPr>
                <w:rFonts w:ascii="Cambria Math" w:hAnsi="Cambria Math"/>
              </w:rPr>
            </m:ctrlPr>
          </m:e>
          <m:sub>
            <m:r>
              <m:rPr>
                <m:sty m:val="p"/>
              </m:rPr>
              <w:rPr>
                <w:rFonts w:ascii="Cambria Math" w:hAnsi="Cambria Math"/>
              </w:rPr>
              <m:t>ij</m:t>
            </m:r>
            <m:ctrlPr>
              <w:rPr>
                <w:rFonts w:ascii="Cambria Math" w:hAnsi="Cambria Math"/>
              </w:rPr>
            </m:ctrlPr>
          </m:sub>
          <m:sup>
            <m:r>
              <m:rPr>
                <m:sty m:val="p"/>
              </m:rPr>
              <w:rPr>
                <w:rFonts w:ascii="Cambria Math" w:hAnsi="Cambria Math"/>
              </w:rPr>
              <m:t>∗</m:t>
            </m:r>
            <m:ctrlPr>
              <w:rPr>
                <w:rFonts w:ascii="Cambria Math" w:hAnsi="Cambria Math"/>
              </w:rPr>
            </m:ctrlPr>
          </m:sup>
        </m:sSubSup>
        <m:sSub>
          <m:sSubPr>
            <m:ctrlPr>
              <w:rPr>
                <w:rFonts w:ascii="Cambria Math" w:hAnsi="Cambria Math"/>
              </w:rPr>
            </m:ctrlPr>
          </m:sSubPr>
          <m:e>
            <m:r>
              <m:rPr>
                <m:sty m:val="p"/>
              </m:rPr>
              <w:rPr>
                <w:rFonts w:ascii="Cambria Math" w:hAnsi="Cambria Math"/>
              </w:rPr>
              <m:t>‖</m:t>
            </m:r>
            <m:ctrlPr>
              <w:rPr>
                <w:rFonts w:ascii="Cambria Math" w:hAnsi="Cambria Math"/>
              </w:rPr>
            </m:ctrlPr>
          </m:e>
          <m:sub>
            <m:r>
              <m:rPr>
                <m:sty m:val="p"/>
              </m:rPr>
              <w:rPr>
                <w:rFonts w:ascii="Cambria Math" w:hAnsi="Cambria Math"/>
              </w:rPr>
              <m:t>2</m:t>
            </m:r>
            <m:ctrlPr>
              <w:rPr>
                <w:rFonts w:ascii="Cambria Math" w:hAnsi="Cambria Math"/>
              </w:rPr>
            </m:ctrlPr>
          </m:sub>
        </m:sSub>
        <m:r>
          <m:rPr>
            <m:sty m:val="p"/>
          </m:rPr>
          <w:rPr>
            <w:rFonts w:ascii="Cambria Math" w:hAnsi="Cambria Math"/>
          </w:rPr>
          <m:t>,    PC</m:t>
        </m:r>
        <m:sSub>
          <m:sSubPr>
            <m:ctrlPr>
              <w:rPr>
                <w:rFonts w:ascii="Cambria Math" w:hAnsi="Cambria Math"/>
              </w:rPr>
            </m:ctrlPr>
          </m:sSubPr>
          <m:e>
            <m:r>
              <m:rPr>
                <m:sty m:val="p"/>
              </m:rPr>
              <w:rPr>
                <w:rFonts w:ascii="Cambria Math" w:hAnsi="Cambria Math"/>
              </w:rPr>
              <m:t>K</m:t>
            </m:r>
            <m:ctrlPr>
              <w:rPr>
                <w:rFonts w:ascii="Cambria Math" w:hAnsi="Cambria Math"/>
              </w:rPr>
            </m:ctrlPr>
          </m:e>
          <m:sub>
            <m:r>
              <m:rPr>
                <m:sty m:val="p"/>
              </m:rPr>
              <w:rPr>
                <w:rFonts w:ascii="Cambria Math" w:hAnsi="Cambria Math"/>
              </w:rPr>
              <m:t>τ</m:t>
            </m:r>
            <m:ctrlPr>
              <w:rPr>
                <w:rFonts w:ascii="Cambria Math" w:hAnsi="Cambria Math"/>
              </w:rPr>
            </m:ctrlP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ctrlPr>
              <w:rPr>
                <w:rFonts w:ascii="Cambria Math" w:hAnsi="Cambria Math"/>
              </w:rPr>
            </m:ctrlPr>
          </m:num>
          <m:den>
            <m:r>
              <m:rPr>
                <m:sty m:val="p"/>
              </m:rPr>
              <w:rPr>
                <w:rFonts w:ascii="Cambria Math" w:hAnsi="Cambria Math"/>
              </w:rPr>
              <m:t>N</m:t>
            </m:r>
            <m:ctrlPr>
              <w:rPr>
                <w:rFonts w:ascii="Cambria Math" w:hAnsi="Cambria Math"/>
              </w:rPr>
            </m:ctrlPr>
          </m:den>
        </m:f>
        <m:sSub>
          <m:sSubPr>
            <m:ctrlPr>
              <w:rPr>
                <w:rFonts w:ascii="Cambria Math" w:hAnsi="Cambria Math"/>
              </w:rPr>
            </m:ctrlPr>
          </m:sSubPr>
          <m:e>
            <m:r>
              <m:rPr>
                <m:sty m:val="p"/>
              </m:rPr>
              <w:rPr>
                <w:rFonts w:ascii="Cambria Math" w:hAnsi="Cambria Math"/>
              </w:rPr>
              <m:t>∑</m:t>
            </m:r>
            <m:ctrlPr>
              <w:rPr>
                <w:rFonts w:ascii="Cambria Math" w:hAnsi="Cambria Math"/>
              </w:rPr>
            </m:ctrlPr>
          </m:e>
          <m:sub>
            <m:r>
              <m:rPr>
                <m:sty m:val="p"/>
              </m:rPr>
              <w:rPr>
                <w:rFonts w:ascii="Cambria Math" w:hAnsi="Cambria Math"/>
              </w:rPr>
              <m:t>i,j</m:t>
            </m:r>
            <m:ctrlPr>
              <w:rPr>
                <w:rFonts w:ascii="Cambria Math" w:hAnsi="Cambria Math"/>
              </w:rPr>
            </m:ctrlPr>
          </m:sub>
        </m:sSub>
        <m:r>
          <m:rPr>
            <m:sty m:val="p"/>
          </m:rPr>
          <w:rPr>
            <w:rFonts w:ascii="Cambria Math" w:hAnsi="Cambria Math"/>
          </w:rPr>
          <m:t>1[</m:t>
        </m:r>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ij</m:t>
            </m:r>
            <m:ctrlPr>
              <w:rPr>
                <w:rFonts w:ascii="Cambria Math" w:hAnsi="Cambria Math"/>
              </w:rPr>
            </m:ctrlPr>
          </m:sub>
        </m:sSub>
        <m:r>
          <m:rPr>
            <m:sty m:val="p"/>
          </m:rPr>
          <w:rPr>
            <w:rFonts w:ascii="Cambria Math" w:hAnsi="Cambria Math"/>
          </w:rPr>
          <m:t>≤τ</m:t>
        </m:r>
        <m:sSub>
          <m:sSubPr>
            <m:ctrlPr>
              <w:rPr>
                <w:rFonts w:ascii="Cambria Math" w:hAnsi="Cambria Math"/>
              </w:rPr>
            </m:ctrlPr>
          </m:sSubPr>
          <m:e>
            <m:r>
              <m:rPr>
                <m:sty m:val="p"/>
              </m:rPr>
              <w:rPr>
                <w:rFonts w:ascii="Cambria Math" w:hAnsi="Cambria Math"/>
              </w:rPr>
              <m:t>l</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oMath>
      <w:r>
        <w:rPr>
          <w:sz w:val="21"/>
        </w:rPr>
        <w:t xml:space="preserve">    （3-5）</w:t>
      </w:r>
    </w:p>
    <w:p w14:paraId="318D3777">
      <w:r>
        <w:t>其中N为具有有效参考标注的目标数，l_i必须统一定义为肩宽、躯干长度或其他明确尺度。三维误差则应在一致坐标系和单位下比较空间位置，不能将未经标定的像素误差直接换算成毫米。精度统计之外，应记录拒绝和失败情况，区分全部输入上的有效覆盖率与有效输出子集上的位置误差。</w:t>
      </w:r>
    </w:p>
    <w:p w14:paraId="11959039">
      <w:pPr>
        <w:pStyle w:val="4"/>
        <w:spacing w:before="240" w:after="240"/>
      </w:pPr>
      <w:bookmarkStart w:id="46" w:name="_Toc243339226"/>
      <w:r>
        <w:t>3.5.2 锚点检测与训练结果</w:t>
      </w:r>
      <w:bookmarkEnd w:id="46"/>
    </w:p>
    <w:p w14:paraId="31CA92D4">
      <w:r>
        <w:t>表3-4根据三个results.csv的最后一轮记录整理。颈部和脐部关键点精确率与召回率均达到日志记录的1.00000，膝部精确率为0.99761；三个任务的关键点mAP50与mAP50-95均记录为0.99500。该数值反映当前验证集及其评价配置下的表现，不应解释为独立人群上达到99.5%的穴位定位准确率。</w:t>
      </w:r>
    </w:p>
    <w:p w14:paraId="436FAABA">
      <w:pPr>
        <w:pStyle w:val="79"/>
        <w:keepNext/>
      </w:pPr>
      <w:r>
        <w:t>表3-4 最后一轮锚点任务验证指标</w:t>
      </w:r>
    </w:p>
    <w:tbl>
      <w:tblPr>
        <w:tblStyle w:val="28"/>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75" w:type="dxa"/>
          <w:bottom w:w="65" w:type="dxa"/>
          <w:right w:w="75" w:type="dxa"/>
        </w:tblCellMar>
      </w:tblPr>
      <w:tblGrid>
        <w:gridCol w:w="2268"/>
        <w:gridCol w:w="2268"/>
        <w:gridCol w:w="2268"/>
        <w:gridCol w:w="2268"/>
      </w:tblGrid>
      <w:tr w14:paraId="3D92A4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tblHeader/>
          <w:jc w:val="center"/>
        </w:trPr>
        <w:tc>
          <w:tcPr>
            <w:tcW w:w="2268" w:type="dxa"/>
            <w:shd w:val="clear" w:color="auto" w:fill="F2F2F2"/>
            <w:vAlign w:val="center"/>
          </w:tcPr>
          <w:p w14:paraId="2DF58800">
            <w:pPr>
              <w:keepNext/>
              <w:spacing w:before="40" w:after="40" w:line="276" w:lineRule="auto"/>
              <w:ind w:firstLine="0"/>
              <w:jc w:val="center"/>
            </w:pPr>
            <w:r>
              <w:rPr>
                <w:b/>
                <w:sz w:val="20"/>
              </w:rPr>
              <w:t>指标</w:t>
            </w:r>
          </w:p>
        </w:tc>
        <w:tc>
          <w:tcPr>
            <w:tcW w:w="2268" w:type="dxa"/>
            <w:shd w:val="clear" w:color="auto" w:fill="F2F2F2"/>
            <w:vAlign w:val="center"/>
          </w:tcPr>
          <w:p w14:paraId="3F6F2717">
            <w:pPr>
              <w:keepNext/>
              <w:spacing w:before="40" w:after="40" w:line="276" w:lineRule="auto"/>
              <w:ind w:firstLine="0"/>
              <w:jc w:val="center"/>
            </w:pPr>
            <w:r>
              <w:rPr>
                <w:b/>
                <w:sz w:val="20"/>
              </w:rPr>
              <w:t>颈部100轮</w:t>
            </w:r>
          </w:p>
        </w:tc>
        <w:tc>
          <w:tcPr>
            <w:tcW w:w="2268" w:type="dxa"/>
            <w:shd w:val="clear" w:color="auto" w:fill="F2F2F2"/>
            <w:vAlign w:val="center"/>
          </w:tcPr>
          <w:p w14:paraId="263B74F3">
            <w:pPr>
              <w:keepNext/>
              <w:spacing w:before="40" w:after="40" w:line="276" w:lineRule="auto"/>
              <w:ind w:firstLine="0"/>
              <w:jc w:val="center"/>
            </w:pPr>
            <w:r>
              <w:rPr>
                <w:b/>
                <w:sz w:val="20"/>
              </w:rPr>
              <w:t>脐部100轮</w:t>
            </w:r>
          </w:p>
        </w:tc>
        <w:tc>
          <w:tcPr>
            <w:tcW w:w="2268" w:type="dxa"/>
            <w:shd w:val="clear" w:color="auto" w:fill="F2F2F2"/>
            <w:vAlign w:val="center"/>
          </w:tcPr>
          <w:p w14:paraId="52024EB7">
            <w:pPr>
              <w:keepNext/>
              <w:spacing w:before="40" w:after="40" w:line="276" w:lineRule="auto"/>
              <w:ind w:firstLine="0"/>
              <w:jc w:val="center"/>
            </w:pPr>
            <w:r>
              <w:rPr>
                <w:b/>
                <w:sz w:val="20"/>
              </w:rPr>
              <w:t>膝部200轮</w:t>
            </w:r>
          </w:p>
        </w:tc>
      </w:tr>
      <w:tr w14:paraId="25C31E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268" w:type="dxa"/>
            <w:vAlign w:val="center"/>
          </w:tcPr>
          <w:p w14:paraId="3DBA397F">
            <w:pPr>
              <w:keepNext/>
              <w:spacing w:before="40" w:after="40" w:line="276" w:lineRule="auto"/>
              <w:ind w:firstLine="0"/>
              <w:jc w:val="center"/>
            </w:pPr>
            <w:r>
              <w:rPr>
                <w:sz w:val="20"/>
              </w:rPr>
              <w:t>关键点精确率</w:t>
            </w:r>
          </w:p>
        </w:tc>
        <w:tc>
          <w:tcPr>
            <w:tcW w:w="2268" w:type="dxa"/>
            <w:vAlign w:val="center"/>
          </w:tcPr>
          <w:p w14:paraId="2C3C7F73">
            <w:pPr>
              <w:keepNext/>
              <w:spacing w:before="40" w:after="40" w:line="276" w:lineRule="auto"/>
              <w:ind w:firstLine="0"/>
              <w:jc w:val="center"/>
            </w:pPr>
            <w:r>
              <w:rPr>
                <w:sz w:val="20"/>
              </w:rPr>
              <w:t>1.00000</w:t>
            </w:r>
          </w:p>
        </w:tc>
        <w:tc>
          <w:tcPr>
            <w:tcW w:w="2268" w:type="dxa"/>
            <w:vAlign w:val="center"/>
          </w:tcPr>
          <w:p w14:paraId="27F22F1A">
            <w:pPr>
              <w:keepNext/>
              <w:spacing w:before="40" w:after="40" w:line="276" w:lineRule="auto"/>
              <w:ind w:firstLine="0"/>
              <w:jc w:val="center"/>
            </w:pPr>
            <w:r>
              <w:rPr>
                <w:sz w:val="20"/>
              </w:rPr>
              <w:t>1.00000</w:t>
            </w:r>
          </w:p>
        </w:tc>
        <w:tc>
          <w:tcPr>
            <w:tcW w:w="2268" w:type="dxa"/>
            <w:vAlign w:val="center"/>
          </w:tcPr>
          <w:p w14:paraId="1105C77F">
            <w:pPr>
              <w:keepNext/>
              <w:spacing w:before="40" w:after="40" w:line="276" w:lineRule="auto"/>
              <w:ind w:firstLine="0"/>
              <w:jc w:val="center"/>
            </w:pPr>
            <w:r>
              <w:rPr>
                <w:sz w:val="20"/>
              </w:rPr>
              <w:t>0.99761</w:t>
            </w:r>
          </w:p>
        </w:tc>
      </w:tr>
      <w:tr w14:paraId="4080CB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268" w:type="dxa"/>
            <w:vAlign w:val="center"/>
          </w:tcPr>
          <w:p w14:paraId="4981FCEF">
            <w:pPr>
              <w:keepNext/>
              <w:spacing w:before="40" w:after="40" w:line="276" w:lineRule="auto"/>
              <w:ind w:firstLine="0"/>
              <w:jc w:val="center"/>
            </w:pPr>
            <w:r>
              <w:rPr>
                <w:sz w:val="20"/>
              </w:rPr>
              <w:t>关键点召回率</w:t>
            </w:r>
          </w:p>
        </w:tc>
        <w:tc>
          <w:tcPr>
            <w:tcW w:w="2268" w:type="dxa"/>
            <w:vAlign w:val="center"/>
          </w:tcPr>
          <w:p w14:paraId="1AD141D5">
            <w:pPr>
              <w:keepNext/>
              <w:spacing w:before="40" w:after="40" w:line="276" w:lineRule="auto"/>
              <w:ind w:firstLine="0"/>
              <w:jc w:val="center"/>
            </w:pPr>
            <w:r>
              <w:rPr>
                <w:sz w:val="20"/>
              </w:rPr>
              <w:t>1.00000</w:t>
            </w:r>
          </w:p>
        </w:tc>
        <w:tc>
          <w:tcPr>
            <w:tcW w:w="2268" w:type="dxa"/>
            <w:vAlign w:val="center"/>
          </w:tcPr>
          <w:p w14:paraId="68D73628">
            <w:pPr>
              <w:keepNext/>
              <w:spacing w:before="40" w:after="40" w:line="276" w:lineRule="auto"/>
              <w:ind w:firstLine="0"/>
              <w:jc w:val="center"/>
            </w:pPr>
            <w:r>
              <w:rPr>
                <w:sz w:val="20"/>
              </w:rPr>
              <w:t>1.00000</w:t>
            </w:r>
          </w:p>
        </w:tc>
        <w:tc>
          <w:tcPr>
            <w:tcW w:w="2268" w:type="dxa"/>
            <w:vAlign w:val="center"/>
          </w:tcPr>
          <w:p w14:paraId="23459C10">
            <w:pPr>
              <w:keepNext/>
              <w:spacing w:before="40" w:after="40" w:line="276" w:lineRule="auto"/>
              <w:ind w:firstLine="0"/>
              <w:jc w:val="center"/>
            </w:pPr>
            <w:r>
              <w:rPr>
                <w:sz w:val="20"/>
              </w:rPr>
              <w:t>1.00000</w:t>
            </w:r>
          </w:p>
        </w:tc>
      </w:tr>
      <w:tr w14:paraId="16E955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268" w:type="dxa"/>
            <w:vAlign w:val="center"/>
          </w:tcPr>
          <w:p w14:paraId="27FDAF78">
            <w:pPr>
              <w:keepNext/>
              <w:spacing w:before="40" w:after="40" w:line="276" w:lineRule="auto"/>
              <w:ind w:firstLine="0"/>
              <w:jc w:val="center"/>
            </w:pPr>
            <w:r>
              <w:rPr>
                <w:sz w:val="20"/>
              </w:rPr>
              <w:t>关键点mAP50</w:t>
            </w:r>
          </w:p>
        </w:tc>
        <w:tc>
          <w:tcPr>
            <w:tcW w:w="2268" w:type="dxa"/>
            <w:vAlign w:val="center"/>
          </w:tcPr>
          <w:p w14:paraId="4A415972">
            <w:pPr>
              <w:keepNext/>
              <w:spacing w:before="40" w:after="40" w:line="276" w:lineRule="auto"/>
              <w:ind w:firstLine="0"/>
              <w:jc w:val="center"/>
            </w:pPr>
            <w:r>
              <w:rPr>
                <w:sz w:val="20"/>
              </w:rPr>
              <w:t>0.99500</w:t>
            </w:r>
          </w:p>
        </w:tc>
        <w:tc>
          <w:tcPr>
            <w:tcW w:w="2268" w:type="dxa"/>
            <w:vAlign w:val="center"/>
          </w:tcPr>
          <w:p w14:paraId="481155DC">
            <w:pPr>
              <w:keepNext/>
              <w:spacing w:before="40" w:after="40" w:line="276" w:lineRule="auto"/>
              <w:ind w:firstLine="0"/>
              <w:jc w:val="center"/>
            </w:pPr>
            <w:r>
              <w:rPr>
                <w:sz w:val="20"/>
              </w:rPr>
              <w:t>0.99500</w:t>
            </w:r>
          </w:p>
        </w:tc>
        <w:tc>
          <w:tcPr>
            <w:tcW w:w="2268" w:type="dxa"/>
            <w:vAlign w:val="center"/>
          </w:tcPr>
          <w:p w14:paraId="5C17C4E4">
            <w:pPr>
              <w:keepNext/>
              <w:spacing w:before="40" w:after="40" w:line="276" w:lineRule="auto"/>
              <w:ind w:firstLine="0"/>
              <w:jc w:val="center"/>
            </w:pPr>
            <w:r>
              <w:rPr>
                <w:sz w:val="20"/>
              </w:rPr>
              <w:t>0.99500</w:t>
            </w:r>
          </w:p>
        </w:tc>
      </w:tr>
      <w:tr w14:paraId="084E92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268" w:type="dxa"/>
            <w:vAlign w:val="center"/>
          </w:tcPr>
          <w:p w14:paraId="1076F886">
            <w:pPr>
              <w:keepNext/>
              <w:spacing w:before="40" w:after="40" w:line="276" w:lineRule="auto"/>
              <w:ind w:firstLine="0"/>
              <w:jc w:val="center"/>
            </w:pPr>
            <w:r>
              <w:rPr>
                <w:sz w:val="20"/>
              </w:rPr>
              <w:t>关键点mAP50-95</w:t>
            </w:r>
          </w:p>
        </w:tc>
        <w:tc>
          <w:tcPr>
            <w:tcW w:w="2268" w:type="dxa"/>
            <w:vAlign w:val="center"/>
          </w:tcPr>
          <w:p w14:paraId="3F28E27B">
            <w:pPr>
              <w:keepNext/>
              <w:spacing w:before="40" w:after="40" w:line="276" w:lineRule="auto"/>
              <w:ind w:firstLine="0"/>
              <w:jc w:val="center"/>
            </w:pPr>
            <w:r>
              <w:rPr>
                <w:sz w:val="20"/>
              </w:rPr>
              <w:t>0.99500</w:t>
            </w:r>
          </w:p>
        </w:tc>
        <w:tc>
          <w:tcPr>
            <w:tcW w:w="2268" w:type="dxa"/>
            <w:vAlign w:val="center"/>
          </w:tcPr>
          <w:p w14:paraId="1E854C32">
            <w:pPr>
              <w:keepNext/>
              <w:spacing w:before="40" w:after="40" w:line="276" w:lineRule="auto"/>
              <w:ind w:firstLine="0"/>
              <w:jc w:val="center"/>
            </w:pPr>
            <w:r>
              <w:rPr>
                <w:sz w:val="20"/>
              </w:rPr>
              <w:t>0.99500</w:t>
            </w:r>
          </w:p>
        </w:tc>
        <w:tc>
          <w:tcPr>
            <w:tcW w:w="2268" w:type="dxa"/>
            <w:vAlign w:val="center"/>
          </w:tcPr>
          <w:p w14:paraId="7AC8E6E3">
            <w:pPr>
              <w:keepNext/>
              <w:spacing w:before="40" w:after="40" w:line="276" w:lineRule="auto"/>
              <w:ind w:firstLine="0"/>
              <w:jc w:val="center"/>
            </w:pPr>
            <w:r>
              <w:rPr>
                <w:sz w:val="20"/>
              </w:rPr>
              <w:t>0.99500</w:t>
            </w:r>
          </w:p>
        </w:tc>
      </w:tr>
      <w:tr w14:paraId="63AA28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268" w:type="dxa"/>
            <w:vAlign w:val="center"/>
          </w:tcPr>
          <w:p w14:paraId="495D7BDE">
            <w:pPr>
              <w:keepNext/>
              <w:spacing w:before="40" w:after="40" w:line="276" w:lineRule="auto"/>
              <w:ind w:firstLine="0"/>
              <w:jc w:val="center"/>
            </w:pPr>
            <w:r>
              <w:rPr>
                <w:sz w:val="20"/>
              </w:rPr>
              <w:t>框mAP50-95</w:t>
            </w:r>
          </w:p>
        </w:tc>
        <w:tc>
          <w:tcPr>
            <w:tcW w:w="2268" w:type="dxa"/>
            <w:vAlign w:val="center"/>
          </w:tcPr>
          <w:p w14:paraId="2265D402">
            <w:pPr>
              <w:keepNext/>
              <w:spacing w:before="40" w:after="40" w:line="276" w:lineRule="auto"/>
              <w:ind w:firstLine="0"/>
              <w:jc w:val="center"/>
            </w:pPr>
            <w:r>
              <w:rPr>
                <w:sz w:val="20"/>
              </w:rPr>
              <w:t>0.59959</w:t>
            </w:r>
          </w:p>
        </w:tc>
        <w:tc>
          <w:tcPr>
            <w:tcW w:w="2268" w:type="dxa"/>
            <w:vAlign w:val="center"/>
          </w:tcPr>
          <w:p w14:paraId="37831AD5">
            <w:pPr>
              <w:keepNext/>
              <w:spacing w:before="40" w:after="40" w:line="276" w:lineRule="auto"/>
              <w:ind w:firstLine="0"/>
              <w:jc w:val="center"/>
            </w:pPr>
            <w:r>
              <w:rPr>
                <w:sz w:val="20"/>
              </w:rPr>
              <w:t>0.79720</w:t>
            </w:r>
          </w:p>
        </w:tc>
        <w:tc>
          <w:tcPr>
            <w:tcW w:w="2268" w:type="dxa"/>
            <w:vAlign w:val="center"/>
          </w:tcPr>
          <w:p w14:paraId="3BA92982">
            <w:pPr>
              <w:keepNext/>
              <w:spacing w:before="40" w:after="40" w:line="276" w:lineRule="auto"/>
              <w:ind w:firstLine="0"/>
              <w:jc w:val="center"/>
            </w:pPr>
            <w:r>
              <w:rPr>
                <w:sz w:val="20"/>
              </w:rPr>
              <w:t>0.90467</w:t>
            </w:r>
          </w:p>
        </w:tc>
      </w:tr>
      <w:tr w14:paraId="507990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268" w:type="dxa"/>
            <w:vAlign w:val="center"/>
          </w:tcPr>
          <w:p w14:paraId="11E78DDB">
            <w:pPr>
              <w:spacing w:before="40" w:after="40" w:line="276" w:lineRule="auto"/>
              <w:ind w:firstLine="0"/>
              <w:jc w:val="center"/>
            </w:pPr>
            <w:r>
              <w:rPr>
                <w:sz w:val="20"/>
              </w:rPr>
              <w:t>验证pose loss</w:t>
            </w:r>
          </w:p>
        </w:tc>
        <w:tc>
          <w:tcPr>
            <w:tcW w:w="2268" w:type="dxa"/>
            <w:vAlign w:val="center"/>
          </w:tcPr>
          <w:p w14:paraId="7B39BA96">
            <w:pPr>
              <w:spacing w:before="40" w:after="40" w:line="276" w:lineRule="auto"/>
              <w:ind w:firstLine="0"/>
              <w:jc w:val="center"/>
            </w:pPr>
            <w:r>
              <w:rPr>
                <w:sz w:val="20"/>
              </w:rPr>
              <w:t>0.00723</w:t>
            </w:r>
          </w:p>
        </w:tc>
        <w:tc>
          <w:tcPr>
            <w:tcW w:w="2268" w:type="dxa"/>
            <w:vAlign w:val="center"/>
          </w:tcPr>
          <w:p w14:paraId="70B7F6E3">
            <w:pPr>
              <w:spacing w:before="40" w:after="40" w:line="276" w:lineRule="auto"/>
              <w:ind w:firstLine="0"/>
              <w:jc w:val="center"/>
            </w:pPr>
            <w:r>
              <w:rPr>
                <w:sz w:val="20"/>
              </w:rPr>
              <w:t>0.00049</w:t>
            </w:r>
          </w:p>
        </w:tc>
        <w:tc>
          <w:tcPr>
            <w:tcW w:w="2268" w:type="dxa"/>
            <w:vAlign w:val="center"/>
          </w:tcPr>
          <w:p w14:paraId="5C875FF8">
            <w:pPr>
              <w:spacing w:before="40" w:after="40" w:line="276" w:lineRule="auto"/>
              <w:ind w:firstLine="0"/>
              <w:jc w:val="center"/>
            </w:pPr>
            <w:r>
              <w:rPr>
                <w:sz w:val="20"/>
              </w:rPr>
              <w:t>0.06434</w:t>
            </w:r>
          </w:p>
        </w:tc>
      </w:tr>
    </w:tbl>
    <w:p w14:paraId="62AA3FF1"/>
    <w:p w14:paraId="3863E388">
      <w:r>
        <w:t>关键点指标较高而框指标存在差异，说明两类指标关注的对象不同。单点或少点锚点任务的评价还受关键点尺度参数、标注分布和样本难度影响。当前结果能够支持模型训练已经完成，但要判断跨人物和跨拍摄条件的泛化，仍需结合D05中的划分清单及独立测试记录。表中的最后一轮结果也不自动等同于部署所选最优权重的评价结果。</w:t>
      </w:r>
    </w:p>
    <w:p w14:paraId="6B1CB038">
      <w:pPr>
        <w:pStyle w:val="4"/>
        <w:spacing w:before="240" w:after="240"/>
      </w:pPr>
      <w:bookmarkStart w:id="47" w:name="_Toc243339227"/>
      <w:r>
        <w:t>3.5.3 穴位定位对比与消融分析</w:t>
      </w:r>
      <w:bookmarkEnd w:id="47"/>
    </w:p>
    <w:p w14:paraId="46A1500D">
      <w:r>
        <w:t>穴位级评价应在相同原始输入和相同参考标注上比较固定模板、完整方法以及必要的消融条件。固定模板用于检验个体化尺度的作用；移除局部锚点用于检验局部参考的作用；固定尺度与关闭质量筛选分别对应几何推理和有效覆盖率变化。若关闭某个环节同时改变了输出样本集合，应同时报告样本数，并在共有样本上进行配对比较。</w:t>
      </w:r>
    </w:p>
    <w:p w14:paraId="3588D85E">
      <w:r>
        <w:t>现有视觉论文列出了定位误差、PCK与若干消融改善幅度，另有BLGR实验方案与少量标注样例，但这些材料尚不足以核实全部逐样本结果。因此本节保留评价方法与表位，不把方案中的计划数据或旧稿摘要数字写成已证实的实验结论。</w:t>
      </w:r>
    </w:p>
    <w:p w14:paraId="5DE1593A">
      <w:r>
        <w:rPr>
          <w:color w:val="C00000"/>
          <w:sz w:val="22"/>
        </w:rPr>
        <w:t>【待核D08：旧稿19.3 mm与9.6 mm、PCK0.05=0.912及各消融百分比对应的逐样本预测、参考真值、尺度定义、样本数和计算脚本；未核实前，穴位定位平均误差________、PCK________、消融改善________。】</w:t>
      </w:r>
    </w:p>
    <w:p w14:paraId="2928E010">
      <w:r>
        <w:t>如果现有记录能够恢复，应优先复算并补齐表格，不重复进行同类采集。只有在缺少独立参考标注时，才需要补充一个足以检验主要视觉主张的独立评价集。该评价应围绕实际部署分支，不默认增加新的网络基线、更多部位或大规模参数扫描。</w:t>
      </w:r>
    </w:p>
    <w:p w14:paraId="20287F0F">
      <w:pPr>
        <w:pStyle w:val="4"/>
        <w:spacing w:before="240" w:after="240"/>
      </w:pPr>
      <w:bookmarkStart w:id="48" w:name="_Toc243339228"/>
      <w:r>
        <w:t>3.5.4 推理效率与方法局限</w:t>
      </w:r>
      <w:bookmarkEnd w:id="48"/>
    </w:p>
    <w:p w14:paraId="4C9F3399">
      <w:r>
        <w:t>推理效率应区分图像解码、通用模型、局部模型、规则计算与服务返回等阶段。冷启动、首次编译、预热后稳定推理以及人工确认具有不同时间含义。人工确认时间不计入纯模型推理时间，但应计入完整任务耗时。现有旧稿约186 ms的耗时需对应具体后端和计时边界后才能作为系统指标。</w:t>
      </w:r>
    </w:p>
    <w:p w14:paraId="128B438F">
      <w:r>
        <w:rPr>
          <w:color w:val="C00000"/>
          <w:sz w:val="22"/>
        </w:rPr>
        <w:t>【待核D09：实际部署设备、模型格式、输入分辨率、预热方式、重复次数及分阶段时间日志；旧稿186±22 ms的计时范围和原始记录，实际推理耗时________。】</w:t>
      </w:r>
    </w:p>
    <w:p w14:paraId="03AB89AA">
      <w:r>
        <w:t>方法的局限主要来自三个方面：锚点偏差会影响全部下游目标；二维比例规则难以完整表达表面曲率和明显透视形变；质量门控与人工确认提高了可用性，却也意味着当前系统并非完全自动的连续视觉闭环。对遮挡、侧转和异常体型的适用范围，应以明确样本和失败记录说明，不能由训练曲线间接推断。</w:t>
      </w:r>
    </w:p>
    <w:p w14:paraId="66CCE186">
      <w:pPr>
        <w:pStyle w:val="3"/>
      </w:pPr>
      <w:bookmarkStart w:id="49" w:name="_Toc243339229"/>
      <w:r>
        <w:t>3.6 本章小结</w:t>
      </w:r>
      <w:bookmarkEnd w:id="49"/>
    </w:p>
    <w:p w14:paraId="5CF4B64F">
      <w:r>
        <w:t>本章建立了由通用姿态、局部锚点和骨度规则组成的YOLOv11-AMP定位流程，给出部位调用、尺度估计与目标生成的具体表示，并整理三类锚点模型的训练配置及原始日志结果。现有材料支持模型训练与规则实现的描述，穴位级独立精度、消融和实际部署耗时仍需相应原始记录。第五章在已确认像素目标的基础上进一步完成三维映射和工具位姿生成。</w:t>
      </w:r>
    </w:p>
    <w:p w14:paraId="3302CC5E">
      <w:pPr>
        <w:pStyle w:val="2"/>
      </w:pPr>
      <w:bookmarkStart w:id="50" w:name="_Toc243339230"/>
      <w:r>
        <w:t>第4章 基于自适应双椭球约束采样的SC-RRT路径规划方法</w:t>
      </w:r>
      <w:bookmarkEnd w:id="50"/>
    </w:p>
    <w:p w14:paraId="0D66F98F">
      <w:r>
        <w:t>本章以公平对比实验v2及第九版修订材料对应的实现为依据，研究静态工作空间中的路径搜索。SC-RRT结合双向树、局部重布线、动态参考点和双椭球约束采样，并依据搜索状态在线调节采样参数。算法输出是由空间点构成的几何路径，机械臂姿态配置与关节约束在第五章处理。</w:t>
      </w:r>
    </w:p>
    <w:p w14:paraId="42809A65">
      <w:pPr>
        <w:pStyle w:val="3"/>
      </w:pPr>
      <w:bookmarkStart w:id="51" w:name="_Toc243339231"/>
      <w:r>
        <w:t>4.1 路径规划问题与基础算法</w:t>
      </w:r>
      <w:bookmarkEnd w:id="51"/>
    </w:p>
    <w:p w14:paraId="5AAFFE6A">
      <w:pPr>
        <w:pStyle w:val="4"/>
        <w:spacing w:before="240" w:after="240"/>
      </w:pPr>
      <w:bookmarkStart w:id="52" w:name="_Toc243339232"/>
      <w:r>
        <w:t>4.1.1 静态工作空间路径规划问题定义</w:t>
      </w:r>
      <w:bookmarkEnd w:id="52"/>
    </w:p>
    <w:p w14:paraId="2CC00DAA">
      <w:r>
        <w:t>设规划空间X为二维或三维有界欧氏空间，障碍集合为X_obs，自由空间为X_free。给定起点x_s与终点x_g，寻找连接两者且全部位于自由空间的路径σ。本文以折线路径长度作为主要代价，记录有限扩展预算下第一次获得的可行路径和预算结束时的最优已知路径。</w:t>
      </w:r>
    </w:p>
    <w:p w14:paraId="5ED8EE79">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free</m:t>
            </m:r>
            <m:ctrlPr>
              <w:rPr>
                <w:rFonts w:ascii="Cambria Math" w:hAnsi="Cambria Math"/>
              </w:rPr>
            </m:ctrlPr>
          </m:sub>
        </m:sSub>
        <m:r>
          <m:rPr>
            <m:sty m:val="p"/>
          </m:rPr>
          <w:rPr>
            <w:rFonts w:ascii="Cambria Math" w:hAnsi="Cambria Math"/>
          </w:rPr>
          <m:t>=X∖</m:t>
        </m:r>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obs</m:t>
            </m:r>
            <m:ctrlPr>
              <w:rPr>
                <w:rFonts w:ascii="Cambria Math" w:hAnsi="Cambria Math"/>
              </w:rPr>
            </m:ctrlPr>
          </m:sub>
        </m:sSub>
        <m:r>
          <m:rPr>
            <m:sty m:val="p"/>
          </m:rPr>
          <w:rPr>
            <w:rFonts w:ascii="Cambria Math" w:hAnsi="Cambria Math"/>
          </w:rPr>
          <m:t>,    σ(0)=</m:t>
        </m:r>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s</m:t>
            </m:r>
            <m:ctrlPr>
              <w:rPr>
                <w:rFonts w:ascii="Cambria Math" w:hAnsi="Cambria Math"/>
              </w:rPr>
            </m:ctrlPr>
          </m:sub>
        </m:sSub>
        <m:r>
          <m:rPr>
            <m:sty m:val="p"/>
          </m:rPr>
          <w:rPr>
            <w:rFonts w:ascii="Cambria Math" w:hAnsi="Cambria Math"/>
          </w:rPr>
          <m:t>,    σ(1)=</m:t>
        </m:r>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g</m:t>
            </m:r>
            <m:ctrlPr>
              <w:rPr>
                <w:rFonts w:ascii="Cambria Math" w:hAnsi="Cambria Math"/>
              </w:rPr>
            </m:ctrlPr>
          </m:sub>
        </m:sSub>
        <m:r>
          <m:rPr>
            <m:sty m:val="p"/>
          </m:rPr>
          <w:rPr>
            <w:rFonts w:ascii="Cambria Math" w:hAnsi="Cambria Math"/>
          </w:rPr>
          <m:t>,    σ(s)∈</m:t>
        </m:r>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free</m:t>
            </m:r>
            <m:ctrlPr>
              <w:rPr>
                <w:rFonts w:ascii="Cambria Math" w:hAnsi="Cambria Math"/>
              </w:rPr>
            </m:ctrlPr>
          </m:sub>
        </m:sSub>
      </m:oMath>
      <w:r>
        <w:rPr>
          <w:sz w:val="21"/>
        </w:rPr>
        <w:t xml:space="preserve">    （4-1）</w:t>
      </w:r>
    </w:p>
    <w:p w14:paraId="43418F3E">
      <w:pPr>
        <w:spacing w:before="120" w:after="120" w:line="300" w:lineRule="auto"/>
        <w:ind w:firstLine="0"/>
        <w:jc w:val="center"/>
      </w:pPr>
      <m:oMath>
        <m:r>
          <m:rPr>
            <m:sty m:val="p"/>
          </m:rPr>
          <w:rPr>
            <w:rFonts w:ascii="Cambria Math" w:hAnsi="Cambria Math"/>
          </w:rPr>
          <m:t>J(σ)=</m:t>
        </m:r>
        <m:sSubSup>
          <m:sSubSupPr>
            <m:ctrlPr>
              <w:rPr>
                <w:rFonts w:ascii="Cambria Math" w:hAnsi="Cambria Math"/>
              </w:rPr>
            </m:ctrlPr>
          </m:sSubSupPr>
          <m:e>
            <m:r>
              <m:rPr>
                <m:sty m:val="p"/>
              </m:rPr>
              <w:rPr>
                <w:rFonts w:ascii="Cambria Math" w:hAnsi="Cambria Math"/>
              </w:rPr>
              <m:t>∑</m:t>
            </m:r>
            <m:ctrlPr>
              <w:rPr>
                <w:rFonts w:ascii="Cambria Math" w:hAnsi="Cambria Math"/>
              </w:rPr>
            </m:ctrlPr>
          </m:e>
          <m:sub>
            <m:r>
              <m:rPr>
                <m:sty m:val="p"/>
              </m:rPr>
              <w:rPr>
                <w:rFonts w:ascii="Cambria Math" w:hAnsi="Cambria Math"/>
              </w:rPr>
              <m:t>i=0</m:t>
            </m:r>
            <m:ctrlPr>
              <w:rPr>
                <w:rFonts w:ascii="Cambria Math" w:hAnsi="Cambria Math"/>
              </w:rPr>
            </m:ctrlPr>
          </m:sub>
          <m:sup>
            <m:r>
              <m:rPr>
                <m:sty m:val="p"/>
              </m:rPr>
              <w:rPr>
                <w:rFonts w:ascii="Cambria Math" w:hAnsi="Cambria Math"/>
              </w:rPr>
              <m:t>m−1</m:t>
            </m:r>
            <m:ctrlPr>
              <w:rPr>
                <w:rFonts w:ascii="Cambria Math" w:hAnsi="Cambria Math"/>
              </w:rPr>
            </m:ctrlP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i+1</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i</m:t>
            </m:r>
            <m:ctrlPr>
              <w:rPr>
                <w:rFonts w:ascii="Cambria Math" w:hAnsi="Cambria Math"/>
              </w:rPr>
            </m:ctrlPr>
          </m:sub>
        </m:sSub>
        <m:sSub>
          <m:sSubPr>
            <m:ctrlPr>
              <w:rPr>
                <w:rFonts w:ascii="Cambria Math" w:hAnsi="Cambria Math"/>
              </w:rPr>
            </m:ctrlPr>
          </m:sSubPr>
          <m:e>
            <m:r>
              <m:rPr>
                <m:sty m:val="p"/>
              </m:rPr>
              <w:rPr>
                <w:rFonts w:ascii="Cambria Math" w:hAnsi="Cambria Math"/>
              </w:rPr>
              <m:t>‖</m:t>
            </m:r>
            <m:ctrlPr>
              <w:rPr>
                <w:rFonts w:ascii="Cambria Math" w:hAnsi="Cambria Math"/>
              </w:rPr>
            </m:ctrlPr>
          </m:e>
          <m:sub>
            <m:r>
              <m:rPr>
                <m:sty m:val="p"/>
              </m:rPr>
              <w:rPr>
                <w:rFonts w:ascii="Cambria Math" w:hAnsi="Cambria Math"/>
              </w:rPr>
              <m:t>2</m:t>
            </m:r>
            <m:ctrlPr>
              <w:rPr>
                <w:rFonts w:ascii="Cambria Math" w:hAnsi="Cambria Math"/>
              </w:rPr>
            </m:ctrlPr>
          </m:sub>
        </m:sSub>
      </m:oMath>
      <w:r>
        <w:rPr>
          <w:sz w:val="21"/>
        </w:rPr>
        <w:t xml:space="preserve">    （4-2）</w:t>
      </w:r>
    </w:p>
    <w:p w14:paraId="45211DF5">
      <w:r>
        <w:t>仿真将规划对象视为点，二维障碍为圆，三维障碍为球，碰撞膨胀参数为0。该设置便于控制环境和预算，检验采样机制对路径搜索的影响。它没有包含六关节机器人本体的几何占据，也没有把速度、加速度或工具朝向直接纳入搜索状态。因此，本章中的“可行”指工作空间几何可行，不等同于完整机械臂运动可执行。</w:t>
      </w:r>
    </w:p>
    <w:p w14:paraId="22871114">
      <w:pPr>
        <w:pStyle w:val="4"/>
        <w:spacing w:before="240" w:after="240"/>
      </w:pPr>
      <w:bookmarkStart w:id="53" w:name="_Toc243339233"/>
      <w:r>
        <w:t>4.1.2 RRT系列算法及其特点</w:t>
      </w:r>
      <w:bookmarkEnd w:id="53"/>
    </w:p>
    <w:p w14:paraId="32A6F446">
      <w:r>
        <w:t>RRT将随机样本作为扩展方向，从树中选择最近节点并以有限步长生长[10]。RRT-Connect采用双向结构与贪婪连接，使两棵树快速接近[11]。RRT*通过父节点优化和重布线减少累计代价[12]，Informed-RRT*进一步利用当前路径长度限制有可能改善结果的采样区域[13]。这些机制在首解速度、单次扩展开销与后续优化能力上各有特点。</w:t>
      </w:r>
    </w:p>
    <w:p w14:paraId="49F5EA42">
      <w:r>
        <w:t>SC-RRT保留双向连接框架，在每次有效扩展中进行有限半径的父节点选择与重布线，并由两个椭球域分别引导两侧搜索。与单个起终点椭球不同，双侧域使用动态中间参考点和各侧已知路径代价，因而几何方向和尺度可以不同。其目的在于使采样组织反映搜索过程中的局部结构，而不是宣称已经证明全局最优。</w:t>
      </w:r>
    </w:p>
    <w:p w14:paraId="7A28D518">
      <w:pPr>
        <w:pStyle w:val="3"/>
      </w:pPr>
      <w:bookmarkStart w:id="54" w:name="_Toc243339234"/>
      <w:r>
        <w:t>4.2 SC-RRT算法总体框架</w:t>
      </w:r>
      <w:bookmarkEnd w:id="54"/>
    </w:p>
    <w:p w14:paraId="0B83E1DF">
      <w:pPr>
        <w:pStyle w:val="4"/>
        <w:spacing w:before="240" w:after="240"/>
      </w:pPr>
      <w:bookmarkStart w:id="55" w:name="_Toc243339235"/>
      <w:r>
        <w:t>4.2.1 总体流程与双向树结构</w:t>
      </w:r>
      <w:bookmarkEnd w:id="55"/>
    </w:p>
    <w:p w14:paraId="5D7CEE11">
      <w:r>
        <w:t>算法初始化起点树T_s和终点树T_g，两棵树分别保存节点坐标、父节点、累计代价及子节点计数。每轮选择一侧为活动树，采样并尝试扩展，再判断是否具备跨树连接条件，随后交换活动侧。动态参考点按固定扩展间隔更新，反馈模块在积累足够的历史窗口后调整参数。</w:t>
      </w:r>
    </w:p>
    <w:p w14:paraId="1CC5FC03">
      <w:pPr>
        <w:keepNext/>
        <w:spacing w:before="100" w:line="240" w:lineRule="auto"/>
        <w:ind w:firstLine="0"/>
        <w:jc w:val="center"/>
      </w:pPr>
      <w:r>
        <w:drawing>
          <wp:inline distT="0" distB="0" distL="0" distR="0">
            <wp:extent cx="5399405" cy="4129405"/>
            <wp:effectExtent l="0" t="0" r="0" b="0"/>
            <wp:docPr id="5" name="Picture 5" descr="图4-1 SC-RRT公平对比实现的总体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图4-1 SC-RRT公平对比实现的总体流程"/>
                    <pic:cNvPicPr>
                      <a:picLocks noChangeAspect="1"/>
                    </pic:cNvPicPr>
                  </pic:nvPicPr>
                  <pic:blipFill>
                    <a:blip r:embed="rId14"/>
                    <a:stretch>
                      <a:fillRect/>
                    </a:stretch>
                  </pic:blipFill>
                  <pic:spPr>
                    <a:xfrm>
                      <a:off x="0" y="0"/>
                      <a:ext cx="5400000" cy="4129412"/>
                    </a:xfrm>
                    <a:prstGeom prst="rect">
                      <a:avLst/>
                    </a:prstGeom>
                  </pic:spPr>
                </pic:pic>
              </a:graphicData>
            </a:graphic>
          </wp:inline>
        </w:drawing>
      </w:r>
    </w:p>
    <w:p w14:paraId="7261BFE6">
      <w:pPr>
        <w:pStyle w:val="79"/>
        <w:keepNext/>
      </w:pPr>
      <w:r>
        <w:t>图4-1 SC-RRT公平对比实现的总体流程</w:t>
      </w:r>
    </w:p>
    <w:p w14:paraId="2B0BDF54">
      <w:pPr>
        <w:spacing w:line="276" w:lineRule="auto"/>
        <w:ind w:firstLine="0"/>
      </w:pPr>
      <w:r>
        <w:rPr>
          <w:sz w:val="18"/>
        </w:rPr>
        <w:t>来源：第九版SC-RRT修订稿；按原子扩展预算组织，反馈需等待历史窗口。</w:t>
      </w:r>
    </w:p>
    <w:p w14:paraId="01836E43">
      <w:r>
        <w:t>这里的“扩展尝试”是一次从树节点向目标位置推进的原子操作。尝试可能因碰撞、零长度或其他原因未生成新节点，但仍消耗预算。CONNECT内部每一步也单独计数，避免把多步连接作为一次扩展而使双向算法获得额外搜索机会。所有算法在得到首解后继续运行至预算结束，首解与终值由同一运行过程分别记录。</w:t>
      </w:r>
    </w:p>
    <w:p w14:paraId="2A29C487">
      <w:pPr>
        <w:pStyle w:val="4"/>
        <w:spacing w:before="240" w:after="240"/>
      </w:pPr>
      <w:bookmarkStart w:id="56" w:name="_Toc243339236"/>
      <w:r>
        <w:t>4.2.2 树扩展、连接与路径更新</w:t>
      </w:r>
      <w:bookmarkEnd w:id="56"/>
    </w:p>
    <w:p w14:paraId="1F652DC3">
      <w:r>
        <w:t>设最近节点为x_near，采样点为x_rand，扩展步长为η，则扩展点为沿二者连线前进不超过η的位置。首先检查该线段是否与障碍相交，再在固定邻域内比较父节点候选。只有更小代价且连接有效的候选才替换当前父节点。</w:t>
      </w:r>
    </w:p>
    <w:p w14:paraId="07995218">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new</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near</m:t>
            </m:r>
            <m:ctrlPr>
              <w:rPr>
                <w:rFonts w:ascii="Cambria Math" w:hAnsi="Cambria Math"/>
              </w:rPr>
            </m:ctrlPr>
          </m:sub>
        </m:sSub>
        <m:r>
          <m:rPr>
            <m:sty m:val="p"/>
          </m:rPr>
          <w:rPr>
            <w:rFonts w:ascii="Cambria Math" w:hAnsi="Cambria Math"/>
          </w:rPr>
          <m:t>+min(η,‖</m:t>
        </m:r>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rand</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near</m:t>
            </m:r>
            <m:ctrlPr>
              <w:rPr>
                <w:rFonts w:ascii="Cambria Math" w:hAnsi="Cambria Math"/>
              </w:rPr>
            </m:ctrlP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rand</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near</m:t>
                </m:r>
                <m:ctrlPr>
                  <w:rPr>
                    <w:rFonts w:ascii="Cambria Math" w:hAnsi="Cambria Math"/>
                  </w:rPr>
                </m:ctrlPr>
              </m:sub>
            </m:sSub>
            <m:ctrlPr>
              <w:rPr>
                <w:rFonts w:ascii="Cambria Math" w:hAnsi="Cambria Math"/>
              </w:rPr>
            </m:ctrlPr>
          </m:num>
          <m:den>
            <m:r>
              <m:rPr>
                <m:sty m:val="p"/>
              </m:rPr>
              <w:rPr>
                <w:rFonts w:ascii="Cambria Math" w:hAnsi="Cambria Math"/>
              </w:rPr>
              <m:t>‖</m:t>
            </m:r>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rand</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near</m:t>
                </m:r>
                <m:ctrlPr>
                  <w:rPr>
                    <w:rFonts w:ascii="Cambria Math" w:hAnsi="Cambria Math"/>
                  </w:rPr>
                </m:ctrlPr>
              </m:sub>
            </m:sSub>
            <m:r>
              <m:rPr>
                <m:sty m:val="p"/>
              </m:rPr>
              <w:rPr>
                <w:rFonts w:ascii="Cambria Math" w:hAnsi="Cambria Math"/>
              </w:rPr>
              <m:t>‖</m:t>
            </m:r>
            <m:ctrlPr>
              <w:rPr>
                <w:rFonts w:ascii="Cambria Math" w:hAnsi="Cambria Math"/>
              </w:rPr>
            </m:ctrlPr>
          </m:den>
        </m:f>
      </m:oMath>
      <w:r>
        <w:rPr>
          <w:sz w:val="21"/>
        </w:rPr>
        <w:t xml:space="preserve">    （4-3）</w:t>
      </w:r>
    </w:p>
    <w:p w14:paraId="1FEF200D">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par</m:t>
            </m:r>
            <m:ctrlPr>
              <w:rPr>
                <w:rFonts w:ascii="Cambria Math" w:hAnsi="Cambria Math"/>
              </w:rPr>
            </m:ctrlPr>
          </m:sub>
        </m:sSub>
        <m:r>
          <m:rPr>
            <m:sty m:val="p"/>
          </m:rPr>
          <w:rPr>
            <w:rFonts w:ascii="Cambria Math" w:hAnsi="Cambria Math"/>
          </w:rPr>
          <m:t>=argmi</m:t>
        </m:r>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x∈</m:t>
            </m:r>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near</m:t>
                </m:r>
                <m:ctrlPr>
                  <w:rPr>
                    <w:rFonts w:ascii="Cambria Math" w:hAnsi="Cambria Math"/>
                  </w:rPr>
                </m:ctrlPr>
              </m:sub>
            </m:sSub>
            <m:ctrlPr>
              <w:rPr>
                <w:rFonts w:ascii="Cambria Math" w:hAnsi="Cambria Math"/>
              </w:rPr>
            </m:ctrlPr>
          </m:sub>
        </m:sSub>
        <m:r>
          <m:rPr>
            <m:sty m:val="p"/>
          </m:rPr>
          <w:rPr>
            <w:rFonts w:ascii="Cambria Math" w:hAnsi="Cambria Math"/>
          </w:rPr>
          <m:t>[g(x)+‖</m:t>
        </m:r>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new</m:t>
            </m:r>
            <m:ctrlPr>
              <w:rPr>
                <w:rFonts w:ascii="Cambria Math" w:hAnsi="Cambria Math"/>
              </w:rPr>
            </m:ctrlPr>
          </m:sub>
        </m:sSub>
        <m:r>
          <m:rPr>
            <m:sty m:val="p"/>
          </m:rPr>
          <w:rPr>
            <w:rFonts w:ascii="Cambria Math" w:hAnsi="Cambria Math"/>
          </w:rPr>
          <m:t>−x‖]</m:t>
        </m:r>
      </m:oMath>
      <w:r>
        <w:rPr>
          <w:sz w:val="21"/>
        </w:rPr>
        <w:t xml:space="preserve">    （4-4）</w:t>
      </w:r>
    </w:p>
    <w:p w14:paraId="33AD4CD5">
      <w:r>
        <w:t>重布线检查邻域节点是否可经新节点获得更低代价；改变父节点后，程序向后代传播代价更新。当前实现使用2.5倍步长的固定重布线半径，不采用与样本数变化的理论半径。因此，不能把RRT*的渐近最优性结论直接移植到该有限半径组合方法。</w:t>
      </w:r>
    </w:p>
    <w:p w14:paraId="1A6948C2">
      <w:r>
        <w:t>当新节点与另一棵树最近节点的距离不超过连接阈值时，尝试直接搭桥；当距离小于连接触发范围但尚未满足阈值时，活动树最多继续扩展8步，且每一步单独计入预算。连接成功后分别回溯两侧父节点并拼接路径。若新路径优于当前最优路径，更新全局代价及两侧代价；两侧代价均分连接边长度，以便后续构造对应的椭球采样域。</w:t>
      </w:r>
    </w:p>
    <w:p w14:paraId="5418ED3D">
      <w:pPr>
        <w:pStyle w:val="79"/>
        <w:keepNext/>
      </w:pPr>
      <w:r>
        <w:t>表4-1 SC-RRT主要几何与更新参数</w:t>
      </w:r>
    </w:p>
    <w:tbl>
      <w:tblPr>
        <w:tblStyle w:val="28"/>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75" w:type="dxa"/>
          <w:bottom w:w="65" w:type="dxa"/>
          <w:right w:w="75" w:type="dxa"/>
        </w:tblCellMar>
      </w:tblPr>
      <w:tblGrid>
        <w:gridCol w:w="3024"/>
        <w:gridCol w:w="3024"/>
        <w:gridCol w:w="3024"/>
      </w:tblGrid>
      <w:tr w14:paraId="6116F5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tblHeader/>
          <w:jc w:val="center"/>
        </w:trPr>
        <w:tc>
          <w:tcPr>
            <w:tcW w:w="3024" w:type="dxa"/>
            <w:shd w:val="clear" w:color="auto" w:fill="F2F2F2"/>
            <w:vAlign w:val="center"/>
          </w:tcPr>
          <w:p w14:paraId="5B522C8A">
            <w:pPr>
              <w:keepNext/>
              <w:spacing w:before="40" w:after="40" w:line="276" w:lineRule="auto"/>
              <w:ind w:firstLine="0"/>
              <w:jc w:val="center"/>
            </w:pPr>
            <w:r>
              <w:rPr>
                <w:b/>
                <w:sz w:val="20"/>
              </w:rPr>
              <w:t>参数</w:t>
            </w:r>
          </w:p>
        </w:tc>
        <w:tc>
          <w:tcPr>
            <w:tcW w:w="3024" w:type="dxa"/>
            <w:shd w:val="clear" w:color="auto" w:fill="F2F2F2"/>
            <w:vAlign w:val="center"/>
          </w:tcPr>
          <w:p w14:paraId="7A839786">
            <w:pPr>
              <w:keepNext/>
              <w:spacing w:before="40" w:after="40" w:line="276" w:lineRule="auto"/>
              <w:ind w:firstLine="0"/>
              <w:jc w:val="center"/>
            </w:pPr>
            <w:r>
              <w:rPr>
                <w:b/>
                <w:sz w:val="20"/>
              </w:rPr>
              <w:t>设置</w:t>
            </w:r>
          </w:p>
        </w:tc>
        <w:tc>
          <w:tcPr>
            <w:tcW w:w="3024" w:type="dxa"/>
            <w:shd w:val="clear" w:color="auto" w:fill="F2F2F2"/>
            <w:vAlign w:val="center"/>
          </w:tcPr>
          <w:p w14:paraId="2558F760">
            <w:pPr>
              <w:keepNext/>
              <w:spacing w:before="40" w:after="40" w:line="276" w:lineRule="auto"/>
              <w:ind w:firstLine="0"/>
              <w:jc w:val="center"/>
            </w:pPr>
            <w:r>
              <w:rPr>
                <w:b/>
                <w:sz w:val="20"/>
              </w:rPr>
              <w:t>作用</w:t>
            </w:r>
          </w:p>
        </w:tc>
      </w:tr>
      <w:tr w14:paraId="7D0AFB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48E4FC42">
            <w:pPr>
              <w:keepNext/>
              <w:spacing w:before="40" w:after="40" w:line="276" w:lineRule="auto"/>
              <w:ind w:firstLine="0"/>
              <w:jc w:val="center"/>
            </w:pPr>
            <w:r>
              <w:rPr>
                <w:sz w:val="20"/>
              </w:rPr>
              <w:t>扩展步长η</w:t>
            </w:r>
          </w:p>
        </w:tc>
        <w:tc>
          <w:tcPr>
            <w:tcW w:w="3024" w:type="dxa"/>
            <w:vAlign w:val="center"/>
          </w:tcPr>
          <w:p w14:paraId="13AE392F">
            <w:pPr>
              <w:keepNext/>
              <w:spacing w:before="40" w:after="40" w:line="276" w:lineRule="auto"/>
              <w:ind w:firstLine="0"/>
              <w:jc w:val="center"/>
            </w:pPr>
            <w:r>
              <w:rPr>
                <w:sz w:val="20"/>
              </w:rPr>
              <w:t>30 mm</w:t>
            </w:r>
          </w:p>
        </w:tc>
        <w:tc>
          <w:tcPr>
            <w:tcW w:w="3024" w:type="dxa"/>
            <w:vAlign w:val="center"/>
          </w:tcPr>
          <w:p w14:paraId="1DD4854F">
            <w:pPr>
              <w:keepNext/>
              <w:spacing w:before="40" w:after="40" w:line="276" w:lineRule="auto"/>
              <w:ind w:firstLine="0"/>
              <w:jc w:val="center"/>
            </w:pPr>
            <w:r>
              <w:rPr>
                <w:sz w:val="20"/>
              </w:rPr>
              <w:t>限定单次推进距离</w:t>
            </w:r>
          </w:p>
        </w:tc>
      </w:tr>
      <w:tr w14:paraId="39F53F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295567AB">
            <w:pPr>
              <w:keepNext/>
              <w:spacing w:before="40" w:after="40" w:line="276" w:lineRule="auto"/>
              <w:ind w:firstLine="0"/>
              <w:jc w:val="center"/>
            </w:pPr>
            <w:r>
              <w:rPr>
                <w:sz w:val="20"/>
              </w:rPr>
              <w:t>直接连接阈值</w:t>
            </w:r>
          </w:p>
        </w:tc>
        <w:tc>
          <w:tcPr>
            <w:tcW w:w="3024" w:type="dxa"/>
            <w:vAlign w:val="center"/>
          </w:tcPr>
          <w:p w14:paraId="4C76E58F">
            <w:pPr>
              <w:keepNext/>
              <w:spacing w:before="40" w:after="40" w:line="276" w:lineRule="auto"/>
              <w:ind w:firstLine="0"/>
              <w:jc w:val="center"/>
            </w:pPr>
            <w:r>
              <w:rPr>
                <w:sz w:val="20"/>
              </w:rPr>
              <w:t>45 mm</w:t>
            </w:r>
          </w:p>
        </w:tc>
        <w:tc>
          <w:tcPr>
            <w:tcW w:w="3024" w:type="dxa"/>
            <w:vAlign w:val="center"/>
          </w:tcPr>
          <w:p w14:paraId="08518202">
            <w:pPr>
              <w:keepNext/>
              <w:spacing w:before="40" w:after="40" w:line="276" w:lineRule="auto"/>
              <w:ind w:firstLine="0"/>
              <w:jc w:val="center"/>
            </w:pPr>
            <w:r>
              <w:rPr>
                <w:sz w:val="20"/>
              </w:rPr>
              <w:t>判断跨树连接距离</w:t>
            </w:r>
          </w:p>
        </w:tc>
      </w:tr>
      <w:tr w14:paraId="11EB45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10846608">
            <w:pPr>
              <w:keepNext/>
              <w:spacing w:before="40" w:after="40" w:line="276" w:lineRule="auto"/>
              <w:ind w:firstLine="0"/>
              <w:jc w:val="center"/>
            </w:pPr>
            <w:r>
              <w:rPr>
                <w:sz w:val="20"/>
              </w:rPr>
              <w:t>连接触发范围</w:t>
            </w:r>
          </w:p>
        </w:tc>
        <w:tc>
          <w:tcPr>
            <w:tcW w:w="3024" w:type="dxa"/>
            <w:vAlign w:val="center"/>
          </w:tcPr>
          <w:p w14:paraId="424AF07C">
            <w:pPr>
              <w:keepNext/>
              <w:spacing w:before="40" w:after="40" w:line="276" w:lineRule="auto"/>
              <w:ind w:firstLine="0"/>
              <w:jc w:val="center"/>
            </w:pPr>
            <w:r>
              <w:rPr>
                <w:sz w:val="20"/>
              </w:rPr>
              <w:t>12η</w:t>
            </w:r>
          </w:p>
        </w:tc>
        <w:tc>
          <w:tcPr>
            <w:tcW w:w="3024" w:type="dxa"/>
            <w:vAlign w:val="center"/>
          </w:tcPr>
          <w:p w14:paraId="4FF8ABFF">
            <w:pPr>
              <w:keepNext/>
              <w:spacing w:before="40" w:after="40" w:line="276" w:lineRule="auto"/>
              <w:ind w:firstLine="0"/>
              <w:jc w:val="center"/>
            </w:pPr>
            <w:r>
              <w:rPr>
                <w:sz w:val="20"/>
              </w:rPr>
              <w:t>决定是否尝试继续连接</w:t>
            </w:r>
          </w:p>
        </w:tc>
      </w:tr>
      <w:tr w14:paraId="1A677D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09D646F9">
            <w:pPr>
              <w:keepNext/>
              <w:spacing w:before="40" w:after="40" w:line="276" w:lineRule="auto"/>
              <w:ind w:firstLine="0"/>
              <w:jc w:val="center"/>
            </w:pPr>
            <w:r>
              <w:rPr>
                <w:sz w:val="20"/>
              </w:rPr>
              <w:t>连续连接步数上限</w:t>
            </w:r>
          </w:p>
        </w:tc>
        <w:tc>
          <w:tcPr>
            <w:tcW w:w="3024" w:type="dxa"/>
            <w:vAlign w:val="center"/>
          </w:tcPr>
          <w:p w14:paraId="7C6D8184">
            <w:pPr>
              <w:keepNext/>
              <w:spacing w:before="40" w:after="40" w:line="276" w:lineRule="auto"/>
              <w:ind w:firstLine="0"/>
              <w:jc w:val="center"/>
            </w:pPr>
            <w:r>
              <w:rPr>
                <w:sz w:val="20"/>
              </w:rPr>
              <w:t>8</w:t>
            </w:r>
          </w:p>
        </w:tc>
        <w:tc>
          <w:tcPr>
            <w:tcW w:w="3024" w:type="dxa"/>
            <w:vAlign w:val="center"/>
          </w:tcPr>
          <w:p w14:paraId="100E9499">
            <w:pPr>
              <w:keepNext/>
              <w:spacing w:before="40" w:after="40" w:line="276" w:lineRule="auto"/>
              <w:ind w:firstLine="0"/>
              <w:jc w:val="center"/>
            </w:pPr>
            <w:r>
              <w:rPr>
                <w:sz w:val="20"/>
              </w:rPr>
              <w:t>限制单轮连接工作量</w:t>
            </w:r>
          </w:p>
        </w:tc>
      </w:tr>
      <w:tr w14:paraId="725E27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0F571730">
            <w:pPr>
              <w:keepNext/>
              <w:spacing w:before="40" w:after="40" w:line="276" w:lineRule="auto"/>
              <w:ind w:firstLine="0"/>
              <w:jc w:val="center"/>
            </w:pPr>
            <w:r>
              <w:rPr>
                <w:sz w:val="20"/>
              </w:rPr>
              <w:t>重布线邻域半径</w:t>
            </w:r>
          </w:p>
        </w:tc>
        <w:tc>
          <w:tcPr>
            <w:tcW w:w="3024" w:type="dxa"/>
            <w:vAlign w:val="center"/>
          </w:tcPr>
          <w:p w14:paraId="1B214C5B">
            <w:pPr>
              <w:keepNext/>
              <w:spacing w:before="40" w:after="40" w:line="276" w:lineRule="auto"/>
              <w:ind w:firstLine="0"/>
              <w:jc w:val="center"/>
            </w:pPr>
            <w:r>
              <w:rPr>
                <w:sz w:val="20"/>
              </w:rPr>
              <w:t>2.5η</w:t>
            </w:r>
          </w:p>
        </w:tc>
        <w:tc>
          <w:tcPr>
            <w:tcW w:w="3024" w:type="dxa"/>
            <w:vAlign w:val="center"/>
          </w:tcPr>
          <w:p w14:paraId="677AF036">
            <w:pPr>
              <w:keepNext/>
              <w:spacing w:before="40" w:after="40" w:line="276" w:lineRule="auto"/>
              <w:ind w:firstLine="0"/>
              <w:jc w:val="center"/>
            </w:pPr>
            <w:r>
              <w:rPr>
                <w:sz w:val="20"/>
              </w:rPr>
              <w:t>限定局部代价优化范围</w:t>
            </w:r>
          </w:p>
        </w:tc>
      </w:tr>
      <w:tr w14:paraId="2E93D3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211C4CD5">
            <w:pPr>
              <w:spacing w:before="40" w:after="40" w:line="276" w:lineRule="auto"/>
              <w:ind w:firstLine="0"/>
              <w:jc w:val="center"/>
            </w:pPr>
            <w:r>
              <w:rPr>
                <w:sz w:val="20"/>
              </w:rPr>
              <w:t>参考点与反馈检查间隔</w:t>
            </w:r>
          </w:p>
        </w:tc>
        <w:tc>
          <w:tcPr>
            <w:tcW w:w="3024" w:type="dxa"/>
            <w:vAlign w:val="center"/>
          </w:tcPr>
          <w:p w14:paraId="55BC4A24">
            <w:pPr>
              <w:spacing w:before="40" w:after="40" w:line="276" w:lineRule="auto"/>
              <w:ind w:firstLine="0"/>
              <w:jc w:val="center"/>
            </w:pPr>
            <w:r>
              <w:rPr>
                <w:sz w:val="20"/>
              </w:rPr>
              <w:t>50次扩展尝试</w:t>
            </w:r>
          </w:p>
        </w:tc>
        <w:tc>
          <w:tcPr>
            <w:tcW w:w="3024" w:type="dxa"/>
            <w:vAlign w:val="center"/>
          </w:tcPr>
          <w:p w14:paraId="33751AD9">
            <w:pPr>
              <w:spacing w:before="40" w:after="40" w:line="276" w:lineRule="auto"/>
              <w:ind w:firstLine="0"/>
              <w:jc w:val="center"/>
            </w:pPr>
            <w:r>
              <w:rPr>
                <w:sz w:val="20"/>
              </w:rPr>
              <w:t>按预算进度触发更新</w:t>
            </w:r>
          </w:p>
        </w:tc>
      </w:tr>
    </w:tbl>
    <w:p w14:paraId="7826633D"/>
    <w:p w14:paraId="73BA17C3">
      <w:pPr>
        <w:pStyle w:val="3"/>
      </w:pPr>
      <w:bookmarkStart w:id="57" w:name="_Toc243339237"/>
      <w:r>
        <w:t>4.3 自适应双椭球约束采样</w:t>
      </w:r>
      <w:bookmarkEnd w:id="57"/>
    </w:p>
    <w:p w14:paraId="452E96BD">
      <w:pPr>
        <w:pStyle w:val="4"/>
        <w:spacing w:before="240" w:after="240"/>
      </w:pPr>
      <w:bookmarkStart w:id="58" w:name="_Toc243339238"/>
      <w:r>
        <w:t>4.3.1 动态中间参考点更新</w:t>
      </w:r>
      <w:bookmarkEnd w:id="58"/>
    </w:p>
    <w:p w14:paraId="2759B717">
      <w:r>
        <w:t>中间参考点初始设置为起终点中点。更新时分别取两棵树最近加入的至多128个节点，在两组候选间寻找欧氏距离最近的节点对，以其连线中点作为更新目标，再进行指数平滑。设候选节点对为x_a、x_b，则更新公式为：</w:t>
      </w:r>
    </w:p>
    <w:p w14:paraId="37D1AC72">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m</m:t>
            </m:r>
            <m:ctrlPr>
              <w:rPr>
                <w:rFonts w:ascii="Cambria Math" w:hAnsi="Cambria Math"/>
              </w:rPr>
            </m:ctrlPr>
          </m:e>
          <m:sub>
            <m:r>
              <m:rPr>
                <m:sty m:val="p"/>
              </m:rPr>
              <w:rPr>
                <w:rFonts w:ascii="Cambria Math" w:hAnsi="Cambria Math"/>
              </w:rPr>
              <m:t>0</m:t>
            </m:r>
            <m:ctrlPr>
              <w:rPr>
                <w:rFonts w:ascii="Cambria Math" w:hAnsi="Cambria Math"/>
              </w:rPr>
            </m:ctrlP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s</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g</m:t>
                </m:r>
                <m:ctrlPr>
                  <w:rPr>
                    <w:rFonts w:ascii="Cambria Math" w:hAnsi="Cambria Math"/>
                  </w:rPr>
                </m:ctrlPr>
              </m:sub>
            </m:sSub>
            <m:ctrlPr>
              <w:rPr>
                <w:rFonts w:ascii="Cambria Math" w:hAnsi="Cambria Math"/>
              </w:rPr>
            </m:ctrlPr>
          </m:num>
          <m:den>
            <m:r>
              <m:rPr>
                <m:sty m:val="p"/>
              </m:rPr>
              <w:rPr>
                <w:rFonts w:ascii="Cambria Math" w:hAnsi="Cambria Math"/>
              </w:rPr>
              <m:t>2</m:t>
            </m:r>
            <m:ctrlPr>
              <w:rPr>
                <w:rFonts w:ascii="Cambria Math" w:hAnsi="Cambria Math"/>
              </w:rPr>
            </m:ctrlPr>
          </m:den>
        </m:f>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m</m:t>
            </m:r>
            <m:ctrlPr>
              <w:rPr>
                <w:rFonts w:ascii="Cambria Math" w:hAnsi="Cambria Math"/>
              </w:rPr>
            </m:ctrlPr>
          </m:e>
          <m:sub>
            <m:r>
              <m:rPr>
                <m:sty m:val="p"/>
              </m:rPr>
              <w:rPr>
                <w:rFonts w:ascii="Cambria Math" w:hAnsi="Cambria Math"/>
              </w:rPr>
              <m:t>k+1</m:t>
            </m:r>
            <m:ctrlPr>
              <w:rPr>
                <w:rFonts w:ascii="Cambria Math" w:hAnsi="Cambria Math"/>
              </w:rPr>
            </m:ctrlPr>
          </m:sub>
        </m:sSub>
        <m:r>
          <m:rPr>
            <m:sty m:val="p"/>
          </m:rPr>
          <w:rPr>
            <w:rFonts w:ascii="Cambria Math" w:hAnsi="Cambria Math"/>
          </w:rPr>
          <m:t>=0.7</m:t>
        </m:r>
        <m:sSub>
          <m:sSubPr>
            <m:ctrlPr>
              <w:rPr>
                <w:rFonts w:ascii="Cambria Math" w:hAnsi="Cambria Math"/>
              </w:rPr>
            </m:ctrlPr>
          </m:sSubPr>
          <m:e>
            <m:r>
              <m:rPr>
                <m:sty m:val="p"/>
              </m:rPr>
              <w:rPr>
                <w:rFonts w:ascii="Cambria Math" w:hAnsi="Cambria Math"/>
              </w:rPr>
              <m:t>m</m:t>
            </m:r>
            <m:ctrlPr>
              <w:rPr>
                <w:rFonts w:ascii="Cambria Math" w:hAnsi="Cambria Math"/>
              </w:rPr>
            </m:ctrlPr>
          </m:e>
          <m:sub>
            <m:r>
              <m:rPr>
                <m:sty m:val="p"/>
              </m:rPr>
              <w:rPr>
                <w:rFonts w:ascii="Cambria Math" w:hAnsi="Cambria Math"/>
              </w:rPr>
              <m:t>k</m:t>
            </m:r>
            <m:ctrlPr>
              <w:rPr>
                <w:rFonts w:ascii="Cambria Math" w:hAnsi="Cambria Math"/>
              </w:rPr>
            </m:ctrlPr>
          </m:sub>
        </m:sSub>
        <m:r>
          <m:rPr>
            <m:sty m:val="p"/>
          </m:rPr>
          <w:rPr>
            <w:rFonts w:ascii="Cambria Math" w:hAnsi="Cambria Math"/>
          </w:rPr>
          <m:t>+0.3</m:t>
        </m:r>
        <m:f>
          <m:fPr>
            <m:ctrlPr>
              <w:rPr>
                <w:rFonts w:ascii="Cambria Math" w:hAnsi="Cambria Math"/>
              </w:rPr>
            </m:ctrlPr>
          </m:fPr>
          <m:num>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a</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b</m:t>
                </m:r>
                <m:ctrlPr>
                  <w:rPr>
                    <w:rFonts w:ascii="Cambria Math" w:hAnsi="Cambria Math"/>
                  </w:rPr>
                </m:ctrlPr>
              </m:sub>
            </m:sSub>
            <m:ctrlPr>
              <w:rPr>
                <w:rFonts w:ascii="Cambria Math" w:hAnsi="Cambria Math"/>
              </w:rPr>
            </m:ctrlPr>
          </m:num>
          <m:den>
            <m:r>
              <m:rPr>
                <m:sty m:val="p"/>
              </m:rPr>
              <w:rPr>
                <w:rFonts w:ascii="Cambria Math" w:hAnsi="Cambria Math"/>
              </w:rPr>
              <m:t>2</m:t>
            </m:r>
            <m:ctrlPr>
              <w:rPr>
                <w:rFonts w:ascii="Cambria Math" w:hAnsi="Cambria Math"/>
              </w:rPr>
            </m:ctrlPr>
          </m:den>
        </m:f>
      </m:oMath>
      <w:r>
        <w:rPr>
          <w:sz w:val="21"/>
        </w:rPr>
        <w:t xml:space="preserve">    （4-5）</w:t>
      </w:r>
    </w:p>
    <w:p w14:paraId="01D16902">
      <w:r>
        <w:t>参考点反映两侧近期搜索的接近区域。平滑操作可以减小候选节点对变化引起的采样域跳动，但该点不是路径必须经过的路点，也不一定处于自由空间。算法只使用它构造采样域，真正的路径仍由通过碰撞检查的树边组成。若将参考点强制插入最终路径，会改变原有算法的可行性条件。</w:t>
      </w:r>
    </w:p>
    <w:p w14:paraId="59B6322A">
      <w:r>
        <w:t>候选范围限制为近期节点，是控制计算量的实现选择。它可能更关注当前扩展前沿，也可能忽略更早节点形成的潜在连接。本文通过固定实现进行比较，不把该策略描述为已经独立证明最优的中点选择规则。</w:t>
      </w:r>
    </w:p>
    <w:p w14:paraId="3DAF5731">
      <w:pPr>
        <w:pStyle w:val="4"/>
        <w:spacing w:before="240" w:after="240"/>
      </w:pPr>
      <w:bookmarkStart w:id="59" w:name="_Toc243339239"/>
      <w:r>
        <w:t>4.3.2 双侧椭球采样域构建</w:t>
      </w:r>
      <w:bookmarkEnd w:id="59"/>
    </w:p>
    <w:p w14:paraId="0AB0CCCB">
      <w:r>
        <w:t>起点侧以x_s和m为焦点，终点侧以x_g和m为焦点。记第r侧根节点为f_r，侧代价为c_r，膨胀系数为γ_r，焦距为d_r。完整长轴长度C_r取膨胀后的侧代价与略大于焦距的值中的较大者，以避免退化；半长轴a_r和半短轴b_r由焦点几何关系确定。</w:t>
      </w:r>
    </w:p>
    <w:p w14:paraId="3BAD40FE">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r</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f</m:t>
            </m:r>
            <m:ctrlPr>
              <w:rPr>
                <w:rFonts w:ascii="Cambria Math" w:hAnsi="Cambria Math"/>
              </w:rPr>
            </m:ctrlPr>
          </m:e>
          <m:sub>
            <m:r>
              <m:rPr>
                <m:sty m:val="p"/>
              </m:rPr>
              <w:rPr>
                <w:rFonts w:ascii="Cambria Math" w:hAnsi="Cambria Math"/>
              </w:rPr>
              <m:t>r</m:t>
            </m:r>
            <m:ctrlPr>
              <w:rPr>
                <w:rFonts w:ascii="Cambria Math" w:hAnsi="Cambria Math"/>
              </w:rPr>
            </m:ctrlPr>
          </m:sub>
        </m:sSub>
        <m:r>
          <m:rPr>
            <m:sty m:val="p"/>
          </m:rPr>
          <w:rPr>
            <w:rFonts w:ascii="Cambria Math" w:hAnsi="Cambria Math"/>
          </w:rPr>
          <m:t xml:space="preserve">−m‖,    </m:t>
        </m:r>
        <m:sSub>
          <m:sSubPr>
            <m:ctrlPr>
              <w:rPr>
                <w:rFonts w:ascii="Cambria Math" w:hAnsi="Cambria Math"/>
              </w:rPr>
            </m:ctrlPr>
          </m:sSubPr>
          <m:e>
            <m:r>
              <m:rPr>
                <m:sty m:val="p"/>
              </m:rPr>
              <w:rPr>
                <w:rFonts w:ascii="Cambria Math" w:hAnsi="Cambria Math"/>
              </w:rPr>
              <m:t>C</m:t>
            </m:r>
            <m:ctrlPr>
              <w:rPr>
                <w:rFonts w:ascii="Cambria Math" w:hAnsi="Cambria Math"/>
              </w:rPr>
            </m:ctrlPr>
          </m:e>
          <m:sub>
            <m:r>
              <m:rPr>
                <m:sty m:val="p"/>
              </m:rPr>
              <w:rPr>
                <w:rFonts w:ascii="Cambria Math" w:hAnsi="Cambria Math"/>
              </w:rPr>
              <m:t>r</m:t>
            </m:r>
            <m:ctrlPr>
              <w:rPr>
                <w:rFonts w:ascii="Cambria Math" w:hAnsi="Cambria Math"/>
              </w:rPr>
            </m:ctrlPr>
          </m:sub>
        </m:sSub>
        <m:r>
          <m:rPr>
            <m:sty m:val="p"/>
          </m:rPr>
          <w:rPr>
            <w:rFonts w:ascii="Cambria Math" w:hAnsi="Cambria Math"/>
          </w:rPr>
          <m:t>=max(</m:t>
        </m:r>
        <m:sSub>
          <m:sSubPr>
            <m:ctrlPr>
              <w:rPr>
                <w:rFonts w:ascii="Cambria Math" w:hAnsi="Cambria Math"/>
              </w:rPr>
            </m:ctrlPr>
          </m:sSubPr>
          <m:e>
            <m:r>
              <m:rPr>
                <m:sty m:val="p"/>
              </m:rPr>
              <w:rPr>
                <w:rFonts w:ascii="Cambria Math" w:hAnsi="Cambria Math"/>
              </w:rPr>
              <m:t>γ</m:t>
            </m:r>
            <m:ctrlPr>
              <w:rPr>
                <w:rFonts w:ascii="Cambria Math" w:hAnsi="Cambria Math"/>
              </w:rPr>
            </m:ctrlPr>
          </m:e>
          <m:sub>
            <m:r>
              <m:rPr>
                <m:sty m:val="p"/>
              </m:rPr>
              <w:rPr>
                <w:rFonts w:ascii="Cambria Math" w:hAnsi="Cambria Math"/>
              </w:rPr>
              <m:t>r</m:t>
            </m:r>
            <m:ctrlPr>
              <w:rPr>
                <w:rFonts w:ascii="Cambria Math" w:hAnsi="Cambria Math"/>
              </w:rPr>
            </m:ctrlPr>
          </m:sub>
        </m:sSub>
        <m:sSub>
          <m:sSubPr>
            <m:ctrlPr>
              <w:rPr>
                <w:rFonts w:ascii="Cambria Math" w:hAnsi="Cambria Math"/>
              </w:rPr>
            </m:ctrlPr>
          </m:sSubPr>
          <m:e>
            <m:r>
              <m:rPr>
                <m:sty m:val="p"/>
              </m:rPr>
              <w:rPr>
                <w:rFonts w:ascii="Cambria Math" w:hAnsi="Cambria Math"/>
              </w:rPr>
              <m:t>c</m:t>
            </m:r>
            <m:ctrlPr>
              <w:rPr>
                <w:rFonts w:ascii="Cambria Math" w:hAnsi="Cambria Math"/>
              </w:rPr>
            </m:ctrlPr>
          </m:e>
          <m:sub>
            <m:r>
              <m:rPr>
                <m:sty m:val="p"/>
              </m:rPr>
              <w:rPr>
                <w:rFonts w:ascii="Cambria Math" w:hAnsi="Cambria Math"/>
              </w:rPr>
              <m:t>r</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r</m:t>
            </m:r>
            <m:ctrlPr>
              <w:rPr>
                <w:rFonts w:ascii="Cambria Math" w:hAnsi="Cambria Math"/>
              </w:rPr>
            </m:ctrlPr>
          </m:sub>
        </m:sSub>
        <m:r>
          <m:rPr>
            <m:sty m:val="p"/>
          </m:rPr>
          <w:rPr>
            <w:rFonts w:ascii="Cambria Math" w:hAnsi="Cambria Math"/>
          </w:rPr>
          <m:t>+ε)</m:t>
        </m:r>
      </m:oMath>
      <w:r>
        <w:rPr>
          <w:sz w:val="21"/>
        </w:rPr>
        <w:t xml:space="preserve">    （4-6）</w:t>
      </w:r>
    </w:p>
    <w:p w14:paraId="00A3216D">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a</m:t>
            </m:r>
            <m:ctrlPr>
              <w:rPr>
                <w:rFonts w:ascii="Cambria Math" w:hAnsi="Cambria Math"/>
              </w:rPr>
            </m:ctrlPr>
          </m:e>
          <m:sub>
            <m:r>
              <m:rPr>
                <m:sty m:val="p"/>
              </m:rPr>
              <w:rPr>
                <w:rFonts w:ascii="Cambria Math" w:hAnsi="Cambria Math"/>
              </w:rPr>
              <m:t>r</m:t>
            </m:r>
            <m:ctrlPr>
              <w:rPr>
                <w:rFonts w:ascii="Cambria Math" w:hAnsi="Cambria Math"/>
              </w:rPr>
            </m:ctrlP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C</m:t>
                </m:r>
                <m:ctrlPr>
                  <w:rPr>
                    <w:rFonts w:ascii="Cambria Math" w:hAnsi="Cambria Math"/>
                  </w:rPr>
                </m:ctrlPr>
              </m:e>
              <m:sub>
                <m:r>
                  <m:rPr>
                    <m:sty m:val="p"/>
                  </m:rPr>
                  <w:rPr>
                    <w:rFonts w:ascii="Cambria Math" w:hAnsi="Cambria Math"/>
                  </w:rPr>
                  <m:t>r</m:t>
                </m:r>
                <m:ctrlPr>
                  <w:rPr>
                    <w:rFonts w:ascii="Cambria Math" w:hAnsi="Cambria Math"/>
                  </w:rPr>
                </m:ctrlPr>
              </m:sub>
            </m:sSub>
            <m:ctrlPr>
              <w:rPr>
                <w:rFonts w:ascii="Cambria Math" w:hAnsi="Cambria Math"/>
              </w:rPr>
            </m:ctrlPr>
          </m:num>
          <m:den>
            <m:r>
              <m:rPr>
                <m:sty m:val="p"/>
              </m:rPr>
              <w:rPr>
                <w:rFonts w:ascii="Cambria Math" w:hAnsi="Cambria Math"/>
              </w:rPr>
              <m:t>2</m:t>
            </m:r>
            <m:ctrlPr>
              <w:rPr>
                <w:rFonts w:ascii="Cambria Math" w:hAnsi="Cambria Math"/>
              </w:rPr>
            </m:ctrlPr>
          </m:den>
        </m:f>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b</m:t>
            </m:r>
            <m:ctrlPr>
              <w:rPr>
                <w:rFonts w:ascii="Cambria Math" w:hAnsi="Cambria Math"/>
              </w:rPr>
            </m:ctrlPr>
          </m:e>
          <m:sub>
            <m:r>
              <m:rPr>
                <m:sty m:val="p"/>
              </m:rPr>
              <w:rPr>
                <w:rFonts w:ascii="Cambria Math" w:hAnsi="Cambria Math"/>
              </w:rPr>
              <m:t>r</m:t>
            </m:r>
            <m:ctrlPr>
              <w:rPr>
                <w:rFonts w:ascii="Cambria Math" w:hAnsi="Cambria Math"/>
              </w:rPr>
            </m:ctrlPr>
          </m:sub>
        </m:sSub>
        <m:r>
          <m:rPr>
            <m:sty m:val="p"/>
          </m:rPr>
          <w:rPr>
            <w:rFonts w:ascii="Cambria Math" w:hAnsi="Cambria Math"/>
          </w:rPr>
          <m:t>=</m:t>
        </m:r>
        <m:f>
          <m:fPr>
            <m:ctrlPr>
              <w:rPr>
                <w:rFonts w:ascii="Cambria Math" w:hAnsi="Cambria Math"/>
              </w:rPr>
            </m:ctrlPr>
          </m:fPr>
          <m:num>
            <m:rad>
              <m:radPr>
                <m:degHide m:val="1"/>
                <m:ctrlPr>
                  <w:rPr>
                    <w:rFonts w:ascii="Cambria Math" w:hAnsi="Cambria Math"/>
                  </w:rPr>
                </m:ctrlPr>
              </m:radPr>
              <m:deg>
                <m:ctrlPr>
                  <w:rPr>
                    <w:rFonts w:ascii="Cambria Math" w:hAnsi="Cambria Math"/>
                  </w:rPr>
                </m:ctrlPr>
              </m:deg>
              <m:e>
                <m:sSubSup>
                  <m:sSubSupPr>
                    <m:ctrlPr>
                      <w:rPr>
                        <w:rFonts w:ascii="Cambria Math" w:hAnsi="Cambria Math"/>
                      </w:rPr>
                    </m:ctrlPr>
                  </m:sSubSupPr>
                  <m:e>
                    <m:r>
                      <m:rPr>
                        <m:sty m:val="p"/>
                      </m:rPr>
                      <w:rPr>
                        <w:rFonts w:ascii="Cambria Math" w:hAnsi="Cambria Math"/>
                      </w:rPr>
                      <m:t>C</m:t>
                    </m:r>
                    <m:ctrlPr>
                      <w:rPr>
                        <w:rFonts w:ascii="Cambria Math" w:hAnsi="Cambria Math"/>
                      </w:rPr>
                    </m:ctrlPr>
                  </m:e>
                  <m:sub>
                    <m:r>
                      <m:rPr>
                        <m:sty m:val="p"/>
                      </m:rPr>
                      <w:rPr>
                        <w:rFonts w:ascii="Cambria Math" w:hAnsi="Cambria Math"/>
                      </w:rPr>
                      <m:t>r</m:t>
                    </m:r>
                    <m:ctrlPr>
                      <w:rPr>
                        <w:rFonts w:ascii="Cambria Math" w:hAnsi="Cambria Math"/>
                      </w:rPr>
                    </m:ctrlPr>
                  </m:sub>
                  <m:sup>
                    <m:r>
                      <m:rPr>
                        <m:sty m:val="p"/>
                      </m:rPr>
                      <w:rPr>
                        <w:rFonts w:ascii="Cambria Math" w:hAnsi="Cambria Math"/>
                      </w:rPr>
                      <m:t>2</m:t>
                    </m:r>
                    <m:ctrlPr>
                      <w:rPr>
                        <w:rFonts w:ascii="Cambria Math" w:hAnsi="Cambria Math"/>
                      </w:rPr>
                    </m:ctrlP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d</m:t>
                    </m:r>
                    <m:ctrlPr>
                      <w:rPr>
                        <w:rFonts w:ascii="Cambria Math" w:hAnsi="Cambria Math"/>
                      </w:rPr>
                    </m:ctrlPr>
                  </m:e>
                  <m:sub>
                    <m:r>
                      <m:rPr>
                        <m:sty m:val="p"/>
                      </m:rPr>
                      <w:rPr>
                        <w:rFonts w:ascii="Cambria Math" w:hAnsi="Cambria Math"/>
                      </w:rPr>
                      <m:t>r</m:t>
                    </m:r>
                    <m:ctrlPr>
                      <w:rPr>
                        <w:rFonts w:ascii="Cambria Math" w:hAnsi="Cambria Math"/>
                      </w:rPr>
                    </m:ctrlPr>
                  </m:sub>
                  <m:sup>
                    <m:r>
                      <m:rPr>
                        <m:sty m:val="p"/>
                      </m:rPr>
                      <w:rPr>
                        <w:rFonts w:ascii="Cambria Math" w:hAnsi="Cambria Math"/>
                      </w:rPr>
                      <m:t>2</m:t>
                    </m:r>
                    <m:ctrlPr>
                      <w:rPr>
                        <w:rFonts w:ascii="Cambria Math" w:hAnsi="Cambria Math"/>
                      </w:rPr>
                    </m:ctrlPr>
                  </m:sup>
                </m:sSubSup>
                <m:ctrlPr>
                  <w:rPr>
                    <w:rFonts w:ascii="Cambria Math" w:hAnsi="Cambria Math"/>
                  </w:rPr>
                </m:ctrlPr>
              </m:e>
            </m:rad>
            <m:ctrlPr>
              <w:rPr>
                <w:rFonts w:ascii="Cambria Math" w:hAnsi="Cambria Math"/>
              </w:rPr>
            </m:ctrlPr>
          </m:num>
          <m:den>
            <m:r>
              <m:rPr>
                <m:sty m:val="p"/>
              </m:rPr>
              <w:rPr>
                <w:rFonts w:ascii="Cambria Math" w:hAnsi="Cambria Math"/>
              </w:rPr>
              <m:t>2</m:t>
            </m:r>
            <m:ctrlPr>
              <w:rPr>
                <w:rFonts w:ascii="Cambria Math" w:hAnsi="Cambria Math"/>
              </w:rPr>
            </m:ctrlPr>
          </m:den>
        </m:f>
      </m:oMath>
      <w:r>
        <w:rPr>
          <w:sz w:val="21"/>
        </w:rPr>
        <w:t xml:space="preserve">    （4-7）</w:t>
      </w:r>
    </w:p>
    <w:p w14:paraId="0D45FB36">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r</m:t>
            </m:r>
            <m:ctrlPr>
              <w:rPr>
                <w:rFonts w:ascii="Cambria Math" w:hAnsi="Cambria Math"/>
              </w:rPr>
            </m:ctrlPr>
          </m:sub>
        </m:sSub>
        <m:r>
          <m:rPr>
            <m:sty m:val="p"/>
          </m:rPr>
          <w:rPr>
            <w:rFonts w:ascii="Cambria Math" w:hAnsi="Cambria Math"/>
          </w:rPr>
          <m:t>={x∣‖x−</m:t>
        </m:r>
        <m:sSub>
          <m:sSubPr>
            <m:ctrlPr>
              <w:rPr>
                <w:rFonts w:ascii="Cambria Math" w:hAnsi="Cambria Math"/>
              </w:rPr>
            </m:ctrlPr>
          </m:sSubPr>
          <m:e>
            <m:r>
              <m:rPr>
                <m:sty m:val="p"/>
              </m:rPr>
              <w:rPr>
                <w:rFonts w:ascii="Cambria Math" w:hAnsi="Cambria Math"/>
              </w:rPr>
              <m:t>f</m:t>
            </m:r>
            <m:ctrlPr>
              <w:rPr>
                <w:rFonts w:ascii="Cambria Math" w:hAnsi="Cambria Math"/>
              </w:rPr>
            </m:ctrlPr>
          </m:e>
          <m:sub>
            <m:r>
              <m:rPr>
                <m:sty m:val="p"/>
              </m:rPr>
              <w:rPr>
                <w:rFonts w:ascii="Cambria Math" w:hAnsi="Cambria Math"/>
              </w:rPr>
              <m:t>r</m:t>
            </m:r>
            <m:ctrlPr>
              <w:rPr>
                <w:rFonts w:ascii="Cambria Math" w:hAnsi="Cambria Math"/>
              </w:rPr>
            </m:ctrlPr>
          </m:sub>
        </m:sSub>
        <m:r>
          <m:rPr>
            <m:sty m:val="p"/>
          </m:rPr>
          <w:rPr>
            <w:rFonts w:ascii="Cambria Math" w:hAnsi="Cambria Math"/>
          </w:rPr>
          <m:t>‖+‖x−m‖≤</m:t>
        </m:r>
        <m:sSub>
          <m:sSubPr>
            <m:ctrlPr>
              <w:rPr>
                <w:rFonts w:ascii="Cambria Math" w:hAnsi="Cambria Math"/>
              </w:rPr>
            </m:ctrlPr>
          </m:sSubPr>
          <m:e>
            <m:r>
              <m:rPr>
                <m:sty m:val="p"/>
              </m:rPr>
              <w:rPr>
                <w:rFonts w:ascii="Cambria Math" w:hAnsi="Cambria Math"/>
              </w:rPr>
              <m:t>C</m:t>
            </m:r>
            <m:ctrlPr>
              <w:rPr>
                <w:rFonts w:ascii="Cambria Math" w:hAnsi="Cambria Math"/>
              </w:rPr>
            </m:ctrlPr>
          </m:e>
          <m:sub>
            <m:r>
              <m:rPr>
                <m:sty m:val="p"/>
              </m:rPr>
              <w:rPr>
                <w:rFonts w:ascii="Cambria Math" w:hAnsi="Cambria Math"/>
              </w:rPr>
              <m:t>r</m:t>
            </m:r>
            <m:ctrlPr>
              <w:rPr>
                <w:rFonts w:ascii="Cambria Math" w:hAnsi="Cambria Math"/>
              </w:rPr>
            </m:ctrlPr>
          </m:sub>
        </m:sSub>
        <m:r>
          <m:rPr>
            <m:sty m:val="p"/>
          </m:rPr>
          <w:rPr>
            <w:rFonts w:ascii="Cambria Math" w:hAnsi="Cambria Math"/>
          </w:rPr>
          <m:t>}</m:t>
        </m:r>
      </m:oMath>
      <w:r>
        <w:rPr>
          <w:sz w:val="21"/>
        </w:rPr>
        <w:t xml:space="preserve">    （4-8）</w:t>
      </w:r>
    </w:p>
    <w:p w14:paraId="50C30B54">
      <w:r>
        <w:t>采样时先在单位球内获得均匀样本z，再按主轴尺度进行拉伸，并旋转到焦点连线方向，最后平移至焦点中点。若超出全局边界或不能形成有效样本，则回到后续采样分支。矩阵Q_r将第一坐标轴对齐到f_r与m的连线方向。</w:t>
      </w:r>
    </w:p>
    <w:p w14:paraId="65966A25">
      <w:pPr>
        <w:spacing w:before="120" w:after="120" w:line="300" w:lineRule="auto"/>
        <w:ind w:firstLine="0"/>
        <w:jc w:val="center"/>
      </w:pPr>
      <m:oMath>
        <m:r>
          <m:rPr>
            <m:sty m:val="p"/>
          </m:rPr>
          <w:rPr>
            <w:rFonts w:ascii="Cambria Math" w:hAnsi="Cambria Math"/>
          </w:rPr>
          <m:t>x=</m:t>
        </m:r>
        <m:sSub>
          <m:sSubPr>
            <m:ctrlPr>
              <w:rPr>
                <w:rFonts w:ascii="Cambria Math" w:hAnsi="Cambria Math"/>
              </w:rPr>
            </m:ctrlPr>
          </m:sSubPr>
          <m:e>
            <m:r>
              <m:rPr>
                <m:sty m:val="p"/>
              </m:rPr>
              <w:rPr>
                <w:rFonts w:ascii="Cambria Math" w:hAnsi="Cambria Math"/>
              </w:rPr>
              <m:t>Q</m:t>
            </m:r>
            <m:ctrlPr>
              <w:rPr>
                <w:rFonts w:ascii="Cambria Math" w:hAnsi="Cambria Math"/>
              </w:rPr>
            </m:ctrlPr>
          </m:e>
          <m:sub>
            <m:r>
              <m:rPr>
                <m:sty m:val="p"/>
              </m:rPr>
              <w:rPr>
                <w:rFonts w:ascii="Cambria Math" w:hAnsi="Cambria Math"/>
              </w:rPr>
              <m:t>r</m:t>
            </m:r>
            <m:ctrlPr>
              <w:rPr>
                <w:rFonts w:ascii="Cambria Math" w:hAnsi="Cambria Math"/>
              </w:rPr>
            </m:ctrlPr>
          </m:sub>
        </m:sSub>
        <m:r>
          <m:rPr>
            <m:sty m:val="p"/>
          </m:rPr>
          <w:rPr>
            <w:rFonts w:ascii="Cambria Math" w:hAnsi="Cambria Math"/>
          </w:rPr>
          <m:t>diag(</m:t>
        </m:r>
        <m:sSub>
          <m:sSubPr>
            <m:ctrlPr>
              <w:rPr>
                <w:rFonts w:ascii="Cambria Math" w:hAnsi="Cambria Math"/>
              </w:rPr>
            </m:ctrlPr>
          </m:sSubPr>
          <m:e>
            <m:r>
              <m:rPr>
                <m:sty m:val="p"/>
              </m:rPr>
              <w:rPr>
                <w:rFonts w:ascii="Cambria Math" w:hAnsi="Cambria Math"/>
              </w:rPr>
              <m:t>a</m:t>
            </m:r>
            <m:ctrlPr>
              <w:rPr>
                <w:rFonts w:ascii="Cambria Math" w:hAnsi="Cambria Math"/>
              </w:rPr>
            </m:ctrlPr>
          </m:e>
          <m:sub>
            <m:r>
              <m:rPr>
                <m:sty m:val="p"/>
              </m:rPr>
              <w:rPr>
                <w:rFonts w:ascii="Cambria Math" w:hAnsi="Cambria Math"/>
              </w:rPr>
              <m:t>r</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b</m:t>
            </m:r>
            <m:ctrlPr>
              <w:rPr>
                <w:rFonts w:ascii="Cambria Math" w:hAnsi="Cambria Math"/>
              </w:rPr>
            </m:ctrlPr>
          </m:e>
          <m:sub>
            <m:r>
              <m:rPr>
                <m:sty m:val="p"/>
              </m:rPr>
              <w:rPr>
                <w:rFonts w:ascii="Cambria Math" w:hAnsi="Cambria Math"/>
              </w:rPr>
              <m:t>r</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b</m:t>
            </m:r>
            <m:ctrlPr>
              <w:rPr>
                <w:rFonts w:ascii="Cambria Math" w:hAnsi="Cambria Math"/>
              </w:rPr>
            </m:ctrlPr>
          </m:e>
          <m:sub>
            <m:r>
              <m:rPr>
                <m:sty m:val="p"/>
              </m:rPr>
              <w:rPr>
                <w:rFonts w:ascii="Cambria Math" w:hAnsi="Cambria Math"/>
              </w:rPr>
              <m:t>r</m:t>
            </m:r>
            <m:ctrlPr>
              <w:rPr>
                <w:rFonts w:ascii="Cambria Math" w:hAnsi="Cambria Math"/>
              </w:rPr>
            </m:ctrlPr>
          </m:sub>
        </m:sSub>
        <m:r>
          <m:rPr>
            <m:sty m:val="p"/>
          </m:rPr>
          <w:rPr>
            <w:rFonts w:ascii="Cambria Math" w:hAnsi="Cambria Math"/>
          </w:rPr>
          <m:t>)z+</m:t>
        </m:r>
        <m:f>
          <m:fPr>
            <m:ctrlPr>
              <w:rPr>
                <w:rFonts w:ascii="Cambria Math" w:hAnsi="Cambria Math"/>
              </w:rPr>
            </m:ctrlPr>
          </m:fPr>
          <m:num>
            <m:sSub>
              <m:sSubPr>
                <m:ctrlPr>
                  <w:rPr>
                    <w:rFonts w:ascii="Cambria Math" w:hAnsi="Cambria Math"/>
                  </w:rPr>
                </m:ctrlPr>
              </m:sSubPr>
              <m:e>
                <m:r>
                  <m:rPr>
                    <m:sty m:val="p"/>
                  </m:rPr>
                  <w:rPr>
                    <w:rFonts w:ascii="Cambria Math" w:hAnsi="Cambria Math"/>
                  </w:rPr>
                  <m:t>f</m:t>
                </m:r>
                <m:ctrlPr>
                  <w:rPr>
                    <w:rFonts w:ascii="Cambria Math" w:hAnsi="Cambria Math"/>
                  </w:rPr>
                </m:ctrlPr>
              </m:e>
              <m:sub>
                <m:r>
                  <m:rPr>
                    <m:sty m:val="p"/>
                  </m:rPr>
                  <w:rPr>
                    <w:rFonts w:ascii="Cambria Math" w:hAnsi="Cambria Math"/>
                  </w:rPr>
                  <m:t>r</m:t>
                </m:r>
                <m:ctrlPr>
                  <w:rPr>
                    <w:rFonts w:ascii="Cambria Math" w:hAnsi="Cambria Math"/>
                  </w:rPr>
                </m:ctrlPr>
              </m:sub>
            </m:sSub>
            <m:r>
              <m:rPr>
                <m:sty m:val="p"/>
              </m:rPr>
              <w:rPr>
                <w:rFonts w:ascii="Cambria Math" w:hAnsi="Cambria Math"/>
              </w:rPr>
              <m:t>+m</m:t>
            </m:r>
            <m:ctrlPr>
              <w:rPr>
                <w:rFonts w:ascii="Cambria Math" w:hAnsi="Cambria Math"/>
              </w:rPr>
            </m:ctrlPr>
          </m:num>
          <m:den>
            <m:r>
              <m:rPr>
                <m:sty m:val="p"/>
              </m:rPr>
              <w:rPr>
                <w:rFonts w:ascii="Cambria Math" w:hAnsi="Cambria Math"/>
              </w:rPr>
              <m:t>2</m:t>
            </m:r>
            <m:ctrlPr>
              <w:rPr>
                <w:rFonts w:ascii="Cambria Math" w:hAnsi="Cambria Math"/>
              </w:rPr>
            </m:ctrlPr>
          </m:den>
        </m:f>
      </m:oMath>
      <w:r>
        <w:rPr>
          <w:sz w:val="21"/>
        </w:rPr>
        <w:t xml:space="preserve">    （4-9）</w:t>
      </w:r>
    </w:p>
    <w:p w14:paraId="567300AE">
      <w:r>
        <w:t>本文题目沿用“超椭球体RRT”的开题命名，但当前实现采用的是上述二次型椭球：二维为椭圆，三维为椭球，并未实现任意幂指数的超二次曲面。两侧域的差异来自焦点、方向和侧代价；当前反馈参数在两侧共享，不存在两套独立的反馈控制器。这些限定有助于使算法名称与实际数学模型对应。</w:t>
      </w:r>
    </w:p>
    <w:p w14:paraId="14EDFAFD">
      <w:pPr>
        <w:pStyle w:val="4"/>
        <w:spacing w:before="240" w:after="240"/>
      </w:pPr>
      <w:bookmarkStart w:id="60" w:name="_Toc243339240"/>
      <w:r>
        <w:t>4.3.3 知情、跨树偏置与全局混合采样</w:t>
      </w:r>
      <w:bookmarkEnd w:id="60"/>
    </w:p>
    <w:p w14:paraId="08C28558">
      <w:r>
        <w:t>算法首先按概率p尝试从当前侧的椭球域采样。若未进入该分支，则以剩余概率中的β选择跨树候选偏置，其他情况采用全局均匀采样。在椭球分支可用且采样成功的条件下，混合分布可写为：</w:t>
      </w:r>
    </w:p>
    <w:p w14:paraId="298234BF">
      <w:pPr>
        <w:spacing w:before="120" w:after="120" w:line="300" w:lineRule="auto"/>
        <w:ind w:firstLine="0"/>
        <w:jc w:val="center"/>
      </w:pPr>
      <m:oMath>
        <m:r>
          <m:rPr>
            <m:sty m:val="p"/>
          </m:rPr>
          <w:rPr>
            <w:rFonts w:ascii="Cambria Math" w:hAnsi="Cambria Math"/>
          </w:rPr>
          <m:t>P(x)=p</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E</m:t>
            </m:r>
            <m:ctrlPr>
              <w:rPr>
                <w:rFonts w:ascii="Cambria Math" w:hAnsi="Cambria Math"/>
              </w:rPr>
            </m:ctrlPr>
          </m:sub>
        </m:sSub>
        <m:r>
          <m:rPr>
            <m:sty m:val="p"/>
          </m:rPr>
          <w:rPr>
            <w:rFonts w:ascii="Cambria Math" w:hAnsi="Cambria Math"/>
          </w:rPr>
          <m:t>(x)+(1−p)β</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cross</m:t>
            </m:r>
            <m:ctrlPr>
              <w:rPr>
                <w:rFonts w:ascii="Cambria Math" w:hAnsi="Cambria Math"/>
              </w:rPr>
            </m:ctrlPr>
          </m:sub>
        </m:sSub>
        <m:r>
          <m:rPr>
            <m:sty m:val="p"/>
          </m:rPr>
          <w:rPr>
            <w:rFonts w:ascii="Cambria Math" w:hAnsi="Cambria Math"/>
          </w:rPr>
          <m:t>(x)+(1−p)(1−β)</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uniform</m:t>
            </m:r>
            <m:ctrlPr>
              <w:rPr>
                <w:rFonts w:ascii="Cambria Math" w:hAnsi="Cambria Math"/>
              </w:rPr>
            </m:ctrlPr>
          </m:sub>
        </m:sSub>
        <m:r>
          <m:rPr>
            <m:sty m:val="p"/>
          </m:rPr>
          <w:rPr>
            <w:rFonts w:ascii="Cambria Math" w:hAnsi="Cambria Math"/>
          </w:rPr>
          <m:t>(x)</m:t>
        </m:r>
      </m:oMath>
      <w:r>
        <w:rPr>
          <w:sz w:val="21"/>
        </w:rPr>
        <w:t xml:space="preserve">    （4-10）</w:t>
      </w:r>
    </w:p>
    <w:p w14:paraId="032E4A93">
      <w:r>
        <w:t>当前β=0.15。跨树偏置从另一棵树中选取距离参考点较近的至多96个节点，依据归一化距离和子节点数量构造加权评分，分数较小的节点更容易被选中。同时以0.2概率从候选集合随机选择，并在坐标上加入标准差为0.15η的正态扰动后裁剪到边界内。</w:t>
      </w:r>
    </w:p>
    <w:p w14:paraId="21EF8BF2">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s</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ctrlPr>
              <w:rPr>
                <w:rFonts w:ascii="Cambria Math" w:hAnsi="Cambria Math"/>
              </w:rPr>
            </m:ctrlPr>
          </m:num>
          <m:den>
            <m:r>
              <m:rPr>
                <m:sty m:val="p"/>
              </m:rPr>
              <w:rPr>
                <w:rFonts w:ascii="Cambria Math" w:hAnsi="Cambria Math"/>
              </w:rPr>
              <m:t>ma</m:t>
            </m:r>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j</m:t>
                </m:r>
                <m:ctrlPr>
                  <w:rPr>
                    <w:rFonts w:ascii="Cambria Math" w:hAnsi="Cambria Math"/>
                  </w:rPr>
                </m:ctrlPr>
              </m:sub>
            </m:sSub>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j</m:t>
                </m:r>
                <m:ctrlPr>
                  <w:rPr>
                    <w:rFonts w:ascii="Cambria Math" w:hAnsi="Cambria Math"/>
                  </w:rPr>
                </m:ctrlPr>
              </m:sub>
            </m:sSub>
            <m:ctrlPr>
              <w:rPr>
                <w:rFonts w:ascii="Cambria Math" w:hAnsi="Cambria Math"/>
              </w:rPr>
            </m:ctrlPr>
          </m:den>
        </m:f>
        <m:r>
          <m:rPr>
            <m:sty m:val="p"/>
          </m:rPr>
          <w:rPr>
            <w:rFonts w:ascii="Cambria Math" w:hAnsi="Cambria Math"/>
          </w:rPr>
          <m:t>−0.15</m:t>
        </m:r>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child,i</m:t>
            </m:r>
            <m:ctrlPr>
              <w:rPr>
                <w:rFonts w:ascii="Cambria Math" w:hAnsi="Cambria Math"/>
              </w:rPr>
            </m:ctrlPr>
          </m:sub>
        </m:sSub>
      </m:oMath>
      <w:r>
        <w:rPr>
          <w:sz w:val="21"/>
        </w:rPr>
        <w:t xml:space="preserve">    （4-11）</w:t>
      </w:r>
    </w:p>
    <w:p w14:paraId="7DD892A3">
      <w:r>
        <w:t>源程序函数名保留了pareto字样，但实际选择过程是式（4-11）的标量评分，不是显式求取Pareto非支配前沿。论文据此称为跨树候选偏置，不把它写成独立的多目标优化理论贡献。保留全局采样能够减轻过早局限于局部区域的问题，但仅有非零全局采样概率仍不足以构成对完整组合算法的概率完备性证明。</w:t>
      </w:r>
    </w:p>
    <w:p w14:paraId="787E723E">
      <w:pPr>
        <w:pStyle w:val="3"/>
      </w:pPr>
      <w:bookmarkStart w:id="61" w:name="_Toc243339241"/>
      <w:r>
        <w:t>4.4 基于搜索状态反馈的在线调节</w:t>
      </w:r>
      <w:bookmarkEnd w:id="61"/>
    </w:p>
    <w:p w14:paraId="25F1BE9E">
      <w:pPr>
        <w:pStyle w:val="4"/>
        <w:spacing w:before="240" w:after="240"/>
      </w:pPr>
      <w:bookmarkStart w:id="62" w:name="_Toc243339242"/>
      <w:r>
        <w:t>4.4.1 搜索状态信号构造</w:t>
      </w:r>
      <w:bookmarkEnd w:id="62"/>
    </w:p>
    <w:p w14:paraId="462A843F">
      <w:r>
        <w:t>搜索状态反馈在线调节模块记为SSFOR。它以全局最优已知路径代价作为观测信号，而非使用两棵树各自独立的改善率。每约50次扩展记录一次代价，窗口长度为50次记录。仅在当前已有有限路径代价且累计达到51条记录后开始调节；此前保持γ=4、p=0。窗口中的旧值仍可能为无穷大，此时首次形成有限解按改善率1处理。</w:t>
      </w:r>
    </w:p>
    <w:p w14:paraId="68203E59">
      <w:r>
        <w:t>对于窗口两端均为有限值的情况，设旧代价为c_(k-W)，当前代价为c_k，则相对改善率先截断到[0,1]，再使用指数移动平均降低短时波动。目标改善率设为0.02。</w:t>
      </w:r>
    </w:p>
    <w:p w14:paraId="3804D7E4">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r</m:t>
            </m:r>
            <m:ctrlPr>
              <w:rPr>
                <w:rFonts w:ascii="Cambria Math" w:hAnsi="Cambria Math"/>
              </w:rPr>
            </m:ctrlPr>
          </m:e>
          <m:sub>
            <m:r>
              <m:rPr>
                <m:sty m:val="p"/>
              </m:rPr>
              <w:rPr>
                <w:rFonts w:ascii="Cambria Math" w:hAnsi="Cambria Math"/>
              </w:rPr>
              <m:t>k</m:t>
            </m:r>
            <m:ctrlPr>
              <w:rPr>
                <w:rFonts w:ascii="Cambria Math" w:hAnsi="Cambria Math"/>
              </w:rPr>
            </m:ctrlPr>
          </m:sub>
        </m:sSub>
        <m:r>
          <m:rPr>
            <m:sty m:val="p"/>
          </m:rPr>
          <w:rPr>
            <w:rFonts w:ascii="Cambria Math" w:hAnsi="Cambria Math"/>
          </w:rPr>
          <m:t>=clip(</m:t>
        </m:r>
        <m:f>
          <m:fPr>
            <m:ctrlPr>
              <w:rPr>
                <w:rFonts w:ascii="Cambria Math" w:hAnsi="Cambria Math"/>
              </w:rPr>
            </m:ctrlPr>
          </m:fPr>
          <m:num>
            <m:sSub>
              <m:sSubPr>
                <m:ctrlPr>
                  <w:rPr>
                    <w:rFonts w:ascii="Cambria Math" w:hAnsi="Cambria Math"/>
                  </w:rPr>
                </m:ctrlPr>
              </m:sSubPr>
              <m:e>
                <m:r>
                  <m:rPr>
                    <m:sty m:val="p"/>
                  </m:rPr>
                  <w:rPr>
                    <w:rFonts w:ascii="Cambria Math" w:hAnsi="Cambria Math"/>
                  </w:rPr>
                  <m:t>c</m:t>
                </m:r>
                <m:ctrlPr>
                  <w:rPr>
                    <w:rFonts w:ascii="Cambria Math" w:hAnsi="Cambria Math"/>
                  </w:rPr>
                </m:ctrlPr>
              </m:e>
              <m:sub>
                <m:r>
                  <m:rPr>
                    <m:sty m:val="p"/>
                  </m:rPr>
                  <w:rPr>
                    <w:rFonts w:ascii="Cambria Math" w:hAnsi="Cambria Math"/>
                  </w:rPr>
                  <m:t>k−W</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m:t>
                </m:r>
                <m:ctrlPr>
                  <w:rPr>
                    <w:rFonts w:ascii="Cambria Math" w:hAnsi="Cambria Math"/>
                  </w:rPr>
                </m:ctrlPr>
              </m:e>
              <m:sub>
                <m:r>
                  <m:rPr>
                    <m:sty m:val="p"/>
                  </m:rPr>
                  <w:rPr>
                    <w:rFonts w:ascii="Cambria Math" w:hAnsi="Cambria Math"/>
                  </w:rPr>
                  <m:t>k</m:t>
                </m:r>
                <m:ctrlPr>
                  <w:rPr>
                    <w:rFonts w:ascii="Cambria Math" w:hAnsi="Cambria Math"/>
                  </w:rPr>
                </m:ctrlPr>
              </m:sub>
            </m:sSub>
            <m:ctrlPr>
              <w:rPr>
                <w:rFonts w:ascii="Cambria Math" w:hAnsi="Cambria Math"/>
              </w:rPr>
            </m:ctrlPr>
          </m:num>
          <m:den>
            <m:r>
              <m:rPr>
                <m:sty m:val="p"/>
              </m:rPr>
              <w:rPr>
                <w:rFonts w:ascii="Cambria Math" w:hAnsi="Cambria Math"/>
              </w:rPr>
              <m:t>max(</m:t>
            </m:r>
            <m:sSub>
              <m:sSubPr>
                <m:ctrlPr>
                  <w:rPr>
                    <w:rFonts w:ascii="Cambria Math" w:hAnsi="Cambria Math"/>
                  </w:rPr>
                </m:ctrlPr>
              </m:sSubPr>
              <m:e>
                <m:r>
                  <m:rPr>
                    <m:sty m:val="p"/>
                  </m:rPr>
                  <w:rPr>
                    <w:rFonts w:ascii="Cambria Math" w:hAnsi="Cambria Math"/>
                  </w:rPr>
                  <m:t>c</m:t>
                </m:r>
                <m:ctrlPr>
                  <w:rPr>
                    <w:rFonts w:ascii="Cambria Math" w:hAnsi="Cambria Math"/>
                  </w:rPr>
                </m:ctrlPr>
              </m:e>
              <m:sub>
                <m:r>
                  <m:rPr>
                    <m:sty m:val="p"/>
                  </m:rPr>
                  <w:rPr>
                    <w:rFonts w:ascii="Cambria Math" w:hAnsi="Cambria Math"/>
                  </w:rPr>
                  <m:t>k−W</m:t>
                </m:r>
                <m:ctrlPr>
                  <w:rPr>
                    <w:rFonts w:ascii="Cambria Math" w:hAnsi="Cambria Math"/>
                  </w:rPr>
                </m:ctrlPr>
              </m:sub>
            </m:sSub>
            <m:r>
              <m:rPr>
                <m:sty m:val="p"/>
              </m:rPr>
              <w:rPr>
                <w:rFonts w:ascii="Cambria Math" w:hAnsi="Cambria Math"/>
              </w:rPr>
              <m:t>,ε)</m:t>
            </m:r>
            <m:ctrlPr>
              <w:rPr>
                <w:rFonts w:ascii="Cambria Math" w:hAnsi="Cambria Math"/>
              </w:rPr>
            </m:ctrlPr>
          </m:den>
        </m:f>
        <m:r>
          <m:rPr>
            <m:sty m:val="p"/>
          </m:rPr>
          <w:rPr>
            <w:rFonts w:ascii="Cambria Math" w:hAnsi="Cambria Math"/>
          </w:rPr>
          <m:t xml:space="preserve">,0,1),    </m:t>
        </m:r>
        <m:sSub>
          <m:sSubPr>
            <m:ctrlPr>
              <w:rPr>
                <w:rFonts w:ascii="Cambria Math" w:hAnsi="Cambria Math"/>
              </w:rPr>
            </m:ctrlPr>
          </m:sSubPr>
          <m:e>
            <m:r>
              <m:rPr>
                <m:sty m:val="p"/>
              </m:rPr>
              <w:rPr>
                <w:rFonts w:ascii="Cambria Math" w:hAnsi="Cambria Math"/>
              </w:rPr>
              <m:t>y</m:t>
            </m:r>
            <m:ctrlPr>
              <w:rPr>
                <w:rFonts w:ascii="Cambria Math" w:hAnsi="Cambria Math"/>
              </w:rPr>
            </m:ctrlPr>
          </m:e>
          <m:sub>
            <m:r>
              <m:rPr>
                <m:sty m:val="p"/>
              </m:rPr>
              <w:rPr>
                <w:rFonts w:ascii="Cambria Math" w:hAnsi="Cambria Math"/>
              </w:rPr>
              <m:t>k</m:t>
            </m:r>
            <m:ctrlPr>
              <w:rPr>
                <w:rFonts w:ascii="Cambria Math" w:hAnsi="Cambria Math"/>
              </w:rPr>
            </m:ctrlPr>
          </m:sub>
        </m:sSub>
        <m:r>
          <m:rPr>
            <m:sty m:val="p"/>
          </m:rPr>
          <w:rPr>
            <w:rFonts w:ascii="Cambria Math" w:hAnsi="Cambria Math"/>
          </w:rPr>
          <m:t>=0.9</m:t>
        </m:r>
        <m:sSub>
          <m:sSubPr>
            <m:ctrlPr>
              <w:rPr>
                <w:rFonts w:ascii="Cambria Math" w:hAnsi="Cambria Math"/>
              </w:rPr>
            </m:ctrlPr>
          </m:sSubPr>
          <m:e>
            <m:r>
              <m:rPr>
                <m:sty m:val="p"/>
              </m:rPr>
              <w:rPr>
                <w:rFonts w:ascii="Cambria Math" w:hAnsi="Cambria Math"/>
              </w:rPr>
              <m:t>y</m:t>
            </m:r>
            <m:ctrlPr>
              <w:rPr>
                <w:rFonts w:ascii="Cambria Math" w:hAnsi="Cambria Math"/>
              </w:rPr>
            </m:ctrlPr>
          </m:e>
          <m:sub>
            <m:r>
              <m:rPr>
                <m:sty m:val="p"/>
              </m:rPr>
              <w:rPr>
                <w:rFonts w:ascii="Cambria Math" w:hAnsi="Cambria Math"/>
              </w:rPr>
              <m:t>k−1</m:t>
            </m:r>
            <m:ctrlPr>
              <w:rPr>
                <w:rFonts w:ascii="Cambria Math" w:hAnsi="Cambria Math"/>
              </w:rPr>
            </m:ctrlPr>
          </m:sub>
        </m:sSub>
        <m:r>
          <m:rPr>
            <m:sty m:val="p"/>
          </m:rPr>
          <w:rPr>
            <w:rFonts w:ascii="Cambria Math" w:hAnsi="Cambria Math"/>
          </w:rPr>
          <m:t>+0.1</m:t>
        </m:r>
        <m:sSub>
          <m:sSubPr>
            <m:ctrlPr>
              <w:rPr>
                <w:rFonts w:ascii="Cambria Math" w:hAnsi="Cambria Math"/>
              </w:rPr>
            </m:ctrlPr>
          </m:sSubPr>
          <m:e>
            <m:r>
              <m:rPr>
                <m:sty m:val="p"/>
              </m:rPr>
              <w:rPr>
                <w:rFonts w:ascii="Cambria Math" w:hAnsi="Cambria Math"/>
              </w:rPr>
              <m:t>r</m:t>
            </m:r>
            <m:ctrlPr>
              <w:rPr>
                <w:rFonts w:ascii="Cambria Math" w:hAnsi="Cambria Math"/>
              </w:rPr>
            </m:ctrlPr>
          </m:e>
          <m:sub>
            <m:r>
              <m:rPr>
                <m:sty m:val="p"/>
              </m:rPr>
              <w:rPr>
                <w:rFonts w:ascii="Cambria Math" w:hAnsi="Cambria Math"/>
              </w:rPr>
              <m:t>k</m:t>
            </m:r>
            <m:ctrlPr>
              <w:rPr>
                <w:rFonts w:ascii="Cambria Math" w:hAnsi="Cambria Math"/>
              </w:rPr>
            </m:ctrlPr>
          </m:sub>
        </m:sSub>
      </m:oMath>
      <w:r>
        <w:rPr>
          <w:sz w:val="21"/>
        </w:rPr>
        <w:t xml:space="preserve">    （4-12）</w:t>
      </w:r>
    </w:p>
    <w:p w14:paraId="2CDB0D76">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k</m:t>
            </m:r>
            <m:ctrlPr>
              <w:rPr>
                <w:rFonts w:ascii="Cambria Math" w:hAnsi="Cambria Math"/>
              </w:rPr>
            </m:ctrlPr>
          </m:sub>
        </m:sSub>
        <m:r>
          <m:rPr>
            <m:sty m:val="p"/>
          </m:rPr>
          <w:rPr>
            <w:rFonts w:ascii="Cambria Math" w:hAnsi="Cambria Math"/>
          </w:rPr>
          <m:t>=0.02−</m:t>
        </m:r>
        <m:sSub>
          <m:sSubPr>
            <m:ctrlPr>
              <w:rPr>
                <w:rFonts w:ascii="Cambria Math" w:hAnsi="Cambria Math"/>
              </w:rPr>
            </m:ctrlPr>
          </m:sSubPr>
          <m:e>
            <m:r>
              <m:rPr>
                <m:sty m:val="p"/>
              </m:rPr>
              <w:rPr>
                <w:rFonts w:ascii="Cambria Math" w:hAnsi="Cambria Math"/>
              </w:rPr>
              <m:t>y</m:t>
            </m:r>
            <m:ctrlPr>
              <w:rPr>
                <w:rFonts w:ascii="Cambria Math" w:hAnsi="Cambria Math"/>
              </w:rPr>
            </m:ctrlPr>
          </m:e>
          <m:sub>
            <m:r>
              <m:rPr>
                <m:sty m:val="p"/>
              </m:rPr>
              <w:rPr>
                <w:rFonts w:ascii="Cambria Math" w:hAnsi="Cambria Math"/>
              </w:rPr>
              <m:t>k</m:t>
            </m:r>
            <m:ctrlPr>
              <w:rPr>
                <w:rFonts w:ascii="Cambria Math" w:hAnsi="Cambria Math"/>
              </w:rPr>
            </m:ctrlPr>
          </m:sub>
        </m:sSub>
      </m:oMath>
      <w:r>
        <w:rPr>
          <w:sz w:val="21"/>
        </w:rPr>
        <w:t xml:space="preserve">    （4-13）</w:t>
      </w:r>
    </w:p>
    <w:p w14:paraId="6AA03438">
      <w:r>
        <w:t>当改善不足时，e_k增大，调节倾向于扩大采样域、降低知情采样比例；当改善较充分时，调节倾向于加强受限采样。这是针对搜索状态的启发式反馈，不是机械臂关节伺服PID，也不意味着存在已证明的控制稳定性或最优参数。</w:t>
      </w:r>
    </w:p>
    <w:p w14:paraId="1F0025B5">
      <w:pPr>
        <w:pStyle w:val="4"/>
        <w:spacing w:before="240" w:after="240"/>
      </w:pPr>
      <w:bookmarkStart w:id="63" w:name="_Toc243339243"/>
      <w:r>
        <w:t>4.4.2 采样参数调节与实现</w:t>
      </w:r>
      <w:bookmarkEnd w:id="63"/>
    </w:p>
    <w:p w14:paraId="63B350AA">
      <w:r>
        <w:t>积分项采用限幅累计，微分项对相邻误差差值进行低通处理。控制输出由比例、积分和微分三部分组成，映射到椭球膨胀系数与知情采样概率。</w:t>
      </w:r>
    </w:p>
    <w:p w14:paraId="712A87A2">
      <w:pPr>
        <w:spacing w:before="120" w:after="120" w:line="300" w:lineRule="auto"/>
        <w:ind w:firstLine="0"/>
        <w:jc w:val="center"/>
      </w:pPr>
      <m:oMath>
        <m:sSubSup>
          <m:sSubSupPr>
            <m:ctrlPr>
              <w:rPr>
                <w:rFonts w:ascii="Cambria Math" w:hAnsi="Cambria Math"/>
              </w:rPr>
            </m:ctrlPr>
          </m:sSubSupPr>
          <m:e>
            <m:r>
              <m:rPr>
                <m:sty m:val="p"/>
              </m:rPr>
              <w:rPr>
                <w:rFonts w:ascii="Cambria Math" w:hAnsi="Cambria Math"/>
              </w:rPr>
              <m:t>I</m:t>
            </m:r>
            <m:ctrlPr>
              <w:rPr>
                <w:rFonts w:ascii="Cambria Math" w:hAnsi="Cambria Math"/>
              </w:rPr>
            </m:ctrlPr>
          </m:e>
          <m:sub>
            <m:r>
              <m:rPr>
                <m:sty m:val="p"/>
              </m:rPr>
              <w:rPr>
                <w:rFonts w:ascii="Cambria Math" w:hAnsi="Cambria Math"/>
              </w:rPr>
              <m:t>k</m:t>
            </m:r>
            <m:ctrlPr>
              <w:rPr>
                <w:rFonts w:ascii="Cambria Math" w:hAnsi="Cambria Math"/>
              </w:rPr>
            </m:ctrlPr>
          </m:sub>
          <m:sup>
            <m:r>
              <m:rPr>
                <m:sty m:val="p"/>
              </m:rPr>
              <w:rPr>
                <w:rFonts w:ascii="Cambria Math" w:hAnsi="Cambria Math"/>
              </w:rPr>
              <m:t>cand</m:t>
            </m:r>
            <m:ctrlPr>
              <w:rPr>
                <w:rFonts w:ascii="Cambria Math" w:hAnsi="Cambria Math"/>
              </w:rPr>
            </m:ctrlPr>
          </m:sup>
        </m:sSubSup>
        <m:r>
          <m:rPr>
            <m:sty m:val="p"/>
          </m:rPr>
          <w:rPr>
            <w:rFonts w:ascii="Cambria Math" w:hAnsi="Cambria Math"/>
          </w:rPr>
          <m:t>=clip(</m:t>
        </m:r>
        <m:sSub>
          <m:sSubPr>
            <m:ctrlPr>
              <w:rPr>
                <w:rFonts w:ascii="Cambria Math" w:hAnsi="Cambria Math"/>
              </w:rPr>
            </m:ctrlPr>
          </m:sSubPr>
          <m:e>
            <m:r>
              <m:rPr>
                <m:sty m:val="p"/>
              </m:rPr>
              <w:rPr>
                <w:rFonts w:ascii="Cambria Math" w:hAnsi="Cambria Math"/>
              </w:rPr>
              <m:t>I</m:t>
            </m:r>
            <m:ctrlPr>
              <w:rPr>
                <w:rFonts w:ascii="Cambria Math" w:hAnsi="Cambria Math"/>
              </w:rPr>
            </m:ctrlPr>
          </m:e>
          <m:sub>
            <m:r>
              <m:rPr>
                <m:sty m:val="p"/>
              </m:rPr>
              <w:rPr>
                <w:rFonts w:ascii="Cambria Math" w:hAnsi="Cambria Math"/>
              </w:rPr>
              <m:t>k−1</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k</m:t>
            </m:r>
            <m:ctrlPr>
              <w:rPr>
                <w:rFonts w:ascii="Cambria Math" w:hAnsi="Cambria Math"/>
              </w:rPr>
            </m:ctrlPr>
          </m:sub>
        </m:sSub>
        <m:r>
          <m:rPr>
            <m:sty m:val="p"/>
          </m:rPr>
          <w:rPr>
            <w:rFonts w:ascii="Cambria Math" w:hAnsi="Cambria Math"/>
          </w:rPr>
          <m:t xml:space="preserve">,−3,3),    </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k</m:t>
            </m:r>
            <m:ctrlPr>
              <w:rPr>
                <w:rFonts w:ascii="Cambria Math" w:hAnsi="Cambria Math"/>
              </w:rPr>
            </m:ctrlPr>
          </m:sub>
        </m:sSub>
        <m:r>
          <m:rPr>
            <m:sty m:val="p"/>
          </m:rPr>
          <w:rPr>
            <w:rFonts w:ascii="Cambria Math" w:hAnsi="Cambria Math"/>
          </w:rPr>
          <m:t>=0.8</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k−1</m:t>
            </m:r>
            <m:ctrlPr>
              <w:rPr>
                <w:rFonts w:ascii="Cambria Math" w:hAnsi="Cambria Math"/>
              </w:rPr>
            </m:ctrlPr>
          </m:sub>
        </m:sSub>
        <m:r>
          <m:rPr>
            <m:sty m:val="p"/>
          </m:rPr>
          <w:rPr>
            <w:rFonts w:ascii="Cambria Math" w:hAnsi="Cambria Math"/>
          </w:rPr>
          <m:t>+0.2(</m:t>
        </m:r>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k</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k−1</m:t>
            </m:r>
            <m:ctrlPr>
              <w:rPr>
                <w:rFonts w:ascii="Cambria Math" w:hAnsi="Cambria Math"/>
              </w:rPr>
            </m:ctrlPr>
          </m:sub>
        </m:sSub>
        <m:r>
          <m:rPr>
            <m:sty m:val="p"/>
          </m:rPr>
          <w:rPr>
            <w:rFonts w:ascii="Cambria Math" w:hAnsi="Cambria Math"/>
          </w:rPr>
          <m:t>)</m:t>
        </m:r>
      </m:oMath>
      <w:r>
        <w:rPr>
          <w:sz w:val="21"/>
        </w:rPr>
        <w:t xml:space="preserve">    （4-14）</w:t>
      </w:r>
    </w:p>
    <w:p w14:paraId="07A2580D">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u</m:t>
            </m:r>
            <m:ctrlPr>
              <w:rPr>
                <w:rFonts w:ascii="Cambria Math" w:hAnsi="Cambria Math"/>
              </w:rPr>
            </m:ctrlPr>
          </m:e>
          <m:sub>
            <m:r>
              <m:rPr>
                <m:sty m:val="p"/>
              </m:rPr>
              <w:rPr>
                <w:rFonts w:ascii="Cambria Math" w:hAnsi="Cambria Math"/>
              </w:rPr>
              <m:t>k</m:t>
            </m:r>
            <m:ctrlPr>
              <w:rPr>
                <w:rFonts w:ascii="Cambria Math" w:hAnsi="Cambria Math"/>
              </w:rPr>
            </m:ctrlPr>
          </m:sub>
        </m:sSub>
        <m:r>
          <m:rPr>
            <m:sty m:val="p"/>
          </m:rPr>
          <w:rPr>
            <w:rFonts w:ascii="Cambria Math" w:hAnsi="Cambria Math"/>
          </w:rPr>
          <m:t>=2</m:t>
        </m:r>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k</m:t>
            </m:r>
            <m:ctrlPr>
              <w:rPr>
                <w:rFonts w:ascii="Cambria Math" w:hAnsi="Cambria Math"/>
              </w:rPr>
            </m:ctrlPr>
          </m:sub>
        </m:sSub>
        <m:r>
          <m:rPr>
            <m:sty m:val="p"/>
          </m:rPr>
          <w:rPr>
            <w:rFonts w:ascii="Cambria Math" w:hAnsi="Cambria Math"/>
          </w:rPr>
          <m:t>+0.2</m:t>
        </m:r>
        <m:sSub>
          <m:sSubPr>
            <m:ctrlPr>
              <w:rPr>
                <w:rFonts w:ascii="Cambria Math" w:hAnsi="Cambria Math"/>
              </w:rPr>
            </m:ctrlPr>
          </m:sSubPr>
          <m:e>
            <m:r>
              <m:rPr>
                <m:sty m:val="p"/>
              </m:rPr>
              <w:rPr>
                <w:rFonts w:ascii="Cambria Math" w:hAnsi="Cambria Math"/>
              </w:rPr>
              <m:t>I</m:t>
            </m:r>
            <m:ctrlPr>
              <w:rPr>
                <w:rFonts w:ascii="Cambria Math" w:hAnsi="Cambria Math"/>
              </w:rPr>
            </m:ctrlPr>
          </m:e>
          <m:sub>
            <m:r>
              <m:rPr>
                <m:sty m:val="p"/>
              </m:rPr>
              <w:rPr>
                <w:rFonts w:ascii="Cambria Math" w:hAnsi="Cambria Math"/>
              </w:rPr>
              <m:t>k</m:t>
            </m:r>
            <m:ctrlPr>
              <w:rPr>
                <w:rFonts w:ascii="Cambria Math" w:hAnsi="Cambria Math"/>
              </w:rPr>
            </m:ctrlPr>
          </m:sub>
        </m:sSub>
        <m:r>
          <m:rPr>
            <m:sty m:val="p"/>
          </m:rPr>
          <w:rPr>
            <w:rFonts w:ascii="Cambria Math" w:hAnsi="Cambria Math"/>
          </w:rPr>
          <m:t>+0.8</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k</m:t>
            </m:r>
            <m:ctrlPr>
              <w:rPr>
                <w:rFonts w:ascii="Cambria Math" w:hAnsi="Cambria Math"/>
              </w:rPr>
            </m:ctrlPr>
          </m:sub>
        </m:sSub>
      </m:oMath>
      <w:r>
        <w:rPr>
          <w:sz w:val="21"/>
        </w:rPr>
        <w:t xml:space="preserve">    （4-15）</w:t>
      </w:r>
    </w:p>
    <w:p w14:paraId="7A18AA7C">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γ</m:t>
            </m:r>
            <m:ctrlPr>
              <w:rPr>
                <w:rFonts w:ascii="Cambria Math" w:hAnsi="Cambria Math"/>
              </w:rPr>
            </m:ctrlPr>
          </m:e>
          <m:sub>
            <m:r>
              <m:rPr>
                <m:sty m:val="p"/>
              </m:rPr>
              <w:rPr>
                <w:rFonts w:ascii="Cambria Math" w:hAnsi="Cambria Math"/>
              </w:rPr>
              <m:t>k</m:t>
            </m:r>
            <m:ctrlPr>
              <w:rPr>
                <w:rFonts w:ascii="Cambria Math" w:hAnsi="Cambria Math"/>
              </w:rPr>
            </m:ctrlPr>
          </m:sub>
        </m:sSub>
        <m:r>
          <m:rPr>
            <m:sty m:val="p"/>
          </m:rPr>
          <w:rPr>
            <w:rFonts w:ascii="Cambria Math" w:hAnsi="Cambria Math"/>
          </w:rPr>
          <m:t>=clip(1.5exp(0.5</m:t>
        </m:r>
        <m:sSub>
          <m:sSubPr>
            <m:ctrlPr>
              <w:rPr>
                <w:rFonts w:ascii="Cambria Math" w:hAnsi="Cambria Math"/>
              </w:rPr>
            </m:ctrlPr>
          </m:sSubPr>
          <m:e>
            <m:r>
              <m:rPr>
                <m:sty m:val="p"/>
              </m:rPr>
              <w:rPr>
                <w:rFonts w:ascii="Cambria Math" w:hAnsi="Cambria Math"/>
              </w:rPr>
              <m:t>u</m:t>
            </m:r>
            <m:ctrlPr>
              <w:rPr>
                <w:rFonts w:ascii="Cambria Math" w:hAnsi="Cambria Math"/>
              </w:rPr>
            </m:ctrlPr>
          </m:e>
          <m:sub>
            <m:r>
              <m:rPr>
                <m:sty m:val="p"/>
              </m:rPr>
              <w:rPr>
                <w:rFonts w:ascii="Cambria Math" w:hAnsi="Cambria Math"/>
              </w:rPr>
              <m:t>k</m:t>
            </m:r>
            <m:ctrlPr>
              <w:rPr>
                <w:rFonts w:ascii="Cambria Math" w:hAnsi="Cambria Math"/>
              </w:rPr>
            </m:ctrlPr>
          </m:sub>
        </m:sSub>
        <m:r>
          <m:rPr>
            <m:sty m:val="p"/>
          </m:rPr>
          <w:rPr>
            <w:rFonts w:ascii="Cambria Math" w:hAnsi="Cambria Math"/>
          </w:rPr>
          <m:t>),1,4)</m:t>
        </m:r>
      </m:oMath>
      <w:r>
        <w:rPr>
          <w:sz w:val="21"/>
        </w:rPr>
        <w:t xml:space="preserve">    （4-16）</w:t>
      </w:r>
    </w:p>
    <w:p w14:paraId="1F5146FE">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k</m:t>
            </m:r>
            <m:ctrlPr>
              <w:rPr>
                <w:rFonts w:ascii="Cambria Math" w:hAnsi="Cambria Math"/>
              </w:rPr>
            </m:ctrlPr>
          </m:sub>
        </m:sSub>
        <m:r>
          <m:rPr>
            <m:sty m:val="p"/>
          </m:rPr>
          <w:rPr>
            <w:rFonts w:ascii="Cambria Math" w:hAnsi="Cambria Math"/>
          </w:rPr>
          <m:t>=clip(0.8−0.5tanh(</m:t>
        </m:r>
        <m:sSub>
          <m:sSubPr>
            <m:ctrlPr>
              <w:rPr>
                <w:rFonts w:ascii="Cambria Math" w:hAnsi="Cambria Math"/>
              </w:rPr>
            </m:ctrlPr>
          </m:sSubPr>
          <m:e>
            <m:r>
              <m:rPr>
                <m:sty m:val="p"/>
              </m:rPr>
              <w:rPr>
                <w:rFonts w:ascii="Cambria Math" w:hAnsi="Cambria Math"/>
              </w:rPr>
              <m:t>u</m:t>
            </m:r>
            <m:ctrlPr>
              <w:rPr>
                <w:rFonts w:ascii="Cambria Math" w:hAnsi="Cambria Math"/>
              </w:rPr>
            </m:ctrlPr>
          </m:e>
          <m:sub>
            <m:r>
              <m:rPr>
                <m:sty m:val="p"/>
              </m:rPr>
              <w:rPr>
                <w:rFonts w:ascii="Cambria Math" w:hAnsi="Cambria Math"/>
              </w:rPr>
              <m:t>k</m:t>
            </m:r>
            <m:ctrlPr>
              <w:rPr>
                <w:rFonts w:ascii="Cambria Math" w:hAnsi="Cambria Math"/>
              </w:rPr>
            </m:ctrlPr>
          </m:sub>
        </m:sSub>
        <m:r>
          <m:rPr>
            <m:sty m:val="p"/>
          </m:rPr>
          <w:rPr>
            <w:rFonts w:ascii="Cambria Math" w:hAnsi="Cambria Math"/>
          </w:rPr>
          <m:t>),0.2,0.95)</m:t>
        </m:r>
      </m:oMath>
      <w:r>
        <w:rPr>
          <w:sz w:val="21"/>
        </w:rPr>
        <w:t xml:space="preserve">    （4-17）</w:t>
      </w:r>
    </w:p>
    <w:p w14:paraId="0C1D4024">
      <w:r>
        <w:t>若候选积分使输出在当前误差方向继续饱和，程序保留上一次积分值并重新计算输出，形成抗积分饱和处理。每次更新将同一组γ_k和p_k赋给两侧采样器。因两侧焦点和侧代价不同，即使共享参数，两侧椭球仍可以具有不同的形状与方向。</w:t>
      </w:r>
    </w:p>
    <w:p w14:paraId="59324B97">
      <w:r>
        <w:t>当前反馈窗口较长，实际首次启动通常位于总预算后半段。已有匹配实验中，二维首次启动扩展数中位数为2561，三维为2570，明显晚于大多数首解出现时刻。因此，本配置下的SSFOR主要作用于后期路径改善，不应将首解速度归因于尚未启动的反馈机制。</w:t>
      </w:r>
    </w:p>
    <w:p w14:paraId="798AC7A1">
      <w:pPr>
        <w:pStyle w:val="3"/>
      </w:pPr>
      <w:bookmarkStart w:id="64" w:name="_Toc243339244"/>
      <w:r>
        <w:t>4.5 仿真实验与结果分析</w:t>
      </w:r>
      <w:bookmarkEnd w:id="64"/>
    </w:p>
    <w:p w14:paraId="5C195B48">
      <w:pPr>
        <w:pStyle w:val="4"/>
        <w:spacing w:before="240" w:after="240"/>
      </w:pPr>
      <w:bookmarkStart w:id="65" w:name="_Toc243339245"/>
      <w:r>
        <w:t>4.5.1 实验环境与公平评价协议</w:t>
      </w:r>
      <w:bookmarkEnd w:id="65"/>
    </w:p>
    <w:p w14:paraId="53CFB34B">
      <w:r>
        <w:t>实验采用静态二维与三维环境。每个维度冻结10张地图，包含4张均匀分布、3张中心聚集和3张带状分布地图，每张地图使用50个独立的规划随机种子。地图随机过程与规划随机过程分开管理。六种主对比实现共形成6000次运行；同一地图内的多次运行用于反映规划随机性，不应视为500张独立环境。</w:t>
      </w:r>
    </w:p>
    <w:p w14:paraId="621E31CA">
      <w:pPr>
        <w:pStyle w:val="79"/>
        <w:keepNext/>
      </w:pPr>
      <w:r>
        <w:t>表4-2 冻结地图与评价配置</w:t>
      </w:r>
    </w:p>
    <w:tbl>
      <w:tblPr>
        <w:tblStyle w:val="28"/>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75" w:type="dxa"/>
          <w:bottom w:w="65" w:type="dxa"/>
          <w:right w:w="75" w:type="dxa"/>
        </w:tblCellMar>
      </w:tblPr>
      <w:tblGrid>
        <w:gridCol w:w="3024"/>
        <w:gridCol w:w="3024"/>
        <w:gridCol w:w="3024"/>
      </w:tblGrid>
      <w:tr w14:paraId="0602FA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tblHeader/>
          <w:jc w:val="center"/>
        </w:trPr>
        <w:tc>
          <w:tcPr>
            <w:tcW w:w="3024" w:type="dxa"/>
            <w:shd w:val="clear" w:color="auto" w:fill="F2F2F2"/>
            <w:vAlign w:val="center"/>
          </w:tcPr>
          <w:p w14:paraId="3B6901A7">
            <w:pPr>
              <w:spacing w:before="40" w:after="40" w:line="276" w:lineRule="auto"/>
              <w:ind w:firstLine="0"/>
              <w:jc w:val="center"/>
            </w:pPr>
            <w:r>
              <w:rPr>
                <w:b/>
                <w:sz w:val="20"/>
              </w:rPr>
              <w:t>项目</w:t>
            </w:r>
          </w:p>
        </w:tc>
        <w:tc>
          <w:tcPr>
            <w:tcW w:w="3024" w:type="dxa"/>
            <w:shd w:val="clear" w:color="auto" w:fill="F2F2F2"/>
            <w:vAlign w:val="center"/>
          </w:tcPr>
          <w:p w14:paraId="46713364">
            <w:pPr>
              <w:spacing w:before="40" w:after="40" w:line="276" w:lineRule="auto"/>
              <w:ind w:firstLine="0"/>
              <w:jc w:val="center"/>
            </w:pPr>
            <w:r>
              <w:rPr>
                <w:b/>
                <w:sz w:val="20"/>
              </w:rPr>
              <w:t>二维</w:t>
            </w:r>
          </w:p>
        </w:tc>
        <w:tc>
          <w:tcPr>
            <w:tcW w:w="3024" w:type="dxa"/>
            <w:shd w:val="clear" w:color="auto" w:fill="F2F2F2"/>
            <w:vAlign w:val="center"/>
          </w:tcPr>
          <w:p w14:paraId="7FCD675B">
            <w:pPr>
              <w:spacing w:before="40" w:after="40" w:line="276" w:lineRule="auto"/>
              <w:ind w:firstLine="0"/>
              <w:jc w:val="center"/>
            </w:pPr>
            <w:r>
              <w:rPr>
                <w:b/>
                <w:sz w:val="20"/>
              </w:rPr>
              <w:t>三维</w:t>
            </w:r>
          </w:p>
        </w:tc>
      </w:tr>
      <w:tr w14:paraId="3A0CF5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3B58B3EB">
            <w:pPr>
              <w:spacing w:before="40" w:after="40" w:line="276" w:lineRule="auto"/>
              <w:ind w:firstLine="0"/>
              <w:jc w:val="center"/>
            </w:pPr>
            <w:r>
              <w:rPr>
                <w:sz w:val="20"/>
              </w:rPr>
              <w:t>边界范围 / mm</w:t>
            </w:r>
          </w:p>
        </w:tc>
        <w:tc>
          <w:tcPr>
            <w:tcW w:w="3024" w:type="dxa"/>
            <w:vAlign w:val="center"/>
          </w:tcPr>
          <w:p w14:paraId="54FB00C2">
            <w:pPr>
              <w:spacing w:before="40" w:after="40" w:line="276" w:lineRule="auto"/>
              <w:ind w:firstLine="0"/>
              <w:jc w:val="center"/>
            </w:pPr>
            <w:r>
              <w:rPr>
                <w:sz w:val="20"/>
              </w:rPr>
              <w:t>[0,1500]²</w:t>
            </w:r>
          </w:p>
        </w:tc>
        <w:tc>
          <w:tcPr>
            <w:tcW w:w="3024" w:type="dxa"/>
            <w:vAlign w:val="center"/>
          </w:tcPr>
          <w:p w14:paraId="3C58E9C5">
            <w:pPr>
              <w:spacing w:before="40" w:after="40" w:line="276" w:lineRule="auto"/>
              <w:ind w:firstLine="0"/>
              <w:jc w:val="center"/>
            </w:pPr>
            <w:r>
              <w:rPr>
                <w:sz w:val="20"/>
              </w:rPr>
              <w:t>[0,1500]³</w:t>
            </w:r>
          </w:p>
        </w:tc>
      </w:tr>
      <w:tr w14:paraId="1BB355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1E32D531">
            <w:pPr>
              <w:spacing w:before="40" w:after="40" w:line="276" w:lineRule="auto"/>
              <w:ind w:firstLine="0"/>
              <w:jc w:val="center"/>
            </w:pPr>
            <w:r>
              <w:rPr>
                <w:sz w:val="20"/>
              </w:rPr>
              <w:t>起点 / mm</w:t>
            </w:r>
          </w:p>
        </w:tc>
        <w:tc>
          <w:tcPr>
            <w:tcW w:w="3024" w:type="dxa"/>
            <w:vAlign w:val="center"/>
          </w:tcPr>
          <w:p w14:paraId="1F297A4A">
            <w:pPr>
              <w:spacing w:before="40" w:after="40" w:line="276" w:lineRule="auto"/>
              <w:ind w:firstLine="0"/>
              <w:jc w:val="center"/>
            </w:pPr>
            <w:r>
              <w:rPr>
                <w:sz w:val="20"/>
              </w:rPr>
              <w:t>(75,75)</w:t>
            </w:r>
          </w:p>
        </w:tc>
        <w:tc>
          <w:tcPr>
            <w:tcW w:w="3024" w:type="dxa"/>
            <w:vAlign w:val="center"/>
          </w:tcPr>
          <w:p w14:paraId="15453949">
            <w:pPr>
              <w:spacing w:before="40" w:after="40" w:line="276" w:lineRule="auto"/>
              <w:ind w:firstLine="0"/>
              <w:jc w:val="center"/>
            </w:pPr>
            <w:r>
              <w:rPr>
                <w:sz w:val="20"/>
              </w:rPr>
              <w:t>(75,75,75)</w:t>
            </w:r>
          </w:p>
        </w:tc>
      </w:tr>
      <w:tr w14:paraId="1BE3A8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49D766E7">
            <w:pPr>
              <w:spacing w:before="40" w:after="40" w:line="276" w:lineRule="auto"/>
              <w:ind w:firstLine="0"/>
              <w:jc w:val="center"/>
            </w:pPr>
            <w:r>
              <w:rPr>
                <w:sz w:val="20"/>
              </w:rPr>
              <w:t>终点 / mm</w:t>
            </w:r>
          </w:p>
        </w:tc>
        <w:tc>
          <w:tcPr>
            <w:tcW w:w="3024" w:type="dxa"/>
            <w:vAlign w:val="center"/>
          </w:tcPr>
          <w:p w14:paraId="679397AA">
            <w:pPr>
              <w:spacing w:before="40" w:after="40" w:line="276" w:lineRule="auto"/>
              <w:ind w:firstLine="0"/>
              <w:jc w:val="center"/>
            </w:pPr>
            <w:r>
              <w:rPr>
                <w:sz w:val="20"/>
              </w:rPr>
              <w:t>(1425,1425)</w:t>
            </w:r>
          </w:p>
        </w:tc>
        <w:tc>
          <w:tcPr>
            <w:tcW w:w="3024" w:type="dxa"/>
            <w:vAlign w:val="center"/>
          </w:tcPr>
          <w:p w14:paraId="242E363E">
            <w:pPr>
              <w:spacing w:before="40" w:after="40" w:line="276" w:lineRule="auto"/>
              <w:ind w:firstLine="0"/>
              <w:jc w:val="center"/>
            </w:pPr>
            <w:r>
              <w:rPr>
                <w:sz w:val="20"/>
              </w:rPr>
              <w:t>(1425,1425,1425)</w:t>
            </w:r>
          </w:p>
        </w:tc>
      </w:tr>
      <w:tr w14:paraId="24121D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07B348DB">
            <w:pPr>
              <w:spacing w:before="40" w:after="40" w:line="276" w:lineRule="auto"/>
              <w:ind w:firstLine="0"/>
              <w:jc w:val="center"/>
            </w:pPr>
            <w:r>
              <w:rPr>
                <w:sz w:val="20"/>
              </w:rPr>
              <w:t>障碍类型与数量</w:t>
            </w:r>
          </w:p>
        </w:tc>
        <w:tc>
          <w:tcPr>
            <w:tcW w:w="3024" w:type="dxa"/>
            <w:vAlign w:val="center"/>
          </w:tcPr>
          <w:p w14:paraId="03FEA146">
            <w:pPr>
              <w:spacing w:before="40" w:after="40" w:line="276" w:lineRule="auto"/>
              <w:ind w:firstLine="0"/>
              <w:jc w:val="center"/>
            </w:pPr>
            <w:r>
              <w:rPr>
                <w:sz w:val="20"/>
              </w:rPr>
              <w:t>225个圆</w:t>
            </w:r>
          </w:p>
        </w:tc>
        <w:tc>
          <w:tcPr>
            <w:tcW w:w="3024" w:type="dxa"/>
            <w:vAlign w:val="center"/>
          </w:tcPr>
          <w:p w14:paraId="5A7DB83F">
            <w:pPr>
              <w:spacing w:before="40" w:after="40" w:line="276" w:lineRule="auto"/>
              <w:ind w:firstLine="0"/>
              <w:jc w:val="center"/>
            </w:pPr>
            <w:r>
              <w:rPr>
                <w:sz w:val="20"/>
              </w:rPr>
              <w:t>400个球</w:t>
            </w:r>
          </w:p>
        </w:tc>
      </w:tr>
      <w:tr w14:paraId="123C65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65F374F1">
            <w:pPr>
              <w:spacing w:before="40" w:after="40" w:line="276" w:lineRule="auto"/>
              <w:ind w:firstLine="0"/>
              <w:jc w:val="center"/>
            </w:pPr>
            <w:r>
              <w:rPr>
                <w:sz w:val="20"/>
              </w:rPr>
              <w:t>障碍半径范围 / mm</w:t>
            </w:r>
          </w:p>
        </w:tc>
        <w:tc>
          <w:tcPr>
            <w:tcW w:w="3024" w:type="dxa"/>
            <w:vAlign w:val="center"/>
          </w:tcPr>
          <w:p w14:paraId="47DA1D1D">
            <w:pPr>
              <w:spacing w:before="40" w:after="40" w:line="276" w:lineRule="auto"/>
              <w:ind w:firstLine="0"/>
              <w:jc w:val="center"/>
            </w:pPr>
            <w:r>
              <w:rPr>
                <w:sz w:val="20"/>
              </w:rPr>
              <w:t>15～35</w:t>
            </w:r>
          </w:p>
        </w:tc>
        <w:tc>
          <w:tcPr>
            <w:tcW w:w="3024" w:type="dxa"/>
            <w:vAlign w:val="center"/>
          </w:tcPr>
          <w:p w14:paraId="159BBA07">
            <w:pPr>
              <w:spacing w:before="40" w:after="40" w:line="276" w:lineRule="auto"/>
              <w:ind w:firstLine="0"/>
              <w:jc w:val="center"/>
            </w:pPr>
            <w:r>
              <w:rPr>
                <w:sz w:val="20"/>
              </w:rPr>
              <w:t>30～75</w:t>
            </w:r>
          </w:p>
        </w:tc>
      </w:tr>
      <w:tr w14:paraId="603238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321D1938">
            <w:pPr>
              <w:spacing w:before="40" w:after="40" w:line="276" w:lineRule="auto"/>
              <w:ind w:firstLine="0"/>
              <w:jc w:val="center"/>
            </w:pPr>
            <w:r>
              <w:rPr>
                <w:sz w:val="20"/>
              </w:rPr>
              <w:t>评价地图数</w:t>
            </w:r>
          </w:p>
        </w:tc>
        <w:tc>
          <w:tcPr>
            <w:tcW w:w="3024" w:type="dxa"/>
            <w:vAlign w:val="center"/>
          </w:tcPr>
          <w:p w14:paraId="215D40D4">
            <w:pPr>
              <w:spacing w:before="40" w:after="40" w:line="276" w:lineRule="auto"/>
              <w:ind w:firstLine="0"/>
              <w:jc w:val="center"/>
            </w:pPr>
            <w:r>
              <w:rPr>
                <w:sz w:val="20"/>
              </w:rPr>
              <w:t>10</w:t>
            </w:r>
          </w:p>
        </w:tc>
        <w:tc>
          <w:tcPr>
            <w:tcW w:w="3024" w:type="dxa"/>
            <w:vAlign w:val="center"/>
          </w:tcPr>
          <w:p w14:paraId="118CC36F">
            <w:pPr>
              <w:spacing w:before="40" w:after="40" w:line="276" w:lineRule="auto"/>
              <w:ind w:firstLine="0"/>
              <w:jc w:val="center"/>
            </w:pPr>
            <w:r>
              <w:rPr>
                <w:sz w:val="20"/>
              </w:rPr>
              <w:t>10</w:t>
            </w:r>
          </w:p>
        </w:tc>
      </w:tr>
      <w:tr w14:paraId="221589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01B0D1D8">
            <w:pPr>
              <w:spacing w:before="40" w:after="40" w:line="276" w:lineRule="auto"/>
              <w:ind w:firstLine="0"/>
              <w:jc w:val="center"/>
            </w:pPr>
            <w:r>
              <w:rPr>
                <w:sz w:val="20"/>
              </w:rPr>
              <w:t>每图规划种子数</w:t>
            </w:r>
          </w:p>
        </w:tc>
        <w:tc>
          <w:tcPr>
            <w:tcW w:w="3024" w:type="dxa"/>
            <w:vAlign w:val="center"/>
          </w:tcPr>
          <w:p w14:paraId="776F03A9">
            <w:pPr>
              <w:spacing w:before="40" w:after="40" w:line="276" w:lineRule="auto"/>
              <w:ind w:firstLine="0"/>
              <w:jc w:val="center"/>
            </w:pPr>
            <w:r>
              <w:rPr>
                <w:sz w:val="20"/>
              </w:rPr>
              <w:t>50</w:t>
            </w:r>
          </w:p>
        </w:tc>
        <w:tc>
          <w:tcPr>
            <w:tcW w:w="3024" w:type="dxa"/>
            <w:vAlign w:val="center"/>
          </w:tcPr>
          <w:p w14:paraId="78EC7370">
            <w:pPr>
              <w:spacing w:before="40" w:after="40" w:line="276" w:lineRule="auto"/>
              <w:ind w:firstLine="0"/>
              <w:jc w:val="center"/>
            </w:pPr>
            <w:r>
              <w:rPr>
                <w:sz w:val="20"/>
              </w:rPr>
              <w:t>50</w:t>
            </w:r>
          </w:p>
        </w:tc>
      </w:tr>
      <w:tr w14:paraId="10D26E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2F357B79">
            <w:pPr>
              <w:spacing w:before="40" w:after="40" w:line="276" w:lineRule="auto"/>
              <w:ind w:firstLine="0"/>
              <w:jc w:val="center"/>
            </w:pPr>
            <w:r>
              <w:rPr>
                <w:sz w:val="20"/>
              </w:rPr>
              <w:t>每方法运行次数</w:t>
            </w:r>
          </w:p>
        </w:tc>
        <w:tc>
          <w:tcPr>
            <w:tcW w:w="3024" w:type="dxa"/>
            <w:vAlign w:val="center"/>
          </w:tcPr>
          <w:p w14:paraId="31CEACD2">
            <w:pPr>
              <w:spacing w:before="40" w:after="40" w:line="276" w:lineRule="auto"/>
              <w:ind w:firstLine="0"/>
              <w:jc w:val="center"/>
            </w:pPr>
            <w:r>
              <w:rPr>
                <w:sz w:val="20"/>
              </w:rPr>
              <w:t>500</w:t>
            </w:r>
          </w:p>
        </w:tc>
        <w:tc>
          <w:tcPr>
            <w:tcW w:w="3024" w:type="dxa"/>
            <w:vAlign w:val="center"/>
          </w:tcPr>
          <w:p w14:paraId="60C8C24A">
            <w:pPr>
              <w:spacing w:before="40" w:after="40" w:line="276" w:lineRule="auto"/>
              <w:ind w:firstLine="0"/>
              <w:jc w:val="center"/>
            </w:pPr>
            <w:r>
              <w:rPr>
                <w:sz w:val="20"/>
              </w:rPr>
              <w:t>500</w:t>
            </w:r>
          </w:p>
        </w:tc>
      </w:tr>
      <w:tr w14:paraId="3AF97A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73D6670E">
            <w:pPr>
              <w:spacing w:before="40" w:after="40" w:line="276" w:lineRule="auto"/>
              <w:ind w:firstLine="0"/>
              <w:jc w:val="center"/>
            </w:pPr>
            <w:r>
              <w:rPr>
                <w:sz w:val="20"/>
              </w:rPr>
              <w:t>最大原子扩展尝试</w:t>
            </w:r>
          </w:p>
        </w:tc>
        <w:tc>
          <w:tcPr>
            <w:tcW w:w="3024" w:type="dxa"/>
            <w:vAlign w:val="center"/>
          </w:tcPr>
          <w:p w14:paraId="033C8A36">
            <w:pPr>
              <w:spacing w:before="40" w:after="40" w:line="276" w:lineRule="auto"/>
              <w:ind w:firstLine="0"/>
              <w:jc w:val="center"/>
            </w:pPr>
            <w:r>
              <w:rPr>
                <w:sz w:val="20"/>
              </w:rPr>
              <w:t>5000</w:t>
            </w:r>
          </w:p>
        </w:tc>
        <w:tc>
          <w:tcPr>
            <w:tcW w:w="3024" w:type="dxa"/>
            <w:vAlign w:val="center"/>
          </w:tcPr>
          <w:p w14:paraId="448EF27D">
            <w:pPr>
              <w:spacing w:before="40" w:after="40" w:line="276" w:lineRule="auto"/>
              <w:ind w:firstLine="0"/>
              <w:jc w:val="center"/>
            </w:pPr>
            <w:r>
              <w:rPr>
                <w:sz w:val="20"/>
              </w:rPr>
              <w:t>5000</w:t>
            </w:r>
          </w:p>
        </w:tc>
      </w:tr>
    </w:tbl>
    <w:p w14:paraId="0FCD4BDA"/>
    <w:p w14:paraId="51E3A3F7">
      <w:r>
        <w:t>所有方法使用一致的空间边界、起终点、障碍、扩展步长与预算，连接内部每次推进单独计数。计时平台材料记录处理器为Intel Core i5-14500HX。该协议统一的是扩展机会，而不是CPU时间或边检查总数；不同方法的邻域查询、重布线和候选检查会造成计算开销差异。主对比不对某一种算法单独增加捷径或平滑处理，以保持原始路径代价的可比性。</w:t>
      </w:r>
    </w:p>
    <w:p w14:paraId="2516164B">
      <w:r>
        <w:t>评价包括成功次数、首解长度、首解时间、首解扩展次数、终值长度和终值运行时间。成功运行的长度与时间以均值±样本标准差表示，失败率另行列出。对消融结果，采用地图与种子层次的重采样分析，报告相对改善幅度及95%置信区间，并参考地图级配对检验。地图之间的差异与同图随机性不能混为一层。</w:t>
      </w:r>
    </w:p>
    <w:p w14:paraId="5B6213BC">
      <w:r>
        <w:t>主对比中的Dynamic-RRT为本地改写实现，其策略和参数不能等同于原作者方法的严格复现。因此，表格明确标注“本地改写”，结论仅针对这里运行的六种实现，不据此宣称全面优于某一文献算法。</w:t>
      </w:r>
    </w:p>
    <w:p w14:paraId="5C9C00FE">
      <w:pPr>
        <w:pStyle w:val="4"/>
        <w:spacing w:before="240" w:after="240"/>
      </w:pPr>
      <w:bookmarkStart w:id="66" w:name="_Toc243339246"/>
      <w:r>
        <w:t>4.5.2 二维与三维环境对比实验</w:t>
      </w:r>
      <w:bookmarkEnd w:id="66"/>
    </w:p>
    <w:p w14:paraId="67DEE71D">
      <w:r>
        <w:t>二维首解与终值结果分别见表4-3和表4-4。SC-RRT在500次运行中全部获得路径，首解平均长度2269.75 mm，平均时间0.0315 s。RRT-Connect首解平均时间0.0189 s，快于SC-RRT；这说明两者在初始连通阶段均受益于双向结构，但SC-RRT额外的局部优化与候选处理需要计算开销。</w:t>
      </w:r>
    </w:p>
    <w:p w14:paraId="6D553161">
      <w:pPr>
        <w:pStyle w:val="79"/>
        <w:keepNext/>
      </w:pPr>
      <w:r>
        <w:t>表4-3 二维首解结果</w:t>
      </w:r>
    </w:p>
    <w:tbl>
      <w:tblPr>
        <w:tblStyle w:val="28"/>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75" w:type="dxa"/>
          <w:bottom w:w="65" w:type="dxa"/>
          <w:right w:w="75" w:type="dxa"/>
        </w:tblCellMar>
      </w:tblPr>
      <w:tblGrid>
        <w:gridCol w:w="2041"/>
        <w:gridCol w:w="2343"/>
        <w:gridCol w:w="2343"/>
        <w:gridCol w:w="2343"/>
      </w:tblGrid>
      <w:tr w14:paraId="623528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tblHeader/>
          <w:jc w:val="center"/>
        </w:trPr>
        <w:tc>
          <w:tcPr>
            <w:tcW w:w="2041" w:type="dxa"/>
            <w:shd w:val="clear" w:color="auto" w:fill="F2F2F2"/>
            <w:vAlign w:val="center"/>
          </w:tcPr>
          <w:p w14:paraId="78543B04">
            <w:pPr>
              <w:keepNext/>
              <w:spacing w:before="40" w:after="40" w:line="276" w:lineRule="auto"/>
              <w:ind w:firstLine="0"/>
              <w:jc w:val="center"/>
            </w:pPr>
            <w:r>
              <w:rPr>
                <w:b/>
                <w:sz w:val="20"/>
              </w:rPr>
              <w:t>算法</w:t>
            </w:r>
          </w:p>
        </w:tc>
        <w:tc>
          <w:tcPr>
            <w:tcW w:w="2343" w:type="dxa"/>
            <w:shd w:val="clear" w:color="auto" w:fill="F2F2F2"/>
            <w:vAlign w:val="center"/>
          </w:tcPr>
          <w:p w14:paraId="5268EE21">
            <w:pPr>
              <w:keepNext/>
              <w:spacing w:before="40" w:after="40" w:line="276" w:lineRule="auto"/>
              <w:ind w:firstLine="0"/>
              <w:jc w:val="center"/>
            </w:pPr>
            <w:r>
              <w:rPr>
                <w:b/>
                <w:sz w:val="20"/>
              </w:rPr>
              <w:t>成功次数</w:t>
            </w:r>
          </w:p>
        </w:tc>
        <w:tc>
          <w:tcPr>
            <w:tcW w:w="2343" w:type="dxa"/>
            <w:shd w:val="clear" w:color="auto" w:fill="F2F2F2"/>
            <w:vAlign w:val="center"/>
          </w:tcPr>
          <w:p w14:paraId="1E845490">
            <w:pPr>
              <w:keepNext/>
              <w:spacing w:before="40" w:after="40" w:line="276" w:lineRule="auto"/>
              <w:ind w:firstLine="0"/>
              <w:jc w:val="center"/>
            </w:pPr>
            <w:r>
              <w:rPr>
                <w:b/>
                <w:sz w:val="20"/>
              </w:rPr>
              <w:t>长度 / mm</w:t>
            </w:r>
          </w:p>
        </w:tc>
        <w:tc>
          <w:tcPr>
            <w:tcW w:w="2343" w:type="dxa"/>
            <w:shd w:val="clear" w:color="auto" w:fill="F2F2F2"/>
            <w:vAlign w:val="center"/>
          </w:tcPr>
          <w:p w14:paraId="55ACD35B">
            <w:pPr>
              <w:keepNext/>
              <w:spacing w:before="40" w:after="40" w:line="276" w:lineRule="auto"/>
              <w:ind w:firstLine="0"/>
              <w:jc w:val="center"/>
            </w:pPr>
            <w:r>
              <w:rPr>
                <w:b/>
                <w:sz w:val="20"/>
              </w:rPr>
              <w:t>时间 / s</w:t>
            </w:r>
          </w:p>
        </w:tc>
      </w:tr>
      <w:tr w14:paraId="5668DE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041" w:type="dxa"/>
            <w:vAlign w:val="center"/>
          </w:tcPr>
          <w:p w14:paraId="2C72776F">
            <w:pPr>
              <w:keepNext/>
              <w:spacing w:before="40" w:after="40" w:line="276" w:lineRule="auto"/>
              <w:ind w:firstLine="0"/>
              <w:jc w:val="center"/>
            </w:pPr>
            <w:r>
              <w:rPr>
                <w:sz w:val="20"/>
              </w:rPr>
              <w:t>RRT</w:t>
            </w:r>
          </w:p>
        </w:tc>
        <w:tc>
          <w:tcPr>
            <w:tcW w:w="2343" w:type="dxa"/>
            <w:vAlign w:val="center"/>
          </w:tcPr>
          <w:p w14:paraId="3E5CAB06">
            <w:pPr>
              <w:keepNext/>
              <w:spacing w:before="40" w:after="40" w:line="276" w:lineRule="auto"/>
              <w:ind w:firstLine="0"/>
              <w:jc w:val="center"/>
            </w:pPr>
            <w:r>
              <w:rPr>
                <w:sz w:val="20"/>
              </w:rPr>
              <w:t>500/500</w:t>
            </w:r>
          </w:p>
        </w:tc>
        <w:tc>
          <w:tcPr>
            <w:tcW w:w="2343" w:type="dxa"/>
            <w:vAlign w:val="center"/>
          </w:tcPr>
          <w:p w14:paraId="0419ECE2">
            <w:pPr>
              <w:keepNext/>
              <w:spacing w:before="40" w:after="40" w:line="276" w:lineRule="auto"/>
              <w:ind w:firstLine="0"/>
              <w:jc w:val="center"/>
            </w:pPr>
            <w:r>
              <w:rPr>
                <w:sz w:val="20"/>
              </w:rPr>
              <w:t>2533.27 ± 183.98</w:t>
            </w:r>
          </w:p>
        </w:tc>
        <w:tc>
          <w:tcPr>
            <w:tcW w:w="2343" w:type="dxa"/>
            <w:vAlign w:val="center"/>
          </w:tcPr>
          <w:p w14:paraId="71A15C8F">
            <w:pPr>
              <w:keepNext/>
              <w:spacing w:before="40" w:after="40" w:line="276" w:lineRule="auto"/>
              <w:ind w:firstLine="0"/>
              <w:jc w:val="center"/>
            </w:pPr>
            <w:r>
              <w:rPr>
                <w:sz w:val="20"/>
              </w:rPr>
              <w:t>0.0405 ± 0.0189</w:t>
            </w:r>
          </w:p>
        </w:tc>
      </w:tr>
      <w:tr w14:paraId="46F7A9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041" w:type="dxa"/>
            <w:vAlign w:val="center"/>
          </w:tcPr>
          <w:p w14:paraId="102F745D">
            <w:pPr>
              <w:keepNext/>
              <w:spacing w:before="40" w:after="40" w:line="276" w:lineRule="auto"/>
              <w:ind w:firstLine="0"/>
              <w:jc w:val="center"/>
            </w:pPr>
            <w:r>
              <w:rPr>
                <w:sz w:val="20"/>
              </w:rPr>
              <w:t>RRT-Connect</w:t>
            </w:r>
          </w:p>
        </w:tc>
        <w:tc>
          <w:tcPr>
            <w:tcW w:w="2343" w:type="dxa"/>
            <w:vAlign w:val="center"/>
          </w:tcPr>
          <w:p w14:paraId="078FC7CA">
            <w:pPr>
              <w:keepNext/>
              <w:spacing w:before="40" w:after="40" w:line="276" w:lineRule="auto"/>
              <w:ind w:firstLine="0"/>
              <w:jc w:val="center"/>
            </w:pPr>
            <w:r>
              <w:rPr>
                <w:sz w:val="20"/>
              </w:rPr>
              <w:t>500/500</w:t>
            </w:r>
          </w:p>
        </w:tc>
        <w:tc>
          <w:tcPr>
            <w:tcW w:w="2343" w:type="dxa"/>
            <w:vAlign w:val="center"/>
          </w:tcPr>
          <w:p w14:paraId="31F0461C">
            <w:pPr>
              <w:keepNext/>
              <w:spacing w:before="40" w:after="40" w:line="276" w:lineRule="auto"/>
              <w:ind w:firstLine="0"/>
              <w:jc w:val="center"/>
            </w:pPr>
            <w:r>
              <w:rPr>
                <w:sz w:val="20"/>
              </w:rPr>
              <w:t>2370.48 ± 236.88</w:t>
            </w:r>
          </w:p>
        </w:tc>
        <w:tc>
          <w:tcPr>
            <w:tcW w:w="2343" w:type="dxa"/>
            <w:vAlign w:val="center"/>
          </w:tcPr>
          <w:p w14:paraId="69BE5CB6">
            <w:pPr>
              <w:keepNext/>
              <w:spacing w:before="40" w:after="40" w:line="276" w:lineRule="auto"/>
              <w:ind w:firstLine="0"/>
              <w:jc w:val="center"/>
            </w:pPr>
            <w:r>
              <w:rPr>
                <w:sz w:val="20"/>
              </w:rPr>
              <w:t>0.0189 ± 0.0141</w:t>
            </w:r>
          </w:p>
        </w:tc>
      </w:tr>
      <w:tr w14:paraId="0D6CE6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041" w:type="dxa"/>
            <w:vAlign w:val="center"/>
          </w:tcPr>
          <w:p w14:paraId="2627D4FB">
            <w:pPr>
              <w:keepNext/>
              <w:spacing w:before="40" w:after="40" w:line="276" w:lineRule="auto"/>
              <w:ind w:firstLine="0"/>
              <w:jc w:val="center"/>
            </w:pPr>
            <w:r>
              <w:rPr>
                <w:sz w:val="20"/>
              </w:rPr>
              <w:t>RRT*</w:t>
            </w:r>
          </w:p>
        </w:tc>
        <w:tc>
          <w:tcPr>
            <w:tcW w:w="2343" w:type="dxa"/>
            <w:vAlign w:val="center"/>
          </w:tcPr>
          <w:p w14:paraId="61227660">
            <w:pPr>
              <w:keepNext/>
              <w:spacing w:before="40" w:after="40" w:line="276" w:lineRule="auto"/>
              <w:ind w:firstLine="0"/>
              <w:jc w:val="center"/>
            </w:pPr>
            <w:r>
              <w:rPr>
                <w:sz w:val="20"/>
              </w:rPr>
              <w:t>500/500</w:t>
            </w:r>
          </w:p>
        </w:tc>
        <w:tc>
          <w:tcPr>
            <w:tcW w:w="2343" w:type="dxa"/>
            <w:vAlign w:val="center"/>
          </w:tcPr>
          <w:p w14:paraId="02242EE0">
            <w:pPr>
              <w:keepNext/>
              <w:spacing w:before="40" w:after="40" w:line="276" w:lineRule="auto"/>
              <w:ind w:firstLine="0"/>
              <w:jc w:val="center"/>
            </w:pPr>
            <w:r>
              <w:rPr>
                <w:sz w:val="20"/>
              </w:rPr>
              <w:t>2114.49 ± 109.82</w:t>
            </w:r>
          </w:p>
        </w:tc>
        <w:tc>
          <w:tcPr>
            <w:tcW w:w="2343" w:type="dxa"/>
            <w:vAlign w:val="center"/>
          </w:tcPr>
          <w:p w14:paraId="4126ED5D">
            <w:pPr>
              <w:keepNext/>
              <w:spacing w:before="40" w:after="40" w:line="276" w:lineRule="auto"/>
              <w:ind w:firstLine="0"/>
              <w:jc w:val="center"/>
            </w:pPr>
            <w:r>
              <w:rPr>
                <w:sz w:val="20"/>
              </w:rPr>
              <w:t>0.1272 ± 0.0847</w:t>
            </w:r>
          </w:p>
        </w:tc>
      </w:tr>
      <w:tr w14:paraId="27FFD2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041" w:type="dxa"/>
            <w:vAlign w:val="center"/>
          </w:tcPr>
          <w:p w14:paraId="25C616B9">
            <w:pPr>
              <w:keepNext/>
              <w:spacing w:before="40" w:after="40" w:line="276" w:lineRule="auto"/>
              <w:ind w:firstLine="0"/>
              <w:jc w:val="center"/>
            </w:pPr>
            <w:r>
              <w:rPr>
                <w:sz w:val="20"/>
              </w:rPr>
              <w:t>Informed-RRT*</w:t>
            </w:r>
          </w:p>
        </w:tc>
        <w:tc>
          <w:tcPr>
            <w:tcW w:w="2343" w:type="dxa"/>
            <w:vAlign w:val="center"/>
          </w:tcPr>
          <w:p w14:paraId="3B6285A8">
            <w:pPr>
              <w:keepNext/>
              <w:spacing w:before="40" w:after="40" w:line="276" w:lineRule="auto"/>
              <w:ind w:firstLine="0"/>
              <w:jc w:val="center"/>
            </w:pPr>
            <w:r>
              <w:rPr>
                <w:sz w:val="20"/>
              </w:rPr>
              <w:t>500/500</w:t>
            </w:r>
          </w:p>
        </w:tc>
        <w:tc>
          <w:tcPr>
            <w:tcW w:w="2343" w:type="dxa"/>
            <w:vAlign w:val="center"/>
          </w:tcPr>
          <w:p w14:paraId="4DAE5EB0">
            <w:pPr>
              <w:keepNext/>
              <w:spacing w:before="40" w:after="40" w:line="276" w:lineRule="auto"/>
              <w:ind w:firstLine="0"/>
              <w:jc w:val="center"/>
            </w:pPr>
            <w:r>
              <w:rPr>
                <w:sz w:val="20"/>
              </w:rPr>
              <w:t>2114.49 ± 109.82</w:t>
            </w:r>
          </w:p>
        </w:tc>
        <w:tc>
          <w:tcPr>
            <w:tcW w:w="2343" w:type="dxa"/>
            <w:vAlign w:val="center"/>
          </w:tcPr>
          <w:p w14:paraId="35736BEA">
            <w:pPr>
              <w:keepNext/>
              <w:spacing w:before="40" w:after="40" w:line="276" w:lineRule="auto"/>
              <w:ind w:firstLine="0"/>
              <w:jc w:val="center"/>
            </w:pPr>
            <w:r>
              <w:rPr>
                <w:sz w:val="20"/>
              </w:rPr>
              <w:t>0.1277 ± 0.0843</w:t>
            </w:r>
          </w:p>
        </w:tc>
      </w:tr>
      <w:tr w14:paraId="5B6DAB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041" w:type="dxa"/>
            <w:vAlign w:val="center"/>
          </w:tcPr>
          <w:p w14:paraId="1C28AD69">
            <w:pPr>
              <w:keepNext/>
              <w:spacing w:before="40" w:after="40" w:line="276" w:lineRule="auto"/>
              <w:ind w:firstLine="0"/>
              <w:jc w:val="center"/>
            </w:pPr>
            <w:r>
              <w:rPr>
                <w:sz w:val="20"/>
              </w:rPr>
              <w:t>Dynamic-RRT¹</w:t>
            </w:r>
          </w:p>
        </w:tc>
        <w:tc>
          <w:tcPr>
            <w:tcW w:w="2343" w:type="dxa"/>
            <w:vAlign w:val="center"/>
          </w:tcPr>
          <w:p w14:paraId="5F915355">
            <w:pPr>
              <w:keepNext/>
              <w:spacing w:before="40" w:after="40" w:line="276" w:lineRule="auto"/>
              <w:ind w:firstLine="0"/>
              <w:jc w:val="center"/>
            </w:pPr>
            <w:r>
              <w:rPr>
                <w:sz w:val="20"/>
              </w:rPr>
              <w:t>499/500</w:t>
            </w:r>
          </w:p>
        </w:tc>
        <w:tc>
          <w:tcPr>
            <w:tcW w:w="2343" w:type="dxa"/>
            <w:vAlign w:val="center"/>
          </w:tcPr>
          <w:p w14:paraId="6536DAF0">
            <w:pPr>
              <w:keepNext/>
              <w:spacing w:before="40" w:after="40" w:line="276" w:lineRule="auto"/>
              <w:ind w:firstLine="0"/>
              <w:jc w:val="center"/>
            </w:pPr>
            <w:r>
              <w:rPr>
                <w:sz w:val="20"/>
              </w:rPr>
              <w:t>2470.59 ± 186.26</w:t>
            </w:r>
          </w:p>
        </w:tc>
        <w:tc>
          <w:tcPr>
            <w:tcW w:w="2343" w:type="dxa"/>
            <w:vAlign w:val="center"/>
          </w:tcPr>
          <w:p w14:paraId="047A1B15">
            <w:pPr>
              <w:keepNext/>
              <w:spacing w:before="40" w:after="40" w:line="276" w:lineRule="auto"/>
              <w:ind w:firstLine="0"/>
              <w:jc w:val="center"/>
            </w:pPr>
            <w:r>
              <w:rPr>
                <w:sz w:val="20"/>
              </w:rPr>
              <w:t>0.1517 ± 0.0950</w:t>
            </w:r>
          </w:p>
        </w:tc>
      </w:tr>
      <w:tr w14:paraId="39DAF5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041" w:type="dxa"/>
            <w:vAlign w:val="center"/>
          </w:tcPr>
          <w:p w14:paraId="1960DF47">
            <w:pPr>
              <w:spacing w:before="40" w:after="40" w:line="276" w:lineRule="auto"/>
              <w:ind w:firstLine="0"/>
              <w:jc w:val="center"/>
            </w:pPr>
            <w:r>
              <w:rPr>
                <w:sz w:val="20"/>
              </w:rPr>
              <w:t>SC-RRT</w:t>
            </w:r>
          </w:p>
        </w:tc>
        <w:tc>
          <w:tcPr>
            <w:tcW w:w="2343" w:type="dxa"/>
            <w:vAlign w:val="center"/>
          </w:tcPr>
          <w:p w14:paraId="346253D3">
            <w:pPr>
              <w:spacing w:before="40" w:after="40" w:line="276" w:lineRule="auto"/>
              <w:ind w:firstLine="0"/>
              <w:jc w:val="center"/>
            </w:pPr>
            <w:r>
              <w:rPr>
                <w:sz w:val="20"/>
              </w:rPr>
              <w:t>500/500</w:t>
            </w:r>
          </w:p>
        </w:tc>
        <w:tc>
          <w:tcPr>
            <w:tcW w:w="2343" w:type="dxa"/>
            <w:vAlign w:val="center"/>
          </w:tcPr>
          <w:p w14:paraId="3B36A5DC">
            <w:pPr>
              <w:spacing w:before="40" w:after="40" w:line="276" w:lineRule="auto"/>
              <w:ind w:firstLine="0"/>
              <w:jc w:val="center"/>
            </w:pPr>
            <w:r>
              <w:rPr>
                <w:sz w:val="20"/>
              </w:rPr>
              <w:t>2269.75 ± 179.14</w:t>
            </w:r>
          </w:p>
        </w:tc>
        <w:tc>
          <w:tcPr>
            <w:tcW w:w="2343" w:type="dxa"/>
            <w:vAlign w:val="center"/>
          </w:tcPr>
          <w:p w14:paraId="3A85CB74">
            <w:pPr>
              <w:spacing w:before="40" w:after="40" w:line="276" w:lineRule="auto"/>
              <w:ind w:firstLine="0"/>
              <w:jc w:val="center"/>
            </w:pPr>
            <w:r>
              <w:rPr>
                <w:sz w:val="20"/>
              </w:rPr>
              <w:t>0.0315 ± 0.0213</w:t>
            </w:r>
          </w:p>
        </w:tc>
      </w:tr>
    </w:tbl>
    <w:p w14:paraId="20096A4C"/>
    <w:p w14:paraId="243FB8EF">
      <w:pPr>
        <w:pStyle w:val="79"/>
        <w:keepNext/>
      </w:pPr>
      <w:r>
        <w:t>表4-4 二维5000次扩展终值结果</w:t>
      </w:r>
    </w:p>
    <w:tbl>
      <w:tblPr>
        <w:tblStyle w:val="28"/>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75" w:type="dxa"/>
          <w:bottom w:w="65" w:type="dxa"/>
          <w:right w:w="75" w:type="dxa"/>
        </w:tblCellMar>
      </w:tblPr>
      <w:tblGrid>
        <w:gridCol w:w="2041"/>
        <w:gridCol w:w="2343"/>
        <w:gridCol w:w="2343"/>
        <w:gridCol w:w="2343"/>
      </w:tblGrid>
      <w:tr w14:paraId="7564C9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tblHeader/>
          <w:jc w:val="center"/>
        </w:trPr>
        <w:tc>
          <w:tcPr>
            <w:tcW w:w="2041" w:type="dxa"/>
            <w:shd w:val="clear" w:color="auto" w:fill="F2F2F2"/>
            <w:vAlign w:val="center"/>
          </w:tcPr>
          <w:p w14:paraId="3BA65BB3">
            <w:pPr>
              <w:keepNext/>
              <w:spacing w:before="40" w:after="40" w:line="276" w:lineRule="auto"/>
              <w:ind w:firstLine="0"/>
              <w:jc w:val="center"/>
            </w:pPr>
            <w:r>
              <w:rPr>
                <w:b/>
                <w:sz w:val="20"/>
              </w:rPr>
              <w:t>算法</w:t>
            </w:r>
          </w:p>
        </w:tc>
        <w:tc>
          <w:tcPr>
            <w:tcW w:w="2343" w:type="dxa"/>
            <w:shd w:val="clear" w:color="auto" w:fill="F2F2F2"/>
            <w:vAlign w:val="center"/>
          </w:tcPr>
          <w:p w14:paraId="7818C8AD">
            <w:pPr>
              <w:keepNext/>
              <w:spacing w:before="40" w:after="40" w:line="276" w:lineRule="auto"/>
              <w:ind w:firstLine="0"/>
              <w:jc w:val="center"/>
            </w:pPr>
            <w:r>
              <w:rPr>
                <w:b/>
                <w:sz w:val="20"/>
              </w:rPr>
              <w:t>路径长度 / mm</w:t>
            </w:r>
          </w:p>
        </w:tc>
        <w:tc>
          <w:tcPr>
            <w:tcW w:w="2343" w:type="dxa"/>
            <w:shd w:val="clear" w:color="auto" w:fill="F2F2F2"/>
            <w:vAlign w:val="center"/>
          </w:tcPr>
          <w:p w14:paraId="69D78F34">
            <w:pPr>
              <w:keepNext/>
              <w:spacing w:before="40" w:after="40" w:line="276" w:lineRule="auto"/>
              <w:ind w:firstLine="0"/>
              <w:jc w:val="center"/>
            </w:pPr>
            <w:r>
              <w:rPr>
                <w:b/>
                <w:sz w:val="20"/>
              </w:rPr>
              <w:t>总时间 / s</w:t>
            </w:r>
          </w:p>
        </w:tc>
        <w:tc>
          <w:tcPr>
            <w:tcW w:w="2343" w:type="dxa"/>
            <w:shd w:val="clear" w:color="auto" w:fill="F2F2F2"/>
            <w:vAlign w:val="center"/>
          </w:tcPr>
          <w:p w14:paraId="0D9DAF8F">
            <w:pPr>
              <w:keepNext/>
              <w:spacing w:before="40" w:after="40" w:line="276" w:lineRule="auto"/>
              <w:ind w:firstLine="0"/>
              <w:jc w:val="center"/>
            </w:pPr>
            <w:r>
              <w:rPr>
                <w:b/>
                <w:sz w:val="20"/>
              </w:rPr>
              <w:t>树节点数</w:t>
            </w:r>
          </w:p>
        </w:tc>
      </w:tr>
      <w:tr w14:paraId="4AB8CA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041" w:type="dxa"/>
            <w:vAlign w:val="center"/>
          </w:tcPr>
          <w:p w14:paraId="369246EE">
            <w:pPr>
              <w:keepNext/>
              <w:spacing w:before="40" w:after="40" w:line="276" w:lineRule="auto"/>
              <w:ind w:firstLine="0"/>
              <w:jc w:val="center"/>
            </w:pPr>
            <w:r>
              <w:rPr>
                <w:sz w:val="20"/>
              </w:rPr>
              <w:t>RRT</w:t>
            </w:r>
          </w:p>
        </w:tc>
        <w:tc>
          <w:tcPr>
            <w:tcW w:w="2343" w:type="dxa"/>
            <w:vAlign w:val="center"/>
          </w:tcPr>
          <w:p w14:paraId="24B7EACF">
            <w:pPr>
              <w:keepNext/>
              <w:spacing w:before="40" w:after="40" w:line="276" w:lineRule="auto"/>
              <w:ind w:firstLine="0"/>
              <w:jc w:val="center"/>
            </w:pPr>
            <w:r>
              <w:rPr>
                <w:sz w:val="20"/>
              </w:rPr>
              <w:t>2532.94 ± 183.99</w:t>
            </w:r>
          </w:p>
        </w:tc>
        <w:tc>
          <w:tcPr>
            <w:tcW w:w="2343" w:type="dxa"/>
            <w:vAlign w:val="center"/>
          </w:tcPr>
          <w:p w14:paraId="3EB7D294">
            <w:pPr>
              <w:keepNext/>
              <w:spacing w:before="40" w:after="40" w:line="276" w:lineRule="auto"/>
              <w:ind w:firstLine="0"/>
              <w:jc w:val="center"/>
            </w:pPr>
            <w:r>
              <w:rPr>
                <w:sz w:val="20"/>
              </w:rPr>
              <w:t>0.3109 ± 0.0152</w:t>
            </w:r>
          </w:p>
        </w:tc>
        <w:tc>
          <w:tcPr>
            <w:tcW w:w="2343" w:type="dxa"/>
            <w:vAlign w:val="center"/>
          </w:tcPr>
          <w:p w14:paraId="2D164744">
            <w:pPr>
              <w:keepNext/>
              <w:spacing w:before="40" w:after="40" w:line="276" w:lineRule="auto"/>
              <w:ind w:firstLine="0"/>
              <w:jc w:val="center"/>
            </w:pPr>
            <w:r>
              <w:rPr>
                <w:sz w:val="20"/>
              </w:rPr>
              <w:t>3712.9 ± 114.8</w:t>
            </w:r>
          </w:p>
        </w:tc>
      </w:tr>
      <w:tr w14:paraId="45A65B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041" w:type="dxa"/>
            <w:vAlign w:val="center"/>
          </w:tcPr>
          <w:p w14:paraId="2E49F9AA">
            <w:pPr>
              <w:keepNext/>
              <w:spacing w:before="40" w:after="40" w:line="276" w:lineRule="auto"/>
              <w:ind w:firstLine="0"/>
              <w:jc w:val="center"/>
            </w:pPr>
            <w:r>
              <w:rPr>
                <w:sz w:val="20"/>
              </w:rPr>
              <w:t>RRT-Connect</w:t>
            </w:r>
          </w:p>
        </w:tc>
        <w:tc>
          <w:tcPr>
            <w:tcW w:w="2343" w:type="dxa"/>
            <w:vAlign w:val="center"/>
          </w:tcPr>
          <w:p w14:paraId="66FBAFA5">
            <w:pPr>
              <w:keepNext/>
              <w:spacing w:before="40" w:after="40" w:line="276" w:lineRule="auto"/>
              <w:ind w:firstLine="0"/>
              <w:jc w:val="center"/>
            </w:pPr>
            <w:r>
              <w:rPr>
                <w:sz w:val="20"/>
              </w:rPr>
              <w:t>2251.38 ± 162.37</w:t>
            </w:r>
          </w:p>
        </w:tc>
        <w:tc>
          <w:tcPr>
            <w:tcW w:w="2343" w:type="dxa"/>
            <w:vAlign w:val="center"/>
          </w:tcPr>
          <w:p w14:paraId="608E3251">
            <w:pPr>
              <w:keepNext/>
              <w:spacing w:before="40" w:after="40" w:line="276" w:lineRule="auto"/>
              <w:ind w:firstLine="0"/>
              <w:jc w:val="center"/>
            </w:pPr>
            <w:r>
              <w:rPr>
                <w:sz w:val="20"/>
              </w:rPr>
              <w:t>0.5126 ± 0.0393</w:t>
            </w:r>
          </w:p>
        </w:tc>
        <w:tc>
          <w:tcPr>
            <w:tcW w:w="2343" w:type="dxa"/>
            <w:vAlign w:val="center"/>
          </w:tcPr>
          <w:p w14:paraId="4A2D4469">
            <w:pPr>
              <w:keepNext/>
              <w:spacing w:before="40" w:after="40" w:line="276" w:lineRule="auto"/>
              <w:ind w:firstLine="0"/>
              <w:jc w:val="center"/>
            </w:pPr>
            <w:r>
              <w:rPr>
                <w:sz w:val="20"/>
              </w:rPr>
              <w:t>4047.2 ± 253.5</w:t>
            </w:r>
          </w:p>
        </w:tc>
      </w:tr>
      <w:tr w14:paraId="36FF19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041" w:type="dxa"/>
            <w:vAlign w:val="center"/>
          </w:tcPr>
          <w:p w14:paraId="1A007CBC">
            <w:pPr>
              <w:keepNext/>
              <w:spacing w:before="40" w:after="40" w:line="276" w:lineRule="auto"/>
              <w:ind w:firstLine="0"/>
              <w:jc w:val="center"/>
            </w:pPr>
            <w:r>
              <w:rPr>
                <w:sz w:val="20"/>
              </w:rPr>
              <w:t>RRT*</w:t>
            </w:r>
          </w:p>
        </w:tc>
        <w:tc>
          <w:tcPr>
            <w:tcW w:w="2343" w:type="dxa"/>
            <w:vAlign w:val="center"/>
          </w:tcPr>
          <w:p w14:paraId="1FBDFECF">
            <w:pPr>
              <w:keepNext/>
              <w:spacing w:before="40" w:after="40" w:line="276" w:lineRule="auto"/>
              <w:ind w:firstLine="0"/>
              <w:jc w:val="center"/>
            </w:pPr>
            <w:r>
              <w:rPr>
                <w:sz w:val="20"/>
              </w:rPr>
              <w:t>1974.32 ± 41.88</w:t>
            </w:r>
          </w:p>
        </w:tc>
        <w:tc>
          <w:tcPr>
            <w:tcW w:w="2343" w:type="dxa"/>
            <w:vAlign w:val="center"/>
          </w:tcPr>
          <w:p w14:paraId="56E4FBC0">
            <w:pPr>
              <w:keepNext/>
              <w:spacing w:before="40" w:after="40" w:line="276" w:lineRule="auto"/>
              <w:ind w:firstLine="0"/>
              <w:jc w:val="center"/>
            </w:pPr>
            <w:r>
              <w:rPr>
                <w:sz w:val="20"/>
              </w:rPr>
              <w:t>1.5879 ± 0.0905</w:t>
            </w:r>
          </w:p>
        </w:tc>
        <w:tc>
          <w:tcPr>
            <w:tcW w:w="2343" w:type="dxa"/>
            <w:vAlign w:val="center"/>
          </w:tcPr>
          <w:p w14:paraId="299AE991">
            <w:pPr>
              <w:keepNext/>
              <w:spacing w:before="40" w:after="40" w:line="276" w:lineRule="auto"/>
              <w:ind w:firstLine="0"/>
              <w:jc w:val="center"/>
            </w:pPr>
            <w:r>
              <w:rPr>
                <w:sz w:val="20"/>
              </w:rPr>
              <w:t>3712.9 ± 114.8</w:t>
            </w:r>
          </w:p>
        </w:tc>
      </w:tr>
      <w:tr w14:paraId="416D1C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041" w:type="dxa"/>
            <w:vAlign w:val="center"/>
          </w:tcPr>
          <w:p w14:paraId="73942511">
            <w:pPr>
              <w:keepNext/>
              <w:spacing w:before="40" w:after="40" w:line="276" w:lineRule="auto"/>
              <w:ind w:firstLine="0"/>
              <w:jc w:val="center"/>
            </w:pPr>
            <w:r>
              <w:rPr>
                <w:sz w:val="20"/>
              </w:rPr>
              <w:t>Informed-RRT*</w:t>
            </w:r>
          </w:p>
        </w:tc>
        <w:tc>
          <w:tcPr>
            <w:tcW w:w="2343" w:type="dxa"/>
            <w:vAlign w:val="center"/>
          </w:tcPr>
          <w:p w14:paraId="155F058C">
            <w:pPr>
              <w:keepNext/>
              <w:spacing w:before="40" w:after="40" w:line="276" w:lineRule="auto"/>
              <w:ind w:firstLine="0"/>
              <w:jc w:val="center"/>
            </w:pPr>
            <w:r>
              <w:rPr>
                <w:sz w:val="20"/>
              </w:rPr>
              <w:t>1952.13 ± 28.78</w:t>
            </w:r>
          </w:p>
        </w:tc>
        <w:tc>
          <w:tcPr>
            <w:tcW w:w="2343" w:type="dxa"/>
            <w:vAlign w:val="center"/>
          </w:tcPr>
          <w:p w14:paraId="796495CF">
            <w:pPr>
              <w:keepNext/>
              <w:spacing w:before="40" w:after="40" w:line="276" w:lineRule="auto"/>
              <w:ind w:firstLine="0"/>
              <w:jc w:val="center"/>
            </w:pPr>
            <w:r>
              <w:rPr>
                <w:sz w:val="20"/>
              </w:rPr>
              <w:t>2.6562 ± 0.5831</w:t>
            </w:r>
          </w:p>
        </w:tc>
        <w:tc>
          <w:tcPr>
            <w:tcW w:w="2343" w:type="dxa"/>
            <w:vAlign w:val="center"/>
          </w:tcPr>
          <w:p w14:paraId="22D4311E">
            <w:pPr>
              <w:keepNext/>
              <w:spacing w:before="40" w:after="40" w:line="276" w:lineRule="auto"/>
              <w:ind w:firstLine="0"/>
              <w:jc w:val="center"/>
            </w:pPr>
            <w:r>
              <w:rPr>
                <w:sz w:val="20"/>
              </w:rPr>
              <w:t>3567.3 ± 151.0</w:t>
            </w:r>
          </w:p>
        </w:tc>
      </w:tr>
      <w:tr w14:paraId="4AA554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041" w:type="dxa"/>
            <w:vAlign w:val="center"/>
          </w:tcPr>
          <w:p w14:paraId="11F4A4DB">
            <w:pPr>
              <w:keepNext/>
              <w:spacing w:before="40" w:after="40" w:line="276" w:lineRule="auto"/>
              <w:ind w:firstLine="0"/>
              <w:jc w:val="center"/>
            </w:pPr>
            <w:r>
              <w:rPr>
                <w:sz w:val="20"/>
              </w:rPr>
              <w:t>Dynamic-RRT¹</w:t>
            </w:r>
          </w:p>
        </w:tc>
        <w:tc>
          <w:tcPr>
            <w:tcW w:w="2343" w:type="dxa"/>
            <w:vAlign w:val="center"/>
          </w:tcPr>
          <w:p w14:paraId="71651463">
            <w:pPr>
              <w:keepNext/>
              <w:spacing w:before="40" w:after="40" w:line="276" w:lineRule="auto"/>
              <w:ind w:firstLine="0"/>
              <w:jc w:val="center"/>
            </w:pPr>
            <w:r>
              <w:rPr>
                <w:sz w:val="20"/>
              </w:rPr>
              <w:t>2470.36 ± 186.28</w:t>
            </w:r>
          </w:p>
        </w:tc>
        <w:tc>
          <w:tcPr>
            <w:tcW w:w="2343" w:type="dxa"/>
            <w:vAlign w:val="center"/>
          </w:tcPr>
          <w:p w14:paraId="4DCC07F6">
            <w:pPr>
              <w:keepNext/>
              <w:spacing w:before="40" w:after="40" w:line="276" w:lineRule="auto"/>
              <w:ind w:firstLine="0"/>
              <w:jc w:val="center"/>
            </w:pPr>
            <w:r>
              <w:rPr>
                <w:sz w:val="20"/>
              </w:rPr>
              <w:t>1.5420 ± 0.0850</w:t>
            </w:r>
          </w:p>
        </w:tc>
        <w:tc>
          <w:tcPr>
            <w:tcW w:w="2343" w:type="dxa"/>
            <w:vAlign w:val="center"/>
          </w:tcPr>
          <w:p w14:paraId="275A34B9">
            <w:pPr>
              <w:keepNext/>
              <w:spacing w:before="40" w:after="40" w:line="276" w:lineRule="auto"/>
              <w:ind w:firstLine="0"/>
              <w:jc w:val="center"/>
            </w:pPr>
            <w:r>
              <w:rPr>
                <w:sz w:val="20"/>
              </w:rPr>
              <w:t>3294.0 ± 130.9</w:t>
            </w:r>
          </w:p>
        </w:tc>
      </w:tr>
      <w:tr w14:paraId="706073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041" w:type="dxa"/>
            <w:vAlign w:val="center"/>
          </w:tcPr>
          <w:p w14:paraId="439C352B">
            <w:pPr>
              <w:spacing w:before="40" w:after="40" w:line="276" w:lineRule="auto"/>
              <w:ind w:firstLine="0"/>
              <w:jc w:val="center"/>
            </w:pPr>
            <w:r>
              <w:rPr>
                <w:sz w:val="20"/>
              </w:rPr>
              <w:t>SC-RRT</w:t>
            </w:r>
          </w:p>
        </w:tc>
        <w:tc>
          <w:tcPr>
            <w:tcW w:w="2343" w:type="dxa"/>
            <w:vAlign w:val="center"/>
          </w:tcPr>
          <w:p w14:paraId="5AB08A23">
            <w:pPr>
              <w:spacing w:before="40" w:after="40" w:line="276" w:lineRule="auto"/>
              <w:ind w:firstLine="0"/>
              <w:jc w:val="center"/>
            </w:pPr>
            <w:r>
              <w:rPr>
                <w:sz w:val="20"/>
              </w:rPr>
              <w:t>2022.93 ± 73.62</w:t>
            </w:r>
          </w:p>
        </w:tc>
        <w:tc>
          <w:tcPr>
            <w:tcW w:w="2343" w:type="dxa"/>
            <w:vAlign w:val="center"/>
          </w:tcPr>
          <w:p w14:paraId="41B0408C">
            <w:pPr>
              <w:spacing w:before="40" w:after="40" w:line="276" w:lineRule="auto"/>
              <w:ind w:firstLine="0"/>
              <w:jc w:val="center"/>
            </w:pPr>
            <w:r>
              <w:rPr>
                <w:sz w:val="20"/>
              </w:rPr>
              <w:t>1.2410 ± 0.1403</w:t>
            </w:r>
          </w:p>
        </w:tc>
        <w:tc>
          <w:tcPr>
            <w:tcW w:w="2343" w:type="dxa"/>
            <w:vAlign w:val="center"/>
          </w:tcPr>
          <w:p w14:paraId="21A920EA">
            <w:pPr>
              <w:spacing w:before="40" w:after="40" w:line="276" w:lineRule="auto"/>
              <w:ind w:firstLine="0"/>
              <w:jc w:val="center"/>
            </w:pPr>
            <w:r>
              <w:rPr>
                <w:sz w:val="20"/>
              </w:rPr>
              <w:t>3242.4 ± 235.1</w:t>
            </w:r>
          </w:p>
        </w:tc>
      </w:tr>
    </w:tbl>
    <w:p w14:paraId="3F406098"/>
    <w:p w14:paraId="23C68C26">
      <w:r>
        <w:t>表4-3至表4-6中，¹表示Dynamic-RRT本地改写；数值为均值±样本标准差，长度与首解时间按成功运行统计。完整扩展次数、效率与边检查数据保留在原始结果表中。</w:t>
      </w:r>
    </w:p>
    <w:p w14:paraId="12FB5AFC">
      <w:r>
        <w:t>二维终值阶段，SC-RRT平均路径长度为2022.93 mm，相比RRT-Connect的2251.38 mm缩短10.15%。同时，RRT*和Informed-RRT*分别达到1974.32 mm和1952.13 mm，仍短于SC-RRT。SC-RRT总时间为1.2410 s，低于这两个重布线或知情优化实现，却高于RRT-Connect。该结果支持一种速度与长度的折中，而非所有指标均最优的结论。</w:t>
      </w:r>
    </w:p>
    <w:p w14:paraId="4FDE2C78">
      <w:pPr>
        <w:keepNext/>
        <w:spacing w:before="100" w:line="240" w:lineRule="auto"/>
        <w:ind w:firstLine="0"/>
        <w:jc w:val="center"/>
      </w:pPr>
      <w:r>
        <w:drawing>
          <wp:inline distT="0" distB="0" distL="0" distR="0">
            <wp:extent cx="5687695" cy="4324350"/>
            <wp:effectExtent l="0" t="0" r="0" b="0"/>
            <wp:docPr id="6" name="Picture 6" descr="图4-2 二维同一地图与种子下的路径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图4-2 二维同一地图与种子下的路径示例"/>
                    <pic:cNvPicPr>
                      <a:picLocks noChangeAspect="1"/>
                    </pic:cNvPicPr>
                  </pic:nvPicPr>
                  <pic:blipFill>
                    <a:blip r:embed="rId15"/>
                    <a:stretch>
                      <a:fillRect/>
                    </a:stretch>
                  </pic:blipFill>
                  <pic:spPr>
                    <a:xfrm>
                      <a:off x="0" y="0"/>
                      <a:ext cx="5688000" cy="4324983"/>
                    </a:xfrm>
                    <a:prstGeom prst="rect">
                      <a:avLst/>
                    </a:prstGeom>
                  </pic:spPr>
                </pic:pic>
              </a:graphicData>
            </a:graphic>
          </wp:inline>
        </w:drawing>
      </w:r>
    </w:p>
    <w:p w14:paraId="195CD6E8">
      <w:pPr>
        <w:pStyle w:val="79"/>
        <w:keepNext/>
      </w:pPr>
      <w:r>
        <w:t>图4-2 二维同一地图与种子下的路径示例</w:t>
      </w:r>
    </w:p>
    <w:p w14:paraId="19AD378F">
      <w:pPr>
        <w:spacing w:line="276" w:lineRule="auto"/>
        <w:ind w:firstLine="0"/>
      </w:pPr>
      <w:r>
        <w:rPr>
          <w:sz w:val="18"/>
        </w:rPr>
        <w:t>来源：公平对比实验v2；图示用于解释路径形态，统计结论以500次运行结果为准。</w:t>
      </w:r>
    </w:p>
    <w:p w14:paraId="2539220C">
      <w:r>
        <w:t>三维首解与终值结果见表4-5和表4-6。SC-RRT与RRT-Connect均为500/500成功，RRT及两种RRT*实现为499/500，本地Dynamic-RRT为498/500。这一成功率仅代表本实验的地图分布与预算，不能外推为任意场景中的成功保证。</w:t>
      </w:r>
    </w:p>
    <w:p w14:paraId="1BDBE993">
      <w:pPr>
        <w:pStyle w:val="79"/>
        <w:keepNext/>
      </w:pPr>
      <w:r>
        <w:t>表4-5 三维首解结果</w:t>
      </w:r>
    </w:p>
    <w:tbl>
      <w:tblPr>
        <w:tblStyle w:val="28"/>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75" w:type="dxa"/>
          <w:bottom w:w="65" w:type="dxa"/>
          <w:right w:w="75" w:type="dxa"/>
        </w:tblCellMar>
      </w:tblPr>
      <w:tblGrid>
        <w:gridCol w:w="2041"/>
        <w:gridCol w:w="2343"/>
        <w:gridCol w:w="2343"/>
        <w:gridCol w:w="2343"/>
      </w:tblGrid>
      <w:tr w14:paraId="6534AA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tblHeader/>
          <w:jc w:val="center"/>
        </w:trPr>
        <w:tc>
          <w:tcPr>
            <w:tcW w:w="2041" w:type="dxa"/>
            <w:shd w:val="clear" w:color="auto" w:fill="F2F2F2"/>
            <w:vAlign w:val="center"/>
          </w:tcPr>
          <w:p w14:paraId="5E9C5D41">
            <w:pPr>
              <w:keepNext/>
              <w:spacing w:before="40" w:after="40" w:line="276" w:lineRule="auto"/>
              <w:ind w:firstLine="0"/>
              <w:jc w:val="center"/>
            </w:pPr>
            <w:r>
              <w:rPr>
                <w:b/>
                <w:sz w:val="20"/>
              </w:rPr>
              <w:t>算法</w:t>
            </w:r>
          </w:p>
        </w:tc>
        <w:tc>
          <w:tcPr>
            <w:tcW w:w="2343" w:type="dxa"/>
            <w:shd w:val="clear" w:color="auto" w:fill="F2F2F2"/>
            <w:vAlign w:val="center"/>
          </w:tcPr>
          <w:p w14:paraId="2FB270F0">
            <w:pPr>
              <w:keepNext/>
              <w:spacing w:before="40" w:after="40" w:line="276" w:lineRule="auto"/>
              <w:ind w:firstLine="0"/>
              <w:jc w:val="center"/>
            </w:pPr>
            <w:r>
              <w:rPr>
                <w:b/>
                <w:sz w:val="20"/>
              </w:rPr>
              <w:t>成功次数</w:t>
            </w:r>
          </w:p>
        </w:tc>
        <w:tc>
          <w:tcPr>
            <w:tcW w:w="2343" w:type="dxa"/>
            <w:shd w:val="clear" w:color="auto" w:fill="F2F2F2"/>
            <w:vAlign w:val="center"/>
          </w:tcPr>
          <w:p w14:paraId="6BA3775C">
            <w:pPr>
              <w:keepNext/>
              <w:spacing w:before="40" w:after="40" w:line="276" w:lineRule="auto"/>
              <w:ind w:firstLine="0"/>
              <w:jc w:val="center"/>
            </w:pPr>
            <w:r>
              <w:rPr>
                <w:b/>
                <w:sz w:val="20"/>
              </w:rPr>
              <w:t>长度 / mm</w:t>
            </w:r>
          </w:p>
        </w:tc>
        <w:tc>
          <w:tcPr>
            <w:tcW w:w="2343" w:type="dxa"/>
            <w:shd w:val="clear" w:color="auto" w:fill="F2F2F2"/>
            <w:vAlign w:val="center"/>
          </w:tcPr>
          <w:p w14:paraId="7926EBE5">
            <w:pPr>
              <w:keepNext/>
              <w:spacing w:before="40" w:after="40" w:line="276" w:lineRule="auto"/>
              <w:ind w:firstLine="0"/>
              <w:jc w:val="center"/>
            </w:pPr>
            <w:r>
              <w:rPr>
                <w:b/>
                <w:sz w:val="20"/>
              </w:rPr>
              <w:t>时间 / s</w:t>
            </w:r>
          </w:p>
        </w:tc>
      </w:tr>
      <w:tr w14:paraId="41CBE3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041" w:type="dxa"/>
            <w:vAlign w:val="center"/>
          </w:tcPr>
          <w:p w14:paraId="307FAE87">
            <w:pPr>
              <w:keepNext/>
              <w:spacing w:before="40" w:after="40" w:line="276" w:lineRule="auto"/>
              <w:ind w:firstLine="0"/>
              <w:jc w:val="center"/>
            </w:pPr>
            <w:r>
              <w:rPr>
                <w:sz w:val="20"/>
              </w:rPr>
              <w:t>RRT</w:t>
            </w:r>
          </w:p>
        </w:tc>
        <w:tc>
          <w:tcPr>
            <w:tcW w:w="2343" w:type="dxa"/>
            <w:vAlign w:val="center"/>
          </w:tcPr>
          <w:p w14:paraId="2D573993">
            <w:pPr>
              <w:keepNext/>
              <w:spacing w:before="40" w:after="40" w:line="276" w:lineRule="auto"/>
              <w:ind w:firstLine="0"/>
              <w:jc w:val="center"/>
            </w:pPr>
            <w:r>
              <w:rPr>
                <w:sz w:val="20"/>
              </w:rPr>
              <w:t>499/500</w:t>
            </w:r>
          </w:p>
        </w:tc>
        <w:tc>
          <w:tcPr>
            <w:tcW w:w="2343" w:type="dxa"/>
            <w:vAlign w:val="center"/>
          </w:tcPr>
          <w:p w14:paraId="06488FA7">
            <w:pPr>
              <w:keepNext/>
              <w:spacing w:before="40" w:after="40" w:line="276" w:lineRule="auto"/>
              <w:ind w:firstLine="0"/>
              <w:jc w:val="center"/>
            </w:pPr>
            <w:r>
              <w:rPr>
                <w:sz w:val="20"/>
              </w:rPr>
              <w:t>3066.26 ± 125.55</w:t>
            </w:r>
          </w:p>
        </w:tc>
        <w:tc>
          <w:tcPr>
            <w:tcW w:w="2343" w:type="dxa"/>
            <w:vAlign w:val="center"/>
          </w:tcPr>
          <w:p w14:paraId="28BBA594">
            <w:pPr>
              <w:keepNext/>
              <w:spacing w:before="40" w:after="40" w:line="276" w:lineRule="auto"/>
              <w:ind w:firstLine="0"/>
              <w:jc w:val="center"/>
            </w:pPr>
            <w:r>
              <w:rPr>
                <w:sz w:val="20"/>
              </w:rPr>
              <w:t>0.0494 ± 0.0381</w:t>
            </w:r>
          </w:p>
        </w:tc>
      </w:tr>
      <w:tr w14:paraId="03DE315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041" w:type="dxa"/>
            <w:vAlign w:val="center"/>
          </w:tcPr>
          <w:p w14:paraId="45D708F8">
            <w:pPr>
              <w:keepNext/>
              <w:spacing w:before="40" w:after="40" w:line="276" w:lineRule="auto"/>
              <w:ind w:firstLine="0"/>
              <w:jc w:val="center"/>
            </w:pPr>
            <w:r>
              <w:rPr>
                <w:sz w:val="20"/>
              </w:rPr>
              <w:t>RRT-Connect</w:t>
            </w:r>
          </w:p>
        </w:tc>
        <w:tc>
          <w:tcPr>
            <w:tcW w:w="2343" w:type="dxa"/>
            <w:vAlign w:val="center"/>
          </w:tcPr>
          <w:p w14:paraId="657FE0D7">
            <w:pPr>
              <w:keepNext/>
              <w:spacing w:before="40" w:after="40" w:line="276" w:lineRule="auto"/>
              <w:ind w:firstLine="0"/>
              <w:jc w:val="center"/>
            </w:pPr>
            <w:r>
              <w:rPr>
                <w:sz w:val="20"/>
              </w:rPr>
              <w:t>500/500</w:t>
            </w:r>
          </w:p>
        </w:tc>
        <w:tc>
          <w:tcPr>
            <w:tcW w:w="2343" w:type="dxa"/>
            <w:vAlign w:val="center"/>
          </w:tcPr>
          <w:p w14:paraId="75E194A2">
            <w:pPr>
              <w:keepNext/>
              <w:spacing w:before="40" w:after="40" w:line="276" w:lineRule="auto"/>
              <w:ind w:firstLine="0"/>
              <w:jc w:val="center"/>
            </w:pPr>
            <w:r>
              <w:rPr>
                <w:sz w:val="20"/>
              </w:rPr>
              <w:t>2660.64 ± 130.24</w:t>
            </w:r>
          </w:p>
        </w:tc>
        <w:tc>
          <w:tcPr>
            <w:tcW w:w="2343" w:type="dxa"/>
            <w:vAlign w:val="center"/>
          </w:tcPr>
          <w:p w14:paraId="6A1006B5">
            <w:pPr>
              <w:keepNext/>
              <w:spacing w:before="40" w:after="40" w:line="276" w:lineRule="auto"/>
              <w:ind w:firstLine="0"/>
              <w:jc w:val="center"/>
            </w:pPr>
            <w:r>
              <w:rPr>
                <w:sz w:val="20"/>
              </w:rPr>
              <w:t>0.0112 ± 0.0032</w:t>
            </w:r>
          </w:p>
        </w:tc>
      </w:tr>
      <w:tr w14:paraId="4A9EA0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041" w:type="dxa"/>
            <w:vAlign w:val="center"/>
          </w:tcPr>
          <w:p w14:paraId="7E177313">
            <w:pPr>
              <w:keepNext/>
              <w:spacing w:before="40" w:after="40" w:line="276" w:lineRule="auto"/>
              <w:ind w:firstLine="0"/>
              <w:jc w:val="center"/>
            </w:pPr>
            <w:r>
              <w:rPr>
                <w:sz w:val="20"/>
              </w:rPr>
              <w:t>RRT*</w:t>
            </w:r>
          </w:p>
        </w:tc>
        <w:tc>
          <w:tcPr>
            <w:tcW w:w="2343" w:type="dxa"/>
            <w:vAlign w:val="center"/>
          </w:tcPr>
          <w:p w14:paraId="64A6A100">
            <w:pPr>
              <w:keepNext/>
              <w:spacing w:before="40" w:after="40" w:line="276" w:lineRule="auto"/>
              <w:ind w:firstLine="0"/>
              <w:jc w:val="center"/>
            </w:pPr>
            <w:r>
              <w:rPr>
                <w:sz w:val="20"/>
              </w:rPr>
              <w:t>499/500</w:t>
            </w:r>
          </w:p>
        </w:tc>
        <w:tc>
          <w:tcPr>
            <w:tcW w:w="2343" w:type="dxa"/>
            <w:vAlign w:val="center"/>
          </w:tcPr>
          <w:p w14:paraId="677B7C00">
            <w:pPr>
              <w:keepNext/>
              <w:spacing w:before="40" w:after="40" w:line="276" w:lineRule="auto"/>
              <w:ind w:firstLine="0"/>
              <w:jc w:val="center"/>
            </w:pPr>
            <w:r>
              <w:rPr>
                <w:sz w:val="20"/>
              </w:rPr>
              <w:t>2501.39 ± 76.62</w:t>
            </w:r>
          </w:p>
        </w:tc>
        <w:tc>
          <w:tcPr>
            <w:tcW w:w="2343" w:type="dxa"/>
            <w:vAlign w:val="center"/>
          </w:tcPr>
          <w:p w14:paraId="075107A3">
            <w:pPr>
              <w:keepNext/>
              <w:spacing w:before="40" w:after="40" w:line="276" w:lineRule="auto"/>
              <w:ind w:firstLine="0"/>
              <w:jc w:val="center"/>
            </w:pPr>
            <w:r>
              <w:rPr>
                <w:sz w:val="20"/>
              </w:rPr>
              <w:t>0.1318 ± 0.1262</w:t>
            </w:r>
          </w:p>
        </w:tc>
      </w:tr>
      <w:tr w14:paraId="2FB9C6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041" w:type="dxa"/>
            <w:vAlign w:val="center"/>
          </w:tcPr>
          <w:p w14:paraId="427E4A5F">
            <w:pPr>
              <w:keepNext/>
              <w:spacing w:before="40" w:after="40" w:line="276" w:lineRule="auto"/>
              <w:ind w:firstLine="0"/>
              <w:jc w:val="center"/>
            </w:pPr>
            <w:r>
              <w:rPr>
                <w:sz w:val="20"/>
              </w:rPr>
              <w:t>Informed-RRT*</w:t>
            </w:r>
          </w:p>
        </w:tc>
        <w:tc>
          <w:tcPr>
            <w:tcW w:w="2343" w:type="dxa"/>
            <w:vAlign w:val="center"/>
          </w:tcPr>
          <w:p w14:paraId="01F7FC40">
            <w:pPr>
              <w:keepNext/>
              <w:spacing w:before="40" w:after="40" w:line="276" w:lineRule="auto"/>
              <w:ind w:firstLine="0"/>
              <w:jc w:val="center"/>
            </w:pPr>
            <w:r>
              <w:rPr>
                <w:sz w:val="20"/>
              </w:rPr>
              <w:t>499/500</w:t>
            </w:r>
          </w:p>
        </w:tc>
        <w:tc>
          <w:tcPr>
            <w:tcW w:w="2343" w:type="dxa"/>
            <w:vAlign w:val="center"/>
          </w:tcPr>
          <w:p w14:paraId="2194DFA5">
            <w:pPr>
              <w:keepNext/>
              <w:spacing w:before="40" w:after="40" w:line="276" w:lineRule="auto"/>
              <w:ind w:firstLine="0"/>
              <w:jc w:val="center"/>
            </w:pPr>
            <w:r>
              <w:rPr>
                <w:sz w:val="20"/>
              </w:rPr>
              <w:t>2501.39 ± 76.62</w:t>
            </w:r>
          </w:p>
        </w:tc>
        <w:tc>
          <w:tcPr>
            <w:tcW w:w="2343" w:type="dxa"/>
            <w:vAlign w:val="center"/>
          </w:tcPr>
          <w:p w14:paraId="67547FDA">
            <w:pPr>
              <w:keepNext/>
              <w:spacing w:before="40" w:after="40" w:line="276" w:lineRule="auto"/>
              <w:ind w:firstLine="0"/>
              <w:jc w:val="center"/>
            </w:pPr>
            <w:r>
              <w:rPr>
                <w:sz w:val="20"/>
              </w:rPr>
              <w:t>0.1316 ± 0.1255</w:t>
            </w:r>
          </w:p>
        </w:tc>
      </w:tr>
      <w:tr w14:paraId="6754CE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041" w:type="dxa"/>
            <w:vAlign w:val="center"/>
          </w:tcPr>
          <w:p w14:paraId="05107DAA">
            <w:pPr>
              <w:keepNext/>
              <w:spacing w:before="40" w:after="40" w:line="276" w:lineRule="auto"/>
              <w:ind w:firstLine="0"/>
              <w:jc w:val="center"/>
            </w:pPr>
            <w:r>
              <w:rPr>
                <w:sz w:val="20"/>
              </w:rPr>
              <w:t>Dynamic-RRT¹</w:t>
            </w:r>
          </w:p>
        </w:tc>
        <w:tc>
          <w:tcPr>
            <w:tcW w:w="2343" w:type="dxa"/>
            <w:vAlign w:val="center"/>
          </w:tcPr>
          <w:p w14:paraId="64B18BE4">
            <w:pPr>
              <w:keepNext/>
              <w:spacing w:before="40" w:after="40" w:line="276" w:lineRule="auto"/>
              <w:ind w:firstLine="0"/>
              <w:jc w:val="center"/>
            </w:pPr>
            <w:r>
              <w:rPr>
                <w:sz w:val="20"/>
              </w:rPr>
              <w:t>498/500</w:t>
            </w:r>
          </w:p>
        </w:tc>
        <w:tc>
          <w:tcPr>
            <w:tcW w:w="2343" w:type="dxa"/>
            <w:vAlign w:val="center"/>
          </w:tcPr>
          <w:p w14:paraId="0A509F52">
            <w:pPr>
              <w:keepNext/>
              <w:spacing w:before="40" w:after="40" w:line="276" w:lineRule="auto"/>
              <w:ind w:firstLine="0"/>
              <w:jc w:val="center"/>
            </w:pPr>
            <w:r>
              <w:rPr>
                <w:sz w:val="20"/>
              </w:rPr>
              <w:t>2916.09 ± 133.58</w:t>
            </w:r>
          </w:p>
        </w:tc>
        <w:tc>
          <w:tcPr>
            <w:tcW w:w="2343" w:type="dxa"/>
            <w:vAlign w:val="center"/>
          </w:tcPr>
          <w:p w14:paraId="51FCB912">
            <w:pPr>
              <w:keepNext/>
              <w:spacing w:before="40" w:after="40" w:line="276" w:lineRule="auto"/>
              <w:ind w:firstLine="0"/>
              <w:jc w:val="center"/>
            </w:pPr>
            <w:r>
              <w:rPr>
                <w:sz w:val="20"/>
              </w:rPr>
              <w:t>0.1591 ± 0.1805</w:t>
            </w:r>
          </w:p>
        </w:tc>
      </w:tr>
      <w:tr w14:paraId="754500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041" w:type="dxa"/>
            <w:vAlign w:val="center"/>
          </w:tcPr>
          <w:p w14:paraId="3B8E00C3">
            <w:pPr>
              <w:spacing w:before="40" w:after="40" w:line="276" w:lineRule="auto"/>
              <w:ind w:firstLine="0"/>
              <w:jc w:val="center"/>
            </w:pPr>
            <w:r>
              <w:rPr>
                <w:sz w:val="20"/>
              </w:rPr>
              <w:t>SC-RRT</w:t>
            </w:r>
          </w:p>
        </w:tc>
        <w:tc>
          <w:tcPr>
            <w:tcW w:w="2343" w:type="dxa"/>
            <w:vAlign w:val="center"/>
          </w:tcPr>
          <w:p w14:paraId="51C00976">
            <w:pPr>
              <w:spacing w:before="40" w:after="40" w:line="276" w:lineRule="auto"/>
              <w:ind w:firstLine="0"/>
              <w:jc w:val="center"/>
            </w:pPr>
            <w:r>
              <w:rPr>
                <w:sz w:val="20"/>
              </w:rPr>
              <w:t>500/500</w:t>
            </w:r>
          </w:p>
        </w:tc>
        <w:tc>
          <w:tcPr>
            <w:tcW w:w="2343" w:type="dxa"/>
            <w:vAlign w:val="center"/>
          </w:tcPr>
          <w:p w14:paraId="4F37DECA">
            <w:pPr>
              <w:spacing w:before="40" w:after="40" w:line="276" w:lineRule="auto"/>
              <w:ind w:firstLine="0"/>
              <w:jc w:val="center"/>
            </w:pPr>
            <w:r>
              <w:rPr>
                <w:sz w:val="20"/>
              </w:rPr>
              <w:t>2641.38 ± 102.08</w:t>
            </w:r>
          </w:p>
        </w:tc>
        <w:tc>
          <w:tcPr>
            <w:tcW w:w="2343" w:type="dxa"/>
            <w:vAlign w:val="center"/>
          </w:tcPr>
          <w:p w14:paraId="2D6ACCF1">
            <w:pPr>
              <w:spacing w:before="40" w:after="40" w:line="276" w:lineRule="auto"/>
              <w:ind w:firstLine="0"/>
              <w:jc w:val="center"/>
            </w:pPr>
            <w:r>
              <w:rPr>
                <w:sz w:val="20"/>
              </w:rPr>
              <w:t>0.0198 ± 0.0062</w:t>
            </w:r>
          </w:p>
        </w:tc>
      </w:tr>
    </w:tbl>
    <w:p w14:paraId="7320165D"/>
    <w:p w14:paraId="3106E299">
      <w:pPr>
        <w:pStyle w:val="79"/>
        <w:keepNext/>
      </w:pPr>
      <w:r>
        <w:t>表4-6 三维5000次扩展终值结果</w:t>
      </w:r>
    </w:p>
    <w:tbl>
      <w:tblPr>
        <w:tblStyle w:val="28"/>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75" w:type="dxa"/>
          <w:bottom w:w="65" w:type="dxa"/>
          <w:right w:w="75" w:type="dxa"/>
        </w:tblCellMar>
      </w:tblPr>
      <w:tblGrid>
        <w:gridCol w:w="2041"/>
        <w:gridCol w:w="2343"/>
        <w:gridCol w:w="2343"/>
        <w:gridCol w:w="2343"/>
      </w:tblGrid>
      <w:tr w14:paraId="3CFAE5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tblHeader/>
          <w:jc w:val="center"/>
        </w:trPr>
        <w:tc>
          <w:tcPr>
            <w:tcW w:w="2041" w:type="dxa"/>
            <w:shd w:val="clear" w:color="auto" w:fill="F2F2F2"/>
            <w:vAlign w:val="center"/>
          </w:tcPr>
          <w:p w14:paraId="702FE850">
            <w:pPr>
              <w:keepNext/>
              <w:spacing w:before="40" w:after="40" w:line="276" w:lineRule="auto"/>
              <w:ind w:firstLine="0"/>
              <w:jc w:val="center"/>
            </w:pPr>
            <w:r>
              <w:rPr>
                <w:b/>
                <w:sz w:val="20"/>
              </w:rPr>
              <w:t>算法</w:t>
            </w:r>
          </w:p>
        </w:tc>
        <w:tc>
          <w:tcPr>
            <w:tcW w:w="2343" w:type="dxa"/>
            <w:shd w:val="clear" w:color="auto" w:fill="F2F2F2"/>
            <w:vAlign w:val="center"/>
          </w:tcPr>
          <w:p w14:paraId="78F03201">
            <w:pPr>
              <w:keepNext/>
              <w:spacing w:before="40" w:after="40" w:line="276" w:lineRule="auto"/>
              <w:ind w:firstLine="0"/>
              <w:jc w:val="center"/>
            </w:pPr>
            <w:r>
              <w:rPr>
                <w:b/>
                <w:sz w:val="20"/>
              </w:rPr>
              <w:t>路径长度 / mm</w:t>
            </w:r>
          </w:p>
        </w:tc>
        <w:tc>
          <w:tcPr>
            <w:tcW w:w="2343" w:type="dxa"/>
            <w:shd w:val="clear" w:color="auto" w:fill="F2F2F2"/>
            <w:vAlign w:val="center"/>
          </w:tcPr>
          <w:p w14:paraId="31BB54C3">
            <w:pPr>
              <w:keepNext/>
              <w:spacing w:before="40" w:after="40" w:line="276" w:lineRule="auto"/>
              <w:ind w:firstLine="0"/>
              <w:jc w:val="center"/>
            </w:pPr>
            <w:r>
              <w:rPr>
                <w:b/>
                <w:sz w:val="20"/>
              </w:rPr>
              <w:t>总时间 / s</w:t>
            </w:r>
          </w:p>
        </w:tc>
        <w:tc>
          <w:tcPr>
            <w:tcW w:w="2343" w:type="dxa"/>
            <w:shd w:val="clear" w:color="auto" w:fill="F2F2F2"/>
            <w:vAlign w:val="center"/>
          </w:tcPr>
          <w:p w14:paraId="7AAF952D">
            <w:pPr>
              <w:keepNext/>
              <w:spacing w:before="40" w:after="40" w:line="276" w:lineRule="auto"/>
              <w:ind w:firstLine="0"/>
              <w:jc w:val="center"/>
            </w:pPr>
            <w:r>
              <w:rPr>
                <w:b/>
                <w:sz w:val="20"/>
              </w:rPr>
              <w:t>树节点数</w:t>
            </w:r>
          </w:p>
        </w:tc>
      </w:tr>
      <w:tr w14:paraId="339633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041" w:type="dxa"/>
            <w:vAlign w:val="center"/>
          </w:tcPr>
          <w:p w14:paraId="00420BD5">
            <w:pPr>
              <w:keepNext/>
              <w:spacing w:before="40" w:after="40" w:line="276" w:lineRule="auto"/>
              <w:ind w:firstLine="0"/>
              <w:jc w:val="center"/>
            </w:pPr>
            <w:r>
              <w:rPr>
                <w:sz w:val="20"/>
              </w:rPr>
              <w:t>RRT</w:t>
            </w:r>
          </w:p>
        </w:tc>
        <w:tc>
          <w:tcPr>
            <w:tcW w:w="2343" w:type="dxa"/>
            <w:vAlign w:val="center"/>
          </w:tcPr>
          <w:p w14:paraId="00CC98B0">
            <w:pPr>
              <w:keepNext/>
              <w:spacing w:before="40" w:after="40" w:line="276" w:lineRule="auto"/>
              <w:ind w:firstLine="0"/>
              <w:jc w:val="center"/>
            </w:pPr>
            <w:r>
              <w:rPr>
                <w:sz w:val="20"/>
              </w:rPr>
              <w:t>3066.26 ± 125.55</w:t>
            </w:r>
          </w:p>
        </w:tc>
        <w:tc>
          <w:tcPr>
            <w:tcW w:w="2343" w:type="dxa"/>
            <w:vAlign w:val="center"/>
          </w:tcPr>
          <w:p w14:paraId="440A5528">
            <w:pPr>
              <w:keepNext/>
              <w:spacing w:before="40" w:after="40" w:line="276" w:lineRule="auto"/>
              <w:ind w:firstLine="0"/>
              <w:jc w:val="center"/>
            </w:pPr>
            <w:r>
              <w:rPr>
                <w:sz w:val="20"/>
              </w:rPr>
              <w:t>0.3837 ± 0.0209</w:t>
            </w:r>
          </w:p>
        </w:tc>
        <w:tc>
          <w:tcPr>
            <w:tcW w:w="2343" w:type="dxa"/>
            <w:vAlign w:val="center"/>
          </w:tcPr>
          <w:p w14:paraId="5B71B0BD">
            <w:pPr>
              <w:keepNext/>
              <w:spacing w:before="40" w:after="40" w:line="276" w:lineRule="auto"/>
              <w:ind w:firstLine="0"/>
              <w:jc w:val="center"/>
            </w:pPr>
            <w:r>
              <w:rPr>
                <w:sz w:val="20"/>
              </w:rPr>
              <w:t>4405.5 ± 43.6</w:t>
            </w:r>
          </w:p>
        </w:tc>
      </w:tr>
      <w:tr w14:paraId="564AD6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041" w:type="dxa"/>
            <w:vAlign w:val="center"/>
          </w:tcPr>
          <w:p w14:paraId="24458457">
            <w:pPr>
              <w:keepNext/>
              <w:spacing w:before="40" w:after="40" w:line="276" w:lineRule="auto"/>
              <w:ind w:firstLine="0"/>
              <w:jc w:val="center"/>
            </w:pPr>
            <w:r>
              <w:rPr>
                <w:sz w:val="20"/>
              </w:rPr>
              <w:t>RRT-Connect</w:t>
            </w:r>
          </w:p>
        </w:tc>
        <w:tc>
          <w:tcPr>
            <w:tcW w:w="2343" w:type="dxa"/>
            <w:vAlign w:val="center"/>
          </w:tcPr>
          <w:p w14:paraId="19F2D3B3">
            <w:pPr>
              <w:keepNext/>
              <w:spacing w:before="40" w:after="40" w:line="276" w:lineRule="auto"/>
              <w:ind w:firstLine="0"/>
              <w:jc w:val="center"/>
            </w:pPr>
            <w:r>
              <w:rPr>
                <w:sz w:val="20"/>
              </w:rPr>
              <w:t>2606.50 ± 95.23</w:t>
            </w:r>
          </w:p>
        </w:tc>
        <w:tc>
          <w:tcPr>
            <w:tcW w:w="2343" w:type="dxa"/>
            <w:vAlign w:val="center"/>
          </w:tcPr>
          <w:p w14:paraId="13B0488E">
            <w:pPr>
              <w:keepNext/>
              <w:spacing w:before="40" w:after="40" w:line="276" w:lineRule="auto"/>
              <w:ind w:firstLine="0"/>
              <w:jc w:val="center"/>
            </w:pPr>
            <w:r>
              <w:rPr>
                <w:sz w:val="20"/>
              </w:rPr>
              <w:t>0.6650 ± 0.0345</w:t>
            </w:r>
          </w:p>
        </w:tc>
        <w:tc>
          <w:tcPr>
            <w:tcW w:w="2343" w:type="dxa"/>
            <w:vAlign w:val="center"/>
          </w:tcPr>
          <w:p w14:paraId="6CDC30D9">
            <w:pPr>
              <w:keepNext/>
              <w:spacing w:before="40" w:after="40" w:line="276" w:lineRule="auto"/>
              <w:ind w:firstLine="0"/>
              <w:jc w:val="center"/>
            </w:pPr>
            <w:r>
              <w:rPr>
                <w:sz w:val="20"/>
              </w:rPr>
              <w:t>4686.5 ± 68.4</w:t>
            </w:r>
          </w:p>
        </w:tc>
      </w:tr>
      <w:tr w14:paraId="254E1F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041" w:type="dxa"/>
            <w:vAlign w:val="center"/>
          </w:tcPr>
          <w:p w14:paraId="101B0079">
            <w:pPr>
              <w:keepNext/>
              <w:spacing w:before="40" w:after="40" w:line="276" w:lineRule="auto"/>
              <w:ind w:firstLine="0"/>
              <w:jc w:val="center"/>
            </w:pPr>
            <w:r>
              <w:rPr>
                <w:sz w:val="20"/>
              </w:rPr>
              <w:t>RRT*</w:t>
            </w:r>
          </w:p>
        </w:tc>
        <w:tc>
          <w:tcPr>
            <w:tcW w:w="2343" w:type="dxa"/>
            <w:vAlign w:val="center"/>
          </w:tcPr>
          <w:p w14:paraId="76EDCFF6">
            <w:pPr>
              <w:keepNext/>
              <w:spacing w:before="40" w:after="40" w:line="276" w:lineRule="auto"/>
              <w:ind w:firstLine="0"/>
              <w:jc w:val="center"/>
            </w:pPr>
            <w:r>
              <w:rPr>
                <w:sz w:val="20"/>
              </w:rPr>
              <w:t>2466.10 ± 62.12</w:t>
            </w:r>
          </w:p>
        </w:tc>
        <w:tc>
          <w:tcPr>
            <w:tcW w:w="2343" w:type="dxa"/>
            <w:vAlign w:val="center"/>
          </w:tcPr>
          <w:p w14:paraId="1C4FFE70">
            <w:pPr>
              <w:keepNext/>
              <w:spacing w:before="40" w:after="40" w:line="276" w:lineRule="auto"/>
              <w:ind w:firstLine="0"/>
              <w:jc w:val="center"/>
            </w:pPr>
            <w:r>
              <w:rPr>
                <w:sz w:val="20"/>
              </w:rPr>
              <w:t>1.3745 ± 0.0692</w:t>
            </w:r>
          </w:p>
        </w:tc>
        <w:tc>
          <w:tcPr>
            <w:tcW w:w="2343" w:type="dxa"/>
            <w:vAlign w:val="center"/>
          </w:tcPr>
          <w:p w14:paraId="43E0E215">
            <w:pPr>
              <w:keepNext/>
              <w:spacing w:before="40" w:after="40" w:line="276" w:lineRule="auto"/>
              <w:ind w:firstLine="0"/>
              <w:jc w:val="center"/>
            </w:pPr>
            <w:r>
              <w:rPr>
                <w:sz w:val="20"/>
              </w:rPr>
              <w:t>4405.5 ± 43.6</w:t>
            </w:r>
          </w:p>
        </w:tc>
      </w:tr>
      <w:tr w14:paraId="12E1E0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041" w:type="dxa"/>
            <w:vAlign w:val="center"/>
          </w:tcPr>
          <w:p w14:paraId="41283746">
            <w:pPr>
              <w:keepNext/>
              <w:spacing w:before="40" w:after="40" w:line="276" w:lineRule="auto"/>
              <w:ind w:firstLine="0"/>
              <w:jc w:val="center"/>
            </w:pPr>
            <w:r>
              <w:rPr>
                <w:sz w:val="20"/>
              </w:rPr>
              <w:t>Informed-RRT*</w:t>
            </w:r>
          </w:p>
        </w:tc>
        <w:tc>
          <w:tcPr>
            <w:tcW w:w="2343" w:type="dxa"/>
            <w:vAlign w:val="center"/>
          </w:tcPr>
          <w:p w14:paraId="3EDD4CCD">
            <w:pPr>
              <w:keepNext/>
              <w:spacing w:before="40" w:after="40" w:line="276" w:lineRule="auto"/>
              <w:ind w:firstLine="0"/>
              <w:jc w:val="center"/>
            </w:pPr>
            <w:r>
              <w:rPr>
                <w:sz w:val="20"/>
              </w:rPr>
              <w:t>2388.33 ± 46.91</w:t>
            </w:r>
          </w:p>
        </w:tc>
        <w:tc>
          <w:tcPr>
            <w:tcW w:w="2343" w:type="dxa"/>
            <w:vAlign w:val="center"/>
          </w:tcPr>
          <w:p w14:paraId="4AD81C2E">
            <w:pPr>
              <w:keepNext/>
              <w:spacing w:before="40" w:after="40" w:line="276" w:lineRule="auto"/>
              <w:ind w:firstLine="0"/>
              <w:jc w:val="center"/>
            </w:pPr>
            <w:r>
              <w:rPr>
                <w:sz w:val="20"/>
              </w:rPr>
              <w:t>2.7590 ± 0.6345</w:t>
            </w:r>
          </w:p>
        </w:tc>
        <w:tc>
          <w:tcPr>
            <w:tcW w:w="2343" w:type="dxa"/>
            <w:vAlign w:val="center"/>
          </w:tcPr>
          <w:p w14:paraId="5FBDE408">
            <w:pPr>
              <w:keepNext/>
              <w:spacing w:before="40" w:after="40" w:line="276" w:lineRule="auto"/>
              <w:ind w:firstLine="0"/>
              <w:jc w:val="center"/>
            </w:pPr>
            <w:r>
              <w:rPr>
                <w:sz w:val="20"/>
              </w:rPr>
              <w:t>4258.8 ± 122.7</w:t>
            </w:r>
          </w:p>
        </w:tc>
      </w:tr>
      <w:tr w14:paraId="256B9C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041" w:type="dxa"/>
            <w:vAlign w:val="center"/>
          </w:tcPr>
          <w:p w14:paraId="7E60D217">
            <w:pPr>
              <w:keepNext/>
              <w:spacing w:before="40" w:after="40" w:line="276" w:lineRule="auto"/>
              <w:ind w:firstLine="0"/>
              <w:jc w:val="center"/>
            </w:pPr>
            <w:r>
              <w:rPr>
                <w:sz w:val="20"/>
              </w:rPr>
              <w:t>Dynamic-RRT¹</w:t>
            </w:r>
          </w:p>
        </w:tc>
        <w:tc>
          <w:tcPr>
            <w:tcW w:w="2343" w:type="dxa"/>
            <w:vAlign w:val="center"/>
          </w:tcPr>
          <w:p w14:paraId="6368B6B6">
            <w:pPr>
              <w:keepNext/>
              <w:spacing w:before="40" w:after="40" w:line="276" w:lineRule="auto"/>
              <w:ind w:firstLine="0"/>
              <w:jc w:val="center"/>
            </w:pPr>
            <w:r>
              <w:rPr>
                <w:sz w:val="20"/>
              </w:rPr>
              <w:t>2916.09 ± 133.58</w:t>
            </w:r>
          </w:p>
        </w:tc>
        <w:tc>
          <w:tcPr>
            <w:tcW w:w="2343" w:type="dxa"/>
            <w:vAlign w:val="center"/>
          </w:tcPr>
          <w:p w14:paraId="433655C9">
            <w:pPr>
              <w:keepNext/>
              <w:spacing w:before="40" w:after="40" w:line="276" w:lineRule="auto"/>
              <w:ind w:firstLine="0"/>
              <w:jc w:val="center"/>
            </w:pPr>
            <w:r>
              <w:rPr>
                <w:sz w:val="20"/>
              </w:rPr>
              <w:t>1.8823 ± 0.0873</w:t>
            </w:r>
          </w:p>
        </w:tc>
        <w:tc>
          <w:tcPr>
            <w:tcW w:w="2343" w:type="dxa"/>
            <w:vAlign w:val="center"/>
          </w:tcPr>
          <w:p w14:paraId="1685C88E">
            <w:pPr>
              <w:keepNext/>
              <w:spacing w:before="40" w:after="40" w:line="276" w:lineRule="auto"/>
              <w:ind w:firstLine="0"/>
              <w:jc w:val="center"/>
            </w:pPr>
            <w:r>
              <w:rPr>
                <w:sz w:val="20"/>
              </w:rPr>
              <w:t>3947.0 ± 46.8</w:t>
            </w:r>
          </w:p>
        </w:tc>
      </w:tr>
      <w:tr w14:paraId="0F7AAB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2041" w:type="dxa"/>
            <w:vAlign w:val="center"/>
          </w:tcPr>
          <w:p w14:paraId="2C5E79DE">
            <w:pPr>
              <w:spacing w:before="40" w:after="40" w:line="276" w:lineRule="auto"/>
              <w:ind w:firstLine="0"/>
              <w:jc w:val="center"/>
            </w:pPr>
            <w:r>
              <w:rPr>
                <w:sz w:val="20"/>
              </w:rPr>
              <w:t>SC-RRT</w:t>
            </w:r>
          </w:p>
        </w:tc>
        <w:tc>
          <w:tcPr>
            <w:tcW w:w="2343" w:type="dxa"/>
            <w:vAlign w:val="center"/>
          </w:tcPr>
          <w:p w14:paraId="3F75FE0F">
            <w:pPr>
              <w:spacing w:before="40" w:after="40" w:line="276" w:lineRule="auto"/>
              <w:ind w:firstLine="0"/>
              <w:jc w:val="center"/>
            </w:pPr>
            <w:r>
              <w:rPr>
                <w:sz w:val="20"/>
              </w:rPr>
              <w:t>2570.91 ± 69.13</w:t>
            </w:r>
          </w:p>
        </w:tc>
        <w:tc>
          <w:tcPr>
            <w:tcW w:w="2343" w:type="dxa"/>
            <w:vAlign w:val="center"/>
          </w:tcPr>
          <w:p w14:paraId="2CA05912">
            <w:pPr>
              <w:spacing w:before="40" w:after="40" w:line="276" w:lineRule="auto"/>
              <w:ind w:firstLine="0"/>
              <w:jc w:val="center"/>
            </w:pPr>
            <w:r>
              <w:rPr>
                <w:sz w:val="20"/>
              </w:rPr>
              <w:t>0.8968 ± 0.0617</w:t>
            </w:r>
          </w:p>
        </w:tc>
        <w:tc>
          <w:tcPr>
            <w:tcW w:w="2343" w:type="dxa"/>
            <w:vAlign w:val="center"/>
          </w:tcPr>
          <w:p w14:paraId="1E85D64B">
            <w:pPr>
              <w:spacing w:before="40" w:after="40" w:line="276" w:lineRule="auto"/>
              <w:ind w:firstLine="0"/>
              <w:jc w:val="center"/>
            </w:pPr>
            <w:r>
              <w:rPr>
                <w:sz w:val="20"/>
              </w:rPr>
              <w:t>3519.1 ± 94.8</w:t>
            </w:r>
          </w:p>
        </w:tc>
      </w:tr>
    </w:tbl>
    <w:p w14:paraId="7000E737"/>
    <w:p w14:paraId="6DB30C7C">
      <w:r>
        <w:t>三维SC-RRT首解平均时间0.0198 s，仍慢于RRT-Connect的0.0112 s。终值路径平均长度2570.91 mm，相比RRT-Connect的2606.50 mm缩短1.37%，改善幅度小于二维。RRT*与Informed-RRT*终值分别为2466.10 mm和2388.33 mm，保持长度优势。维度与障碍构造共同改变了搜索问题，因此二维与三维改善幅度的差别不能简单归因于一个机制。</w:t>
      </w:r>
    </w:p>
    <w:p w14:paraId="08F2D348">
      <w:pPr>
        <w:keepNext/>
        <w:spacing w:before="100" w:line="240" w:lineRule="auto"/>
        <w:ind w:firstLine="0"/>
        <w:jc w:val="center"/>
      </w:pPr>
      <w:r>
        <w:drawing>
          <wp:inline distT="0" distB="0" distL="0" distR="0">
            <wp:extent cx="5687695" cy="4536440"/>
            <wp:effectExtent l="0" t="0" r="0" b="0"/>
            <wp:docPr id="7" name="Picture 7" descr="图4-3 三维同一地图与种子下的路径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图4-3 三维同一地图与种子下的路径示例"/>
                    <pic:cNvPicPr>
                      <a:picLocks noChangeAspect="1"/>
                    </pic:cNvPicPr>
                  </pic:nvPicPr>
                  <pic:blipFill>
                    <a:blip r:embed="rId16"/>
                    <a:stretch>
                      <a:fillRect/>
                    </a:stretch>
                  </pic:blipFill>
                  <pic:spPr>
                    <a:xfrm>
                      <a:off x="0" y="0"/>
                      <a:ext cx="5688000" cy="4537031"/>
                    </a:xfrm>
                    <a:prstGeom prst="rect">
                      <a:avLst/>
                    </a:prstGeom>
                  </pic:spPr>
                </pic:pic>
              </a:graphicData>
            </a:graphic>
          </wp:inline>
        </w:drawing>
      </w:r>
    </w:p>
    <w:p w14:paraId="66A029BA">
      <w:pPr>
        <w:pStyle w:val="79"/>
        <w:keepNext/>
      </w:pPr>
      <w:r>
        <w:t>图4-3 三维同一地图与种子下的路径示例</w:t>
      </w:r>
    </w:p>
    <w:p w14:paraId="296DA3BB">
      <w:pPr>
        <w:spacing w:line="276" w:lineRule="auto"/>
        <w:ind w:firstLine="0"/>
      </w:pPr>
      <w:r>
        <w:rPr>
          <w:sz w:val="18"/>
        </w:rPr>
        <w:t>来源：公平对比实验v2；为静态点机器人工作空间。</w:t>
      </w:r>
    </w:p>
    <w:p w14:paraId="6E2F0AA2">
      <w:pPr>
        <w:keepNext/>
        <w:spacing w:before="100" w:line="240" w:lineRule="auto"/>
        <w:ind w:firstLine="0"/>
        <w:jc w:val="center"/>
      </w:pPr>
      <w:r>
        <w:drawing>
          <wp:inline distT="0" distB="0" distL="0" distR="0">
            <wp:extent cx="5399405" cy="3904615"/>
            <wp:effectExtent l="0" t="0" r="0" b="0"/>
            <wp:docPr id="8" name="Picture 8" descr="图4-4 路径效率与成功比例随扩展预算的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图4-4 路径效率与成功比例随扩展预算的变化"/>
                    <pic:cNvPicPr>
                      <a:picLocks noChangeAspect="1"/>
                    </pic:cNvPicPr>
                  </pic:nvPicPr>
                  <pic:blipFill>
                    <a:blip r:embed="rId17"/>
                    <a:stretch>
                      <a:fillRect/>
                    </a:stretch>
                  </pic:blipFill>
                  <pic:spPr>
                    <a:xfrm>
                      <a:off x="0" y="0"/>
                      <a:ext cx="5400000" cy="3904781"/>
                    </a:xfrm>
                    <a:prstGeom prst="rect">
                      <a:avLst/>
                    </a:prstGeom>
                  </pic:spPr>
                </pic:pic>
              </a:graphicData>
            </a:graphic>
          </wp:inline>
        </w:drawing>
      </w:r>
    </w:p>
    <w:p w14:paraId="1DB7D08E">
      <w:pPr>
        <w:pStyle w:val="79"/>
        <w:keepNext/>
      </w:pPr>
      <w:r>
        <w:t>图4-4 路径效率与成功比例随扩展预算的变化</w:t>
      </w:r>
    </w:p>
    <w:p w14:paraId="2FC89A0C">
      <w:pPr>
        <w:spacing w:line="276" w:lineRule="auto"/>
        <w:ind w:firstLine="0"/>
      </w:pPr>
      <w:r>
        <w:rPr>
          <w:sz w:val="18"/>
        </w:rPr>
        <w:t>来源：公平对比实验v2，第九版修订图。不同方法按原子扩展次数对齐。</w:t>
      </w:r>
    </w:p>
    <w:p w14:paraId="3DCA9C9F">
      <w:r>
        <w:t>图4-4从预算过程观察方法差异。快速建立连通关系与持续改善已有路径可以发生在不同阶段，首解速度较快不保证后期路径最短。终值节点数和边检查次数也表明，节点少不一定代表计算量小，因为每个新节点可能引发多次邻域边检查。评价计算效率时，应同时考虑运行时间和具体操作计数。</w:t>
      </w:r>
    </w:p>
    <w:p w14:paraId="20E74692">
      <w:pPr>
        <w:pStyle w:val="4"/>
        <w:spacing w:before="240" w:after="240"/>
      </w:pPr>
      <w:bookmarkStart w:id="67" w:name="_Toc243339247"/>
      <w:r>
        <w:t>4.5.3 消融实验与结果讨论</w:t>
      </w:r>
      <w:bookmarkEnd w:id="67"/>
    </w:p>
    <w:p w14:paraId="638B1B77">
      <w:r>
        <w:t>第一组消融关闭知情采样与反馈的整组机制，保留其余双向与局部重布线结构。该对照在原始文件中称为no-ADCS，但实际同时改变了受限采样及反馈路径，不是只将两个椭球改为对称形状的单因素实验。因此，其结果用于解释整组机制的增量贡献。</w:t>
      </w:r>
    </w:p>
    <w:p w14:paraId="6AA9888F">
      <w:pPr>
        <w:pStyle w:val="79"/>
        <w:keepNext/>
      </w:pPr>
      <w:r>
        <w:t>表4-7 关闭知情采样与反馈整组机制的消融结果</w:t>
      </w:r>
    </w:p>
    <w:tbl>
      <w:tblPr>
        <w:tblStyle w:val="28"/>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75" w:type="dxa"/>
          <w:bottom w:w="65" w:type="dxa"/>
          <w:right w:w="75" w:type="dxa"/>
        </w:tblCellMar>
      </w:tblPr>
      <w:tblGrid>
        <w:gridCol w:w="1814"/>
        <w:gridCol w:w="1814"/>
        <w:gridCol w:w="1814"/>
        <w:gridCol w:w="1814"/>
        <w:gridCol w:w="1814"/>
      </w:tblGrid>
      <w:tr w14:paraId="73820D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tblHeader/>
          <w:jc w:val="center"/>
        </w:trPr>
        <w:tc>
          <w:tcPr>
            <w:tcW w:w="1814" w:type="dxa"/>
            <w:shd w:val="clear" w:color="auto" w:fill="F2F2F2"/>
            <w:vAlign w:val="center"/>
          </w:tcPr>
          <w:p w14:paraId="04E8B81C">
            <w:pPr>
              <w:keepNext/>
              <w:spacing w:before="40" w:after="40" w:line="276" w:lineRule="auto"/>
              <w:ind w:firstLine="0"/>
              <w:jc w:val="center"/>
            </w:pPr>
            <w:r>
              <w:rPr>
                <w:b/>
                <w:sz w:val="20"/>
              </w:rPr>
              <w:t>维度</w:t>
            </w:r>
          </w:p>
        </w:tc>
        <w:tc>
          <w:tcPr>
            <w:tcW w:w="1814" w:type="dxa"/>
            <w:shd w:val="clear" w:color="auto" w:fill="F2F2F2"/>
            <w:vAlign w:val="center"/>
          </w:tcPr>
          <w:p w14:paraId="6EEBBBB2">
            <w:pPr>
              <w:keepNext/>
              <w:spacing w:before="40" w:after="40" w:line="276" w:lineRule="auto"/>
              <w:ind w:firstLine="0"/>
              <w:jc w:val="center"/>
            </w:pPr>
            <w:r>
              <w:rPr>
                <w:b/>
                <w:sz w:val="20"/>
              </w:rPr>
              <w:t>对照长度 / mm</w:t>
            </w:r>
          </w:p>
        </w:tc>
        <w:tc>
          <w:tcPr>
            <w:tcW w:w="1814" w:type="dxa"/>
            <w:shd w:val="clear" w:color="auto" w:fill="F2F2F2"/>
            <w:vAlign w:val="center"/>
          </w:tcPr>
          <w:p w14:paraId="648C9E56">
            <w:pPr>
              <w:keepNext/>
              <w:spacing w:before="40" w:after="40" w:line="276" w:lineRule="auto"/>
              <w:ind w:firstLine="0"/>
              <w:jc w:val="center"/>
            </w:pPr>
            <w:r>
              <w:rPr>
                <w:b/>
                <w:sz w:val="20"/>
              </w:rPr>
              <w:t>完整方法 / mm</w:t>
            </w:r>
          </w:p>
        </w:tc>
        <w:tc>
          <w:tcPr>
            <w:tcW w:w="1814" w:type="dxa"/>
            <w:shd w:val="clear" w:color="auto" w:fill="F2F2F2"/>
            <w:vAlign w:val="center"/>
          </w:tcPr>
          <w:p w14:paraId="01A3410F">
            <w:pPr>
              <w:keepNext/>
              <w:spacing w:before="40" w:after="40" w:line="276" w:lineRule="auto"/>
              <w:ind w:firstLine="0"/>
              <w:jc w:val="center"/>
            </w:pPr>
            <w:r>
              <w:rPr>
                <w:b/>
                <w:sz w:val="20"/>
              </w:rPr>
              <w:t>相对缩短</w:t>
            </w:r>
          </w:p>
        </w:tc>
        <w:tc>
          <w:tcPr>
            <w:tcW w:w="1814" w:type="dxa"/>
            <w:shd w:val="clear" w:color="auto" w:fill="F2F2F2"/>
            <w:vAlign w:val="center"/>
          </w:tcPr>
          <w:p w14:paraId="6F037A91">
            <w:pPr>
              <w:keepNext/>
              <w:spacing w:before="40" w:after="40" w:line="276" w:lineRule="auto"/>
              <w:ind w:firstLine="0"/>
              <w:jc w:val="center"/>
            </w:pPr>
            <w:r>
              <w:rPr>
                <w:b/>
                <w:sz w:val="20"/>
              </w:rPr>
              <w:t>95%区间</w:t>
            </w:r>
          </w:p>
        </w:tc>
      </w:tr>
      <w:tr w14:paraId="463CF5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814" w:type="dxa"/>
            <w:vAlign w:val="center"/>
          </w:tcPr>
          <w:p w14:paraId="5F51AFBB">
            <w:pPr>
              <w:keepNext/>
              <w:spacing w:before="40" w:after="40" w:line="276" w:lineRule="auto"/>
              <w:ind w:firstLine="0"/>
              <w:jc w:val="center"/>
            </w:pPr>
            <w:r>
              <w:rPr>
                <w:sz w:val="20"/>
              </w:rPr>
              <w:t>二维</w:t>
            </w:r>
          </w:p>
        </w:tc>
        <w:tc>
          <w:tcPr>
            <w:tcW w:w="1814" w:type="dxa"/>
            <w:vAlign w:val="center"/>
          </w:tcPr>
          <w:p w14:paraId="5BCF7578">
            <w:pPr>
              <w:keepNext/>
              <w:spacing w:before="40" w:after="40" w:line="276" w:lineRule="auto"/>
              <w:ind w:firstLine="0"/>
              <w:jc w:val="center"/>
            </w:pPr>
            <w:r>
              <w:rPr>
                <w:sz w:val="20"/>
              </w:rPr>
              <w:t>2050.97</w:t>
            </w:r>
          </w:p>
        </w:tc>
        <w:tc>
          <w:tcPr>
            <w:tcW w:w="1814" w:type="dxa"/>
            <w:vAlign w:val="center"/>
          </w:tcPr>
          <w:p w14:paraId="40DA62F2">
            <w:pPr>
              <w:keepNext/>
              <w:spacing w:before="40" w:after="40" w:line="276" w:lineRule="auto"/>
              <w:ind w:firstLine="0"/>
              <w:jc w:val="center"/>
            </w:pPr>
            <w:r>
              <w:rPr>
                <w:sz w:val="20"/>
              </w:rPr>
              <w:t>2022.93</w:t>
            </w:r>
          </w:p>
        </w:tc>
        <w:tc>
          <w:tcPr>
            <w:tcW w:w="1814" w:type="dxa"/>
            <w:vAlign w:val="center"/>
          </w:tcPr>
          <w:p w14:paraId="1512BC67">
            <w:pPr>
              <w:keepNext/>
              <w:spacing w:before="40" w:after="40" w:line="276" w:lineRule="auto"/>
              <w:ind w:firstLine="0"/>
              <w:jc w:val="center"/>
            </w:pPr>
            <w:r>
              <w:rPr>
                <w:sz w:val="20"/>
              </w:rPr>
              <w:t>1.367%</w:t>
            </w:r>
          </w:p>
        </w:tc>
        <w:tc>
          <w:tcPr>
            <w:tcW w:w="1814" w:type="dxa"/>
            <w:vAlign w:val="center"/>
          </w:tcPr>
          <w:p w14:paraId="0AD270C5">
            <w:pPr>
              <w:keepNext/>
              <w:spacing w:before="40" w:after="40" w:line="276" w:lineRule="auto"/>
              <w:ind w:firstLine="0"/>
              <w:jc w:val="center"/>
            </w:pPr>
            <w:r>
              <w:rPr>
                <w:sz w:val="20"/>
              </w:rPr>
              <w:t>[1.071%, 1.654%]</w:t>
            </w:r>
          </w:p>
        </w:tc>
      </w:tr>
      <w:tr w14:paraId="2173D4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814" w:type="dxa"/>
            <w:vAlign w:val="center"/>
          </w:tcPr>
          <w:p w14:paraId="2BA806F1">
            <w:pPr>
              <w:spacing w:before="40" w:after="40" w:line="276" w:lineRule="auto"/>
              <w:ind w:firstLine="0"/>
              <w:jc w:val="center"/>
            </w:pPr>
            <w:r>
              <w:rPr>
                <w:sz w:val="20"/>
              </w:rPr>
              <w:t>三维</w:t>
            </w:r>
          </w:p>
        </w:tc>
        <w:tc>
          <w:tcPr>
            <w:tcW w:w="1814" w:type="dxa"/>
            <w:vAlign w:val="center"/>
          </w:tcPr>
          <w:p w14:paraId="681F2324">
            <w:pPr>
              <w:spacing w:before="40" w:after="40" w:line="276" w:lineRule="auto"/>
              <w:ind w:firstLine="0"/>
              <w:jc w:val="center"/>
            </w:pPr>
            <w:r>
              <w:rPr>
                <w:sz w:val="20"/>
              </w:rPr>
              <w:t>2586.30</w:t>
            </w:r>
          </w:p>
        </w:tc>
        <w:tc>
          <w:tcPr>
            <w:tcW w:w="1814" w:type="dxa"/>
            <w:vAlign w:val="center"/>
          </w:tcPr>
          <w:p w14:paraId="0D9402E2">
            <w:pPr>
              <w:spacing w:before="40" w:after="40" w:line="276" w:lineRule="auto"/>
              <w:ind w:firstLine="0"/>
              <w:jc w:val="center"/>
            </w:pPr>
            <w:r>
              <w:rPr>
                <w:sz w:val="20"/>
              </w:rPr>
              <w:t>2570.91</w:t>
            </w:r>
          </w:p>
        </w:tc>
        <w:tc>
          <w:tcPr>
            <w:tcW w:w="1814" w:type="dxa"/>
            <w:vAlign w:val="center"/>
          </w:tcPr>
          <w:p w14:paraId="023F53AC">
            <w:pPr>
              <w:spacing w:before="40" w:after="40" w:line="276" w:lineRule="auto"/>
              <w:ind w:firstLine="0"/>
              <w:jc w:val="center"/>
            </w:pPr>
            <w:r>
              <w:rPr>
                <w:sz w:val="20"/>
              </w:rPr>
              <w:t>0.595%</w:t>
            </w:r>
          </w:p>
        </w:tc>
        <w:tc>
          <w:tcPr>
            <w:tcW w:w="1814" w:type="dxa"/>
            <w:vAlign w:val="center"/>
          </w:tcPr>
          <w:p w14:paraId="5279B078">
            <w:pPr>
              <w:spacing w:before="40" w:after="40" w:line="276" w:lineRule="auto"/>
              <w:ind w:firstLine="0"/>
              <w:jc w:val="center"/>
            </w:pPr>
            <w:r>
              <w:rPr>
                <w:sz w:val="20"/>
              </w:rPr>
              <w:t>[0.399%, 0.837%]</w:t>
            </w:r>
          </w:p>
        </w:tc>
      </w:tr>
    </w:tbl>
    <w:p w14:paraId="73A34264"/>
    <w:p w14:paraId="5936E2AC">
      <w:r>
        <w:t>两个维度均在10张地图上得到均值缩短，但幅度有限。该结果不能证明“双椭球非对称性”单独产生了全部收益，因为消融同时移除了多项行为。若论文将研究贡献保持在当前机制组合与实证评价范围内，无需为追求更大百分比而增加新对照或改变算法。</w:t>
      </w:r>
    </w:p>
    <w:p w14:paraId="29A2D380">
      <w:r>
        <w:t>第二组采用匹配启动条件的SSFOR消融。完整反馈与固定参数版本在相同状态下开始知情采样；固定版本启用后设置γ=1.5、p=0.8，完整版本采用反馈律。两个维度各500对运行，启动记录逐对匹配。这样的设计减少了“一个方法先启用知情采样，另一个等待窗口”造成的混杂。</w:t>
      </w:r>
    </w:p>
    <w:p w14:paraId="6698A85E">
      <w:pPr>
        <w:pStyle w:val="79"/>
        <w:keepNext/>
      </w:pPr>
      <w:r>
        <w:t>表4-8 匹配启动条件的SSFOR消融结果</w:t>
      </w:r>
    </w:p>
    <w:tbl>
      <w:tblPr>
        <w:tblStyle w:val="28"/>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75" w:type="dxa"/>
          <w:bottom w:w="65" w:type="dxa"/>
          <w:right w:w="75" w:type="dxa"/>
        </w:tblCellMar>
      </w:tblPr>
      <w:tblGrid>
        <w:gridCol w:w="1814"/>
        <w:gridCol w:w="1814"/>
        <w:gridCol w:w="1814"/>
        <w:gridCol w:w="1814"/>
        <w:gridCol w:w="1814"/>
      </w:tblGrid>
      <w:tr w14:paraId="74DC09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tblHeader/>
          <w:jc w:val="center"/>
        </w:trPr>
        <w:tc>
          <w:tcPr>
            <w:tcW w:w="1814" w:type="dxa"/>
            <w:shd w:val="clear" w:color="auto" w:fill="F2F2F2"/>
            <w:vAlign w:val="center"/>
          </w:tcPr>
          <w:p w14:paraId="09801A4F">
            <w:pPr>
              <w:keepNext/>
              <w:spacing w:before="40" w:after="40" w:line="276" w:lineRule="auto"/>
              <w:ind w:firstLine="0"/>
              <w:jc w:val="center"/>
            </w:pPr>
            <w:r>
              <w:rPr>
                <w:b/>
                <w:sz w:val="20"/>
              </w:rPr>
              <w:t>维度</w:t>
            </w:r>
          </w:p>
        </w:tc>
        <w:tc>
          <w:tcPr>
            <w:tcW w:w="1814" w:type="dxa"/>
            <w:shd w:val="clear" w:color="auto" w:fill="F2F2F2"/>
            <w:vAlign w:val="center"/>
          </w:tcPr>
          <w:p w14:paraId="127DFB5B">
            <w:pPr>
              <w:keepNext/>
              <w:spacing w:before="40" w:after="40" w:line="276" w:lineRule="auto"/>
              <w:ind w:firstLine="0"/>
              <w:jc w:val="center"/>
            </w:pPr>
            <w:r>
              <w:rPr>
                <w:b/>
                <w:sz w:val="20"/>
              </w:rPr>
              <w:t>固定参数 / mm</w:t>
            </w:r>
          </w:p>
        </w:tc>
        <w:tc>
          <w:tcPr>
            <w:tcW w:w="1814" w:type="dxa"/>
            <w:shd w:val="clear" w:color="auto" w:fill="F2F2F2"/>
            <w:vAlign w:val="center"/>
          </w:tcPr>
          <w:p w14:paraId="06207D72">
            <w:pPr>
              <w:keepNext/>
              <w:spacing w:before="40" w:after="40" w:line="276" w:lineRule="auto"/>
              <w:ind w:firstLine="0"/>
              <w:jc w:val="center"/>
            </w:pPr>
            <w:r>
              <w:rPr>
                <w:b/>
                <w:sz w:val="20"/>
              </w:rPr>
              <w:t>完整反馈 / mm</w:t>
            </w:r>
          </w:p>
        </w:tc>
        <w:tc>
          <w:tcPr>
            <w:tcW w:w="1814" w:type="dxa"/>
            <w:shd w:val="clear" w:color="auto" w:fill="F2F2F2"/>
            <w:vAlign w:val="center"/>
          </w:tcPr>
          <w:p w14:paraId="27793869">
            <w:pPr>
              <w:keepNext/>
              <w:spacing w:before="40" w:after="40" w:line="276" w:lineRule="auto"/>
              <w:ind w:firstLine="0"/>
              <w:jc w:val="center"/>
            </w:pPr>
            <w:r>
              <w:rPr>
                <w:b/>
                <w:sz w:val="20"/>
              </w:rPr>
              <w:t>相对缩短</w:t>
            </w:r>
          </w:p>
        </w:tc>
        <w:tc>
          <w:tcPr>
            <w:tcW w:w="1814" w:type="dxa"/>
            <w:shd w:val="clear" w:color="auto" w:fill="F2F2F2"/>
            <w:vAlign w:val="center"/>
          </w:tcPr>
          <w:p w14:paraId="7075DE3F">
            <w:pPr>
              <w:keepNext/>
              <w:spacing w:before="40" w:after="40" w:line="276" w:lineRule="auto"/>
              <w:ind w:firstLine="0"/>
              <w:jc w:val="center"/>
            </w:pPr>
            <w:r>
              <w:rPr>
                <w:b/>
                <w:sz w:val="20"/>
              </w:rPr>
              <w:t>95%区间</w:t>
            </w:r>
          </w:p>
        </w:tc>
      </w:tr>
      <w:tr w14:paraId="225F48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814" w:type="dxa"/>
            <w:vAlign w:val="center"/>
          </w:tcPr>
          <w:p w14:paraId="386096B2">
            <w:pPr>
              <w:keepNext/>
              <w:spacing w:before="40" w:after="40" w:line="276" w:lineRule="auto"/>
              <w:ind w:firstLine="0"/>
              <w:jc w:val="center"/>
            </w:pPr>
            <w:r>
              <w:rPr>
                <w:sz w:val="20"/>
              </w:rPr>
              <w:t>二维</w:t>
            </w:r>
          </w:p>
        </w:tc>
        <w:tc>
          <w:tcPr>
            <w:tcW w:w="1814" w:type="dxa"/>
            <w:vAlign w:val="center"/>
          </w:tcPr>
          <w:p w14:paraId="6C81F703">
            <w:pPr>
              <w:keepNext/>
              <w:spacing w:before="40" w:after="40" w:line="276" w:lineRule="auto"/>
              <w:ind w:firstLine="0"/>
              <w:jc w:val="center"/>
            </w:pPr>
            <w:r>
              <w:rPr>
                <w:sz w:val="20"/>
              </w:rPr>
              <w:t>2028.6681</w:t>
            </w:r>
          </w:p>
        </w:tc>
        <w:tc>
          <w:tcPr>
            <w:tcW w:w="1814" w:type="dxa"/>
            <w:vAlign w:val="center"/>
          </w:tcPr>
          <w:p w14:paraId="50EE31D0">
            <w:pPr>
              <w:keepNext/>
              <w:spacing w:before="40" w:after="40" w:line="276" w:lineRule="auto"/>
              <w:ind w:firstLine="0"/>
              <w:jc w:val="center"/>
            </w:pPr>
            <w:r>
              <w:rPr>
                <w:sz w:val="20"/>
              </w:rPr>
              <w:t>2022.9298</w:t>
            </w:r>
          </w:p>
        </w:tc>
        <w:tc>
          <w:tcPr>
            <w:tcW w:w="1814" w:type="dxa"/>
            <w:vAlign w:val="center"/>
          </w:tcPr>
          <w:p w14:paraId="5CF9DEFD">
            <w:pPr>
              <w:keepNext/>
              <w:spacing w:before="40" w:after="40" w:line="276" w:lineRule="auto"/>
              <w:ind w:firstLine="0"/>
              <w:jc w:val="center"/>
            </w:pPr>
            <w:r>
              <w:rPr>
                <w:sz w:val="20"/>
              </w:rPr>
              <w:t>0.2829%</w:t>
            </w:r>
          </w:p>
        </w:tc>
        <w:tc>
          <w:tcPr>
            <w:tcW w:w="1814" w:type="dxa"/>
            <w:vAlign w:val="center"/>
          </w:tcPr>
          <w:p w14:paraId="78EC755C">
            <w:pPr>
              <w:keepNext/>
              <w:spacing w:before="40" w:after="40" w:line="276" w:lineRule="auto"/>
              <w:ind w:firstLine="0"/>
              <w:jc w:val="center"/>
            </w:pPr>
            <w:r>
              <w:rPr>
                <w:sz w:val="20"/>
              </w:rPr>
              <w:t>[-0.0083%, 0.5438%]</w:t>
            </w:r>
          </w:p>
        </w:tc>
      </w:tr>
      <w:tr w14:paraId="14DB1B9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814" w:type="dxa"/>
            <w:vAlign w:val="center"/>
          </w:tcPr>
          <w:p w14:paraId="3C6871C1">
            <w:pPr>
              <w:spacing w:before="40" w:after="40" w:line="276" w:lineRule="auto"/>
              <w:ind w:firstLine="0"/>
              <w:jc w:val="center"/>
            </w:pPr>
            <w:r>
              <w:rPr>
                <w:sz w:val="20"/>
              </w:rPr>
              <w:t>三维</w:t>
            </w:r>
          </w:p>
        </w:tc>
        <w:tc>
          <w:tcPr>
            <w:tcW w:w="1814" w:type="dxa"/>
            <w:vAlign w:val="center"/>
          </w:tcPr>
          <w:p w14:paraId="0DE0BBA7">
            <w:pPr>
              <w:spacing w:before="40" w:after="40" w:line="276" w:lineRule="auto"/>
              <w:ind w:firstLine="0"/>
              <w:jc w:val="center"/>
            </w:pPr>
            <w:r>
              <w:rPr>
                <w:sz w:val="20"/>
              </w:rPr>
              <w:t>2580.2235</w:t>
            </w:r>
          </w:p>
        </w:tc>
        <w:tc>
          <w:tcPr>
            <w:tcW w:w="1814" w:type="dxa"/>
            <w:vAlign w:val="center"/>
          </w:tcPr>
          <w:p w14:paraId="018BB489">
            <w:pPr>
              <w:spacing w:before="40" w:after="40" w:line="276" w:lineRule="auto"/>
              <w:ind w:firstLine="0"/>
              <w:jc w:val="center"/>
            </w:pPr>
            <w:r>
              <w:rPr>
                <w:sz w:val="20"/>
              </w:rPr>
              <w:t>2570.9070</w:t>
            </w:r>
          </w:p>
        </w:tc>
        <w:tc>
          <w:tcPr>
            <w:tcW w:w="1814" w:type="dxa"/>
            <w:vAlign w:val="center"/>
          </w:tcPr>
          <w:p w14:paraId="6799AE74">
            <w:pPr>
              <w:spacing w:before="40" w:after="40" w:line="276" w:lineRule="auto"/>
              <w:ind w:firstLine="0"/>
              <w:jc w:val="center"/>
            </w:pPr>
            <w:r>
              <w:rPr>
                <w:sz w:val="20"/>
              </w:rPr>
              <w:t>0.3611%</w:t>
            </w:r>
          </w:p>
        </w:tc>
        <w:tc>
          <w:tcPr>
            <w:tcW w:w="1814" w:type="dxa"/>
            <w:vAlign w:val="center"/>
          </w:tcPr>
          <w:p w14:paraId="0DC68B4F">
            <w:pPr>
              <w:spacing w:before="40" w:after="40" w:line="276" w:lineRule="auto"/>
              <w:ind w:firstLine="0"/>
              <w:jc w:val="center"/>
            </w:pPr>
            <w:r>
              <w:rPr>
                <w:sz w:val="20"/>
              </w:rPr>
              <w:t>[0.2357%, 0.5320%]</w:t>
            </w:r>
          </w:p>
        </w:tc>
      </w:tr>
    </w:tbl>
    <w:p w14:paraId="34BEF535"/>
    <w:p w14:paraId="1CD1BB50">
      <w:r>
        <w:t>二维中8/10张地图均值较短，但分层bootstrap的平均相对改善区间跨越零，因此当前证据不足以确认稳健的二维平均收益。三维中10/10张地图均值较短，区间整体为正，支持相对于该固定参数配置的小幅增量改善。地图级Holm校正p值分别为0.048828与0.003906；二维配对秩检验和平均差区间针对不同统计量，不能仅摘取p值而忽略区间的不确定性。</w:t>
      </w:r>
    </w:p>
    <w:p w14:paraId="350BA35C">
      <w:pPr>
        <w:keepNext/>
        <w:spacing w:before="100" w:line="240" w:lineRule="auto"/>
        <w:ind w:firstLine="0"/>
        <w:jc w:val="center"/>
      </w:pPr>
      <w:r>
        <w:drawing>
          <wp:inline distT="0" distB="0" distL="0" distR="0">
            <wp:extent cx="5399405" cy="2090420"/>
            <wp:effectExtent l="0" t="0" r="0" b="0"/>
            <wp:docPr id="9" name="Picture 9" descr="图4-5 整组消融与匹配反馈消融的改善幅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图4-5 整组消融与匹配反馈消融的改善幅度"/>
                    <pic:cNvPicPr>
                      <a:picLocks noChangeAspect="1"/>
                    </pic:cNvPicPr>
                  </pic:nvPicPr>
                  <pic:blipFill>
                    <a:blip r:embed="rId18"/>
                    <a:stretch>
                      <a:fillRect/>
                    </a:stretch>
                  </pic:blipFill>
                  <pic:spPr>
                    <a:xfrm>
                      <a:off x="0" y="0"/>
                      <a:ext cx="5400000" cy="2090939"/>
                    </a:xfrm>
                    <a:prstGeom prst="rect">
                      <a:avLst/>
                    </a:prstGeom>
                  </pic:spPr>
                </pic:pic>
              </a:graphicData>
            </a:graphic>
          </wp:inline>
        </w:drawing>
      </w:r>
    </w:p>
    <w:p w14:paraId="1A86DC36">
      <w:pPr>
        <w:pStyle w:val="79"/>
        <w:keepNext/>
      </w:pPr>
      <w:r>
        <w:t>图4-5 整组消融与匹配反馈消融的改善幅度</w:t>
      </w:r>
    </w:p>
    <w:p w14:paraId="42BACAA6">
      <w:pPr>
        <w:spacing w:line="276" w:lineRule="auto"/>
        <w:ind w:firstLine="0"/>
      </w:pPr>
      <w:r>
        <w:rPr>
          <w:sz w:val="18"/>
        </w:rPr>
        <w:t>来源：公平对比实验v2；横轴为有符号相对改善，误差线为分层95%置信区间。</w:t>
      </w:r>
    </w:p>
    <w:p w14:paraId="12FD23A4">
      <w:pPr>
        <w:keepNext/>
        <w:spacing w:before="100" w:line="240" w:lineRule="auto"/>
        <w:ind w:firstLine="0"/>
        <w:jc w:val="center"/>
      </w:pPr>
      <w:r>
        <w:drawing>
          <wp:inline distT="0" distB="0" distL="0" distR="0">
            <wp:extent cx="5399405" cy="3764915"/>
            <wp:effectExtent l="0" t="0" r="0" b="0"/>
            <wp:docPr id="10" name="Picture 10" descr="图4-6 匹配启动条件下的采样参数与路径代价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图4-6 匹配启动条件下的采样参数与路径代价变化"/>
                    <pic:cNvPicPr>
                      <a:picLocks noChangeAspect="1"/>
                    </pic:cNvPicPr>
                  </pic:nvPicPr>
                  <pic:blipFill>
                    <a:blip r:embed="rId19"/>
                    <a:stretch>
                      <a:fillRect/>
                    </a:stretch>
                  </pic:blipFill>
                  <pic:spPr>
                    <a:xfrm>
                      <a:off x="0" y="0"/>
                      <a:ext cx="5400000" cy="3765121"/>
                    </a:xfrm>
                    <a:prstGeom prst="rect">
                      <a:avLst/>
                    </a:prstGeom>
                  </pic:spPr>
                </pic:pic>
              </a:graphicData>
            </a:graphic>
          </wp:inline>
        </w:drawing>
      </w:r>
    </w:p>
    <w:p w14:paraId="144CFC2F">
      <w:pPr>
        <w:pStyle w:val="79"/>
        <w:keepNext/>
      </w:pPr>
      <w:r>
        <w:t>图4-6 匹配启动条件下的采样参数与路径代价变化</w:t>
      </w:r>
    </w:p>
    <w:p w14:paraId="687353FD">
      <w:pPr>
        <w:spacing w:line="276" w:lineRule="auto"/>
        <w:ind w:firstLine="0"/>
      </w:pPr>
      <w:r>
        <w:rPr>
          <w:sz w:val="18"/>
        </w:rPr>
        <w:t>来源：公平对比实验v2；单次运行过程用于解释反馈启动与更新，不替代总体统计。</w:t>
      </w:r>
    </w:p>
    <w:p w14:paraId="2B6A049A">
      <w:r>
        <w:t>匹配实验只与一组固定参数比较，不能证明反馈优于所有可能的固定参数。旧版首解后立即启用的固定对照仍可保留作过程资料，但不作为主要因果解释。现有消融已足以说明当前机制的有限效果与适用范围，后续写作重点应是保持口径一致、复核表图来源以及区分统计改善和工程价值，而非默认重跑全部实验。</w:t>
      </w:r>
    </w:p>
    <w:p w14:paraId="1D3F4CCF">
      <w:pPr>
        <w:pStyle w:val="3"/>
      </w:pPr>
      <w:bookmarkStart w:id="68" w:name="_Toc243339248"/>
      <w:r>
        <w:t>4.6 本章小结</w:t>
      </w:r>
      <w:bookmarkEnd w:id="68"/>
    </w:p>
    <w:p w14:paraId="207251E8">
      <w:r>
        <w:t>本章给出了SC-RRT的双向搜索、动态参考点、双侧椭球采样和搜索状态反馈实现，并建立统一原子扩展预算的评价方式。二维与三维结果表明，SC-RRT相对RRT-Connect获得较短的终值路径，但首解较慢；相对RRT*与Informed-RRT*，其终值长度仍存在差距。消融显示整组采样与反馈带来有限改善，匹配反馈收益在三维更明确、二维平均收益仍有不确定性。上述结论限定于静态点机器人环境，机械臂部署所需的坐标、姿态和运动约束将在下一章说明。</w:t>
      </w:r>
    </w:p>
    <w:p w14:paraId="5CBCE74E">
      <w:pPr>
        <w:pStyle w:val="2"/>
      </w:pPr>
      <w:bookmarkStart w:id="69" w:name="_Toc243339249"/>
      <w:r>
        <w:t>第5章 视觉与路径规划算法部署及机械臂实验验证</w:t>
      </w:r>
      <w:bookmarkEnd w:id="69"/>
    </w:p>
    <w:p w14:paraId="560273C0">
      <w:r>
        <w:t>本章将二维目标定位与静态转移路径规划连接到机械臂部署流程。重点是明确每一步的输入、输出与坐标含义，并依据已有平台材料展示实现情况。相机标定、手眼外参和工具坐标是必要的几何基础，分别对应像素到光线、相机到法兰、法兰到工作点的关系。本章区分已保存的代码与图像证据、工程衔接报告描述和仍需配套日志确认的结果。</w:t>
      </w:r>
    </w:p>
    <w:p w14:paraId="371F737A">
      <w:pPr>
        <w:pStyle w:val="3"/>
      </w:pPr>
      <w:bookmarkStart w:id="70" w:name="_Toc243339250"/>
      <w:r>
        <w:t>5.1 实验平台与算法部署</w:t>
      </w:r>
      <w:bookmarkEnd w:id="70"/>
    </w:p>
    <w:p w14:paraId="4C9DEA48">
      <w:pPr>
        <w:pStyle w:val="4"/>
        <w:spacing w:before="240" w:after="240"/>
      </w:pPr>
      <w:bookmarkStart w:id="71" w:name="_Toc243339251"/>
      <w:r>
        <w:t>5.1.1 机械臂、RGB-D相机与工具配置</w:t>
      </w:r>
      <w:bookmarkEnd w:id="71"/>
    </w:p>
    <w:p w14:paraId="6131B9A0">
      <w:r>
        <w:t>现有平台材料采用AUBO-i10机械臂与Deptrum Aurora 930系列RGB-D相机，相机随末端运动构成眼在手上观测结构。机械臂负责末端位姿执行，相机提供彩色、深度和点云信息，末端工具定义实际作用点和工具轴向。原实物材料还记录KWT1D60-300力传感器，其在本文中作为平台组件介绍，不将已有接触装置扩展为本文新提出的力控制方法。</w:t>
      </w:r>
    </w:p>
    <w:p w14:paraId="4BAB176D">
      <w:pPr>
        <w:pStyle w:val="79"/>
        <w:keepNext/>
      </w:pPr>
      <w:r>
        <w:t>表5-1 实验平台组成与信息状态</w:t>
      </w:r>
    </w:p>
    <w:tbl>
      <w:tblPr>
        <w:tblStyle w:val="28"/>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75" w:type="dxa"/>
          <w:bottom w:w="65" w:type="dxa"/>
          <w:right w:w="75" w:type="dxa"/>
        </w:tblCellMar>
      </w:tblPr>
      <w:tblGrid>
        <w:gridCol w:w="3024"/>
        <w:gridCol w:w="3024"/>
        <w:gridCol w:w="3024"/>
      </w:tblGrid>
      <w:tr w14:paraId="793A1F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tblHeader/>
          <w:jc w:val="center"/>
        </w:trPr>
        <w:tc>
          <w:tcPr>
            <w:tcW w:w="3024" w:type="dxa"/>
            <w:shd w:val="clear" w:color="auto" w:fill="F2F2F2"/>
            <w:vAlign w:val="center"/>
          </w:tcPr>
          <w:p w14:paraId="7DAE8470">
            <w:pPr>
              <w:keepNext/>
              <w:spacing w:before="40" w:after="40" w:line="276" w:lineRule="auto"/>
              <w:ind w:firstLine="0"/>
              <w:jc w:val="center"/>
            </w:pPr>
            <w:r>
              <w:rPr>
                <w:b/>
                <w:sz w:val="20"/>
              </w:rPr>
              <w:t>组件</w:t>
            </w:r>
          </w:p>
        </w:tc>
        <w:tc>
          <w:tcPr>
            <w:tcW w:w="3024" w:type="dxa"/>
            <w:shd w:val="clear" w:color="auto" w:fill="F2F2F2"/>
            <w:vAlign w:val="center"/>
          </w:tcPr>
          <w:p w14:paraId="2B1BC6B5">
            <w:pPr>
              <w:keepNext/>
              <w:spacing w:before="40" w:after="40" w:line="276" w:lineRule="auto"/>
              <w:ind w:firstLine="0"/>
              <w:jc w:val="center"/>
            </w:pPr>
            <w:r>
              <w:rPr>
                <w:b/>
                <w:sz w:val="20"/>
              </w:rPr>
              <w:t>已有材料中的型号或功能</w:t>
            </w:r>
          </w:p>
        </w:tc>
        <w:tc>
          <w:tcPr>
            <w:tcW w:w="3024" w:type="dxa"/>
            <w:shd w:val="clear" w:color="auto" w:fill="F2F2F2"/>
            <w:vAlign w:val="center"/>
          </w:tcPr>
          <w:p w14:paraId="63A2D7B5">
            <w:pPr>
              <w:keepNext/>
              <w:spacing w:before="40" w:after="40" w:line="276" w:lineRule="auto"/>
              <w:ind w:firstLine="0"/>
              <w:jc w:val="center"/>
            </w:pPr>
            <w:r>
              <w:rPr>
                <w:b/>
                <w:sz w:val="20"/>
              </w:rPr>
              <w:t>需要关联的记录</w:t>
            </w:r>
          </w:p>
        </w:tc>
      </w:tr>
      <w:tr w14:paraId="3826FE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45CFEA66">
            <w:pPr>
              <w:keepNext/>
              <w:spacing w:before="40" w:after="40" w:line="276" w:lineRule="auto"/>
              <w:ind w:firstLine="0"/>
              <w:jc w:val="center"/>
            </w:pPr>
            <w:r>
              <w:rPr>
                <w:sz w:val="20"/>
              </w:rPr>
              <w:t>机械臂</w:t>
            </w:r>
          </w:p>
        </w:tc>
        <w:tc>
          <w:tcPr>
            <w:tcW w:w="3024" w:type="dxa"/>
            <w:vAlign w:val="center"/>
          </w:tcPr>
          <w:p w14:paraId="546016A8">
            <w:pPr>
              <w:keepNext/>
              <w:spacing w:before="40" w:after="40" w:line="276" w:lineRule="auto"/>
              <w:ind w:firstLine="0"/>
              <w:jc w:val="center"/>
            </w:pPr>
            <w:r>
              <w:rPr>
                <w:sz w:val="20"/>
              </w:rPr>
              <w:t>AUBO-i10，六自由度</w:t>
            </w:r>
          </w:p>
        </w:tc>
        <w:tc>
          <w:tcPr>
            <w:tcW w:w="3024" w:type="dxa"/>
            <w:vAlign w:val="center"/>
          </w:tcPr>
          <w:p w14:paraId="05520F70">
            <w:pPr>
              <w:keepNext/>
              <w:spacing w:before="40" w:after="40" w:line="276" w:lineRule="auto"/>
              <w:ind w:firstLine="0"/>
              <w:jc w:val="center"/>
            </w:pPr>
            <w:r>
              <w:rPr>
                <w:sz w:val="20"/>
              </w:rPr>
              <w:t>硬件版本、URDF、控制器版本</w:t>
            </w:r>
          </w:p>
        </w:tc>
      </w:tr>
      <w:tr w14:paraId="54C3154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4AFC558C">
            <w:pPr>
              <w:keepNext/>
              <w:spacing w:before="40" w:after="40" w:line="276" w:lineRule="auto"/>
              <w:ind w:firstLine="0"/>
              <w:jc w:val="center"/>
            </w:pPr>
            <w:r>
              <w:rPr>
                <w:sz w:val="20"/>
              </w:rPr>
              <w:t>视觉传感器</w:t>
            </w:r>
          </w:p>
        </w:tc>
        <w:tc>
          <w:tcPr>
            <w:tcW w:w="3024" w:type="dxa"/>
            <w:vAlign w:val="center"/>
          </w:tcPr>
          <w:p w14:paraId="4D6AB88C">
            <w:pPr>
              <w:keepNext/>
              <w:spacing w:before="40" w:after="40" w:line="276" w:lineRule="auto"/>
              <w:ind w:firstLine="0"/>
              <w:jc w:val="center"/>
            </w:pPr>
            <w:r>
              <w:rPr>
                <w:sz w:val="20"/>
              </w:rPr>
              <w:t>Deptrum Aurora 930系列RGB-D</w:t>
            </w:r>
          </w:p>
        </w:tc>
        <w:tc>
          <w:tcPr>
            <w:tcW w:w="3024" w:type="dxa"/>
            <w:vAlign w:val="center"/>
          </w:tcPr>
          <w:p w14:paraId="1236A0CA">
            <w:pPr>
              <w:keepNext/>
              <w:spacing w:before="40" w:after="40" w:line="276" w:lineRule="auto"/>
              <w:ind w:firstLine="0"/>
              <w:jc w:val="center"/>
            </w:pPr>
            <w:r>
              <w:rPr>
                <w:sz w:val="20"/>
              </w:rPr>
              <w:t>准确子型号、SDK、分辨率、内参</w:t>
            </w:r>
          </w:p>
        </w:tc>
      </w:tr>
      <w:tr w14:paraId="3DF3BC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5B1387CD">
            <w:pPr>
              <w:keepNext/>
              <w:spacing w:before="40" w:after="40" w:line="276" w:lineRule="auto"/>
              <w:ind w:firstLine="0"/>
              <w:jc w:val="center"/>
            </w:pPr>
            <w:r>
              <w:rPr>
                <w:sz w:val="20"/>
              </w:rPr>
              <w:t>末端工具</w:t>
            </w:r>
          </w:p>
        </w:tc>
        <w:tc>
          <w:tcPr>
            <w:tcW w:w="3024" w:type="dxa"/>
            <w:vAlign w:val="center"/>
          </w:tcPr>
          <w:p w14:paraId="174DA2DC">
            <w:pPr>
              <w:keepNext/>
              <w:spacing w:before="40" w:after="40" w:line="276" w:lineRule="auto"/>
              <w:ind w:firstLine="0"/>
              <w:jc w:val="center"/>
            </w:pPr>
            <w:r>
              <w:rPr>
                <w:sz w:val="20"/>
              </w:rPr>
              <w:t>沿局部工具轴工作的末端组件</w:t>
            </w:r>
          </w:p>
        </w:tc>
        <w:tc>
          <w:tcPr>
            <w:tcW w:w="3024" w:type="dxa"/>
            <w:vAlign w:val="center"/>
          </w:tcPr>
          <w:p w14:paraId="186D8E2B">
            <w:pPr>
              <w:keepNext/>
              <w:spacing w:before="40" w:after="40" w:line="276" w:lineRule="auto"/>
              <w:ind w:firstLine="0"/>
              <w:jc w:val="center"/>
            </w:pPr>
            <w:r>
              <w:rPr>
                <w:sz w:val="20"/>
              </w:rPr>
              <w:t>当前工具编号、TCP矩阵、安装尺寸</w:t>
            </w:r>
          </w:p>
        </w:tc>
      </w:tr>
      <w:tr w14:paraId="10C7F0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4A96FD2B">
            <w:pPr>
              <w:keepNext/>
              <w:spacing w:before="40" w:after="40" w:line="276" w:lineRule="auto"/>
              <w:ind w:firstLine="0"/>
              <w:jc w:val="center"/>
            </w:pPr>
            <w:r>
              <w:rPr>
                <w:sz w:val="20"/>
              </w:rPr>
              <w:t>力传感器</w:t>
            </w:r>
          </w:p>
        </w:tc>
        <w:tc>
          <w:tcPr>
            <w:tcW w:w="3024" w:type="dxa"/>
            <w:vAlign w:val="center"/>
          </w:tcPr>
          <w:p w14:paraId="1D7B2E52">
            <w:pPr>
              <w:keepNext/>
              <w:spacing w:before="40" w:after="40" w:line="276" w:lineRule="auto"/>
              <w:ind w:firstLine="0"/>
              <w:jc w:val="center"/>
            </w:pPr>
            <w:r>
              <w:rPr>
                <w:sz w:val="20"/>
              </w:rPr>
              <w:t>KWT1D60-300</w:t>
            </w:r>
          </w:p>
        </w:tc>
        <w:tc>
          <w:tcPr>
            <w:tcW w:w="3024" w:type="dxa"/>
            <w:vAlign w:val="center"/>
          </w:tcPr>
          <w:p w14:paraId="19ACAF25">
            <w:pPr>
              <w:keepNext/>
              <w:spacing w:before="40" w:after="40" w:line="276" w:lineRule="auto"/>
              <w:ind w:firstLine="0"/>
              <w:jc w:val="center"/>
            </w:pPr>
            <w:r>
              <w:rPr>
                <w:sz w:val="20"/>
              </w:rPr>
              <w:t>安装关系及本次任务是否启用</w:t>
            </w:r>
          </w:p>
        </w:tc>
      </w:tr>
      <w:tr w14:paraId="04237B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6161C147">
            <w:pPr>
              <w:spacing w:before="40" w:after="40" w:line="276" w:lineRule="auto"/>
              <w:ind w:firstLine="0"/>
              <w:jc w:val="center"/>
            </w:pPr>
            <w:r>
              <w:rPr>
                <w:sz w:val="20"/>
              </w:rPr>
              <w:t>计算与通信</w:t>
            </w:r>
          </w:p>
        </w:tc>
        <w:tc>
          <w:tcPr>
            <w:tcW w:w="3024" w:type="dxa"/>
            <w:vAlign w:val="center"/>
          </w:tcPr>
          <w:p w14:paraId="7E40A0C6">
            <w:pPr>
              <w:spacing w:before="40" w:after="40" w:line="276" w:lineRule="auto"/>
              <w:ind w:firstLine="0"/>
              <w:jc w:val="center"/>
            </w:pPr>
            <w:r>
              <w:rPr>
                <w:sz w:val="20"/>
              </w:rPr>
              <w:t>ROS 2视觉和规划模块</w:t>
            </w:r>
          </w:p>
        </w:tc>
        <w:tc>
          <w:tcPr>
            <w:tcW w:w="3024" w:type="dxa"/>
            <w:vAlign w:val="center"/>
          </w:tcPr>
          <w:p w14:paraId="1064BFEC">
            <w:pPr>
              <w:spacing w:before="40" w:after="40" w:line="276" w:lineRule="auto"/>
              <w:ind w:firstLine="0"/>
              <w:jc w:val="center"/>
            </w:pPr>
            <w:r>
              <w:rPr>
                <w:sz w:val="20"/>
              </w:rPr>
              <w:t>实际计算硬件、软件及模型版本</w:t>
            </w:r>
          </w:p>
        </w:tc>
      </w:tr>
    </w:tbl>
    <w:p w14:paraId="60368164"/>
    <w:p w14:paraId="260EB737">
      <w:pPr>
        <w:keepNext/>
        <w:spacing w:before="100" w:line="240" w:lineRule="auto"/>
        <w:ind w:firstLine="0"/>
        <w:jc w:val="center"/>
      </w:pPr>
      <w:r>
        <w:drawing>
          <wp:inline distT="0" distB="0" distL="0" distR="0">
            <wp:extent cx="3059430" cy="4586605"/>
            <wp:effectExtent l="0" t="0" r="0" b="0"/>
            <wp:docPr id="11" name="Picture 11" descr="图5-1 既有机械臂平台与末端作业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图5-1 既有机械臂平台与末端作业照片"/>
                    <pic:cNvPicPr>
                      <a:picLocks noChangeAspect="1"/>
                    </pic:cNvPicPr>
                  </pic:nvPicPr>
                  <pic:blipFill>
                    <a:blip r:embed="rId20"/>
                    <a:stretch>
                      <a:fillRect/>
                    </a:stretch>
                  </pic:blipFill>
                  <pic:spPr>
                    <a:xfrm>
                      <a:off x="0" y="0"/>
                      <a:ext cx="3060000" cy="4586884"/>
                    </a:xfrm>
                    <a:prstGeom prst="rect">
                      <a:avLst/>
                    </a:prstGeom>
                  </pic:spPr>
                </pic:pic>
              </a:graphicData>
            </a:graphic>
          </wp:inline>
        </w:drawing>
      </w:r>
    </w:p>
    <w:p w14:paraId="1D978350">
      <w:pPr>
        <w:pStyle w:val="79"/>
        <w:keepNext/>
      </w:pPr>
      <w:r>
        <w:t>图5-1 既有机械臂平台与末端作业照片</w:t>
      </w:r>
    </w:p>
    <w:p w14:paraId="58954EBB">
      <w:pPr>
        <w:spacing w:line="276" w:lineRule="auto"/>
        <w:ind w:firstLine="0"/>
      </w:pPr>
      <w:r>
        <w:rPr>
          <w:sz w:val="18"/>
        </w:rPr>
        <w:t>来源：现有SC-RRT论文实物材料；展示装置及使用场景，不据照片推断定位误差或临床效果。</w:t>
      </w:r>
    </w:p>
    <w:p w14:paraId="72FA3E63">
      <w:r>
        <w:t>图5-1反映了既有平台的物理形态。相机安装细节、法兰与工具的刚性关系，以及机械臂基座相对作业区域的布置仍需更清晰的局部照片和尺寸记录。对于本文的坐标分析，安装尺寸与坐标轴方向比外观完整性更重要。</w:t>
      </w:r>
    </w:p>
    <w:p w14:paraId="05384FBC">
      <w:r>
        <w:rPr>
          <w:color w:val="C00000"/>
          <w:sz w:val="22"/>
        </w:rPr>
        <w:t>【待补D10：实际RGB-D相机准确子型号、分辨率与SDK版本、计算平台及ROS 2发行版、机械臂控制器版本；表5-1按最终实验批次补齐。】</w:t>
      </w:r>
    </w:p>
    <w:p w14:paraId="5C5784D6">
      <w:r>
        <w:rPr>
          <w:color w:val="C00000"/>
          <w:sz w:val="22"/>
        </w:rPr>
        <w:t>【待补D11：图5-2实际相机安装局部照片，标出相机光学轴、法兰与工具方向；同时提供当前工具编号、安装尺寸及照片对应日期或实验批次。】</w:t>
      </w:r>
    </w:p>
    <w:p w14:paraId="248FDFA8">
      <w:pPr>
        <w:pStyle w:val="4"/>
        <w:spacing w:before="240" w:after="240"/>
      </w:pPr>
      <w:bookmarkStart w:id="72" w:name="_Toc243339252"/>
      <w:r>
        <w:t>5.1.2 视觉推理与规划模块部署</w:t>
      </w:r>
      <w:bookmarkEnd w:id="72"/>
    </w:p>
    <w:p w14:paraId="3E8408AC">
      <w:r>
        <w:t>视觉模块以ROS 2服务形式接收图像和部位编码，完成通用姿态、局部锚点与规则推理，返回目标像素及状态信息。规划模块接受统一坐标系中的起终点、障碍与预算参数，返回几何路径；执行模块依据工具设置、目标姿态和运动学接口生成控制器所需的路点。ROS 2的坐标变换机制可以组织多个坐标系之间的关系，但是否按图像时间查询变换仍取决于具体调用方式[16]。</w:t>
      </w:r>
    </w:p>
    <w:p w14:paraId="6A4D83C0">
      <w:r>
        <w:t>现有视觉源码能够核实识别服务及模型调用，SC-RRT迁移快照包含多段路径调用和简化碰撞场景实现。工程衔接报告进一步描述了快照、像素转点、局部曲面轨迹和基坐标转换流程。由于完整生产C++节点及最终运行配置尚未全部对应到同一版本，本章将这些报告内容作为部署依据，同时保留需要核实的版本和状态项。</w:t>
      </w:r>
    </w:p>
    <w:p w14:paraId="3AC451B7">
      <w:r>
        <w:t>当前处理方式是采集图像与几何快照后识别，再经人工确认生成空间目标，并不是持续采集、持续更新目标的视觉伺服闭环。系统内各阶段应共享采集编号，记录输入图像、深度、点云、图像旋转及坐标变换，避免将不同时间或不同姿态下的数据组合为同一任务。</w:t>
      </w:r>
    </w:p>
    <w:p w14:paraId="187FA1B7">
      <w:r>
        <w:rPr>
          <w:color w:val="C00000"/>
          <w:sz w:val="22"/>
        </w:rPr>
        <w:t>【待核D12：生产视觉、点云、规划与执行模块的实际源码版本或提交号、启动配置、TF树与同次任务日志；当前衔接报告描述需与最终部署版本逐项对应。】</w:t>
      </w:r>
    </w:p>
    <w:p w14:paraId="736BA0DA">
      <w:pPr>
        <w:pStyle w:val="3"/>
      </w:pPr>
      <w:bookmarkStart w:id="73" w:name="_Toc243339253"/>
      <w:r>
        <w:t>5.2 相机标定与视觉目标位姿生成</w:t>
      </w:r>
      <w:bookmarkEnd w:id="73"/>
    </w:p>
    <w:p w14:paraId="0306ADF4">
      <w:pPr>
        <w:pStyle w:val="4"/>
        <w:spacing w:before="240" w:after="240"/>
      </w:pPr>
      <w:bookmarkStart w:id="74" w:name="_Toc243339254"/>
      <w:r>
        <w:t>5.2.1 相机模型与内参标定</w:t>
      </w:r>
      <w:bookmarkEnd w:id="74"/>
    </w:p>
    <w:p w14:paraId="324C2CB4">
      <w:r>
        <w:t>针孔模型描述相机三维点与像素位置的投影关系。设相机坐标点为(X_C,Y_C,Z_C)，内参矩阵K包含焦距f_x、f_y和主点c_x、c_y，则无畸变模型可写为式（5-1）。像素与深度反投影必须使用对应分辨率及图像处理状态下的内参。</w:t>
      </w:r>
    </w:p>
    <w:p w14:paraId="2F5BBEAD">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Z</m:t>
            </m:r>
            <m:ctrlPr>
              <w:rPr>
                <w:rFonts w:ascii="Cambria Math" w:hAnsi="Cambria Math"/>
              </w:rPr>
            </m:ctrlPr>
          </m:e>
          <m:sub>
            <m:r>
              <m:rPr>
                <m:sty m:val="p"/>
              </m:rPr>
              <w:rPr>
                <w:rFonts w:ascii="Cambria Math" w:hAnsi="Cambria Math"/>
              </w:rPr>
              <m:t>C</m:t>
            </m:r>
            <m:ctrlPr>
              <w:rPr>
                <w:rFonts w:ascii="Cambria Math" w:hAnsi="Cambria Math"/>
              </w:rPr>
            </m:ctrlPr>
          </m:sub>
        </m:sSub>
        <m:d>
          <m:dPr>
            <m:begChr m:val="["/>
            <m:endChr m:val="]"/>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u</m:t>
                  </m:r>
                  <m:ctrlPr>
                    <w:rPr>
                      <w:rFonts w:ascii="Cambria Math" w:hAnsi="Cambria Math"/>
                    </w:rPr>
                  </m:ctrlPr>
                </m:e>
              </m:mr>
              <m:mr>
                <m:e>
                  <m:r>
                    <m:rPr>
                      <m:sty m:val="p"/>
                    </m:rPr>
                    <w:rPr>
                      <w:rFonts w:ascii="Cambria Math" w:hAnsi="Cambria Math"/>
                    </w:rPr>
                    <m:t>v</m:t>
                  </m:r>
                  <m:ctrlPr>
                    <w:rPr>
                      <w:rFonts w:ascii="Cambria Math" w:hAnsi="Cambria Math"/>
                    </w:rPr>
                  </m:ctrlPr>
                </m:e>
              </m:mr>
              <m:mr>
                <m:e>
                  <m:r>
                    <m:rPr>
                      <m:sty m:val="p"/>
                    </m:rPr>
                    <w:rPr>
                      <w:rFonts w:ascii="Cambria Math" w:hAnsi="Cambria Math"/>
                    </w:rPr>
                    <m:t>1</m:t>
                  </m:r>
                  <m:ctrlPr>
                    <w:rPr>
                      <w:rFonts w:ascii="Cambria Math" w:hAnsi="Cambria Math"/>
                    </w:rPr>
                  </m:ctrlPr>
                </m:e>
              </m:mr>
            </m:m>
            <m:ctrlPr>
              <w:rPr>
                <w:rFonts w:ascii="Cambria Math" w:hAnsi="Cambria Math"/>
              </w:rPr>
            </m:ctrlPr>
          </m:e>
        </m:d>
        <m:r>
          <m:rPr>
            <m:sty m:val="p"/>
          </m:rPr>
          <w:rPr>
            <w:rFonts w:ascii="Cambria Math" w:hAnsi="Cambria Math"/>
          </w:rPr>
          <m:t>=K</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C</m:t>
                      </m:r>
                      <m:ctrlPr>
                        <w:rPr>
                          <w:rFonts w:ascii="Cambria Math" w:hAnsi="Cambria Math"/>
                        </w:rPr>
                      </m:ctrlPr>
                    </m:sub>
                  </m:sSub>
                  <m:ctrlPr>
                    <w:rPr>
                      <w:rFonts w:ascii="Cambria Math" w:hAnsi="Cambria Math"/>
                    </w:rPr>
                  </m:ctrlPr>
                </m:e>
              </m:mr>
              <m:mr>
                <m:e>
                  <m:sSub>
                    <m:sSubPr>
                      <m:ctrlPr>
                        <w:rPr>
                          <w:rFonts w:ascii="Cambria Math" w:hAnsi="Cambria Math"/>
                        </w:rPr>
                      </m:ctrlPr>
                    </m:sSubPr>
                    <m:e>
                      <m:r>
                        <m:rPr>
                          <m:sty m:val="p"/>
                        </m:rPr>
                        <w:rPr>
                          <w:rFonts w:ascii="Cambria Math" w:hAnsi="Cambria Math"/>
                        </w:rPr>
                        <m:t>Y</m:t>
                      </m:r>
                      <m:ctrlPr>
                        <w:rPr>
                          <w:rFonts w:ascii="Cambria Math" w:hAnsi="Cambria Math"/>
                        </w:rPr>
                      </m:ctrlPr>
                    </m:e>
                    <m:sub>
                      <m:r>
                        <m:rPr>
                          <m:sty m:val="p"/>
                        </m:rPr>
                        <w:rPr>
                          <w:rFonts w:ascii="Cambria Math" w:hAnsi="Cambria Math"/>
                        </w:rPr>
                        <m:t>C</m:t>
                      </m:r>
                      <m:ctrlPr>
                        <w:rPr>
                          <w:rFonts w:ascii="Cambria Math" w:hAnsi="Cambria Math"/>
                        </w:rPr>
                      </m:ctrlPr>
                    </m:sub>
                  </m:sSub>
                  <m:ctrlPr>
                    <w:rPr>
                      <w:rFonts w:ascii="Cambria Math" w:hAnsi="Cambria Math"/>
                    </w:rPr>
                  </m:ctrlPr>
                </m:e>
              </m:mr>
              <m:mr>
                <m:e>
                  <m:sSub>
                    <m:sSubPr>
                      <m:ctrlPr>
                        <w:rPr>
                          <w:rFonts w:ascii="Cambria Math" w:hAnsi="Cambria Math"/>
                        </w:rPr>
                      </m:ctrlPr>
                    </m:sSubPr>
                    <m:e>
                      <m:r>
                        <m:rPr>
                          <m:sty m:val="p"/>
                        </m:rPr>
                        <w:rPr>
                          <w:rFonts w:ascii="Cambria Math" w:hAnsi="Cambria Math"/>
                        </w:rPr>
                        <m:t>Z</m:t>
                      </m:r>
                      <m:ctrlPr>
                        <w:rPr>
                          <w:rFonts w:ascii="Cambria Math" w:hAnsi="Cambria Math"/>
                        </w:rPr>
                      </m:ctrlPr>
                    </m:e>
                    <m:sub>
                      <m:r>
                        <m:rPr>
                          <m:sty m:val="p"/>
                        </m:rPr>
                        <w:rPr>
                          <w:rFonts w:ascii="Cambria Math" w:hAnsi="Cambria Math"/>
                        </w:rPr>
                        <m:t>C</m:t>
                      </m:r>
                      <m:ctrlPr>
                        <w:rPr>
                          <w:rFonts w:ascii="Cambria Math" w:hAnsi="Cambria Math"/>
                        </w:rPr>
                      </m:ctrlPr>
                    </m:sub>
                  </m:sSub>
                  <m:ctrlPr>
                    <w:rPr>
                      <w:rFonts w:ascii="Cambria Math" w:hAnsi="Cambria Math"/>
                    </w:rPr>
                  </m:ctrlPr>
                </m:e>
              </m:mr>
            </m:m>
            <m:ctrlPr>
              <w:rPr>
                <w:rFonts w:ascii="Cambria Math" w:hAnsi="Cambria Math"/>
              </w:rPr>
            </m:ctrlPr>
          </m:e>
        </m:d>
        <m:r>
          <m:rPr>
            <m:sty m:val="p"/>
          </m:rPr>
          <w:rPr>
            <w:rFonts w:ascii="Cambria Math" w:hAnsi="Cambria Math"/>
          </w:rPr>
          <m:t>,    K=</m:t>
        </m:r>
        <m:d>
          <m:dPr>
            <m:begChr m:val="["/>
            <m:endChr m:val="]"/>
            <m:ctrlPr>
              <w:rPr>
                <w:rFonts w:ascii="Cambria Math" w:hAnsi="Cambria Math"/>
              </w:rPr>
            </m:ctrlPr>
          </m:dPr>
          <m:e>
            <m:m>
              <m:mPr>
                <m:mcs>
                  <m:mc>
                    <m:mcPr>
                      <m:count m:val="3"/>
                      <m:mcJc m:val="center"/>
                    </m:mcPr>
                  </m:mc>
                </m:mcs>
                <m:ctrlPr>
                  <w:rPr>
                    <w:rFonts w:ascii="Cambria Math" w:hAnsi="Cambria Math"/>
                  </w:rPr>
                </m:ctrlPr>
              </m:mPr>
              <m:mr>
                <m:e>
                  <m:sSub>
                    <m:sSubPr>
                      <m:ctrlPr>
                        <w:rPr>
                          <w:rFonts w:ascii="Cambria Math" w:hAnsi="Cambria Math"/>
                        </w:rPr>
                      </m:ctrlPr>
                    </m:sSubPr>
                    <m:e>
                      <m:r>
                        <m:rPr>
                          <m:sty m:val="p"/>
                        </m:rPr>
                        <w:rPr>
                          <w:rFonts w:ascii="Cambria Math" w:hAnsi="Cambria Math"/>
                        </w:rPr>
                        <m:t>f</m:t>
                      </m:r>
                      <m:ctrlPr>
                        <w:rPr>
                          <w:rFonts w:ascii="Cambria Math" w:hAnsi="Cambria Math"/>
                        </w:rPr>
                      </m:ctrlPr>
                    </m:e>
                    <m:sub>
                      <m:r>
                        <m:rPr>
                          <m:sty m:val="p"/>
                        </m:rPr>
                        <w:rPr>
                          <w:rFonts w:ascii="Cambria Math" w:hAnsi="Cambria Math"/>
                        </w:rPr>
                        <m:t>x</m:t>
                      </m:r>
                      <m:ctrlPr>
                        <w:rPr>
                          <w:rFonts w:ascii="Cambria Math" w:hAnsi="Cambria Math"/>
                        </w:rPr>
                      </m:ctrlPr>
                    </m:sub>
                  </m:sSub>
                  <m:ctrlPr>
                    <w:rPr>
                      <w:rFonts w:ascii="Cambria Math" w:hAnsi="Cambria Math"/>
                    </w:rPr>
                  </m:ctrlPr>
                </m:e>
                <m:e>
                  <m:r>
                    <m:rPr>
                      <m:sty m:val="p"/>
                    </m:rPr>
                    <w:rPr>
                      <w:rFonts w:ascii="Cambria Math" w:hAnsi="Cambria Math"/>
                    </w:rPr>
                    <m:t>0</m:t>
                  </m:r>
                  <m:ctrlPr>
                    <w:rPr>
                      <w:rFonts w:ascii="Cambria Math" w:hAnsi="Cambria Math"/>
                    </w:rPr>
                  </m:ctrlPr>
                </m:e>
                <m:e>
                  <m:sSub>
                    <m:sSubPr>
                      <m:ctrlPr>
                        <w:rPr>
                          <w:rFonts w:ascii="Cambria Math" w:hAnsi="Cambria Math"/>
                        </w:rPr>
                      </m:ctrlPr>
                    </m:sSubPr>
                    <m:e>
                      <m:r>
                        <m:rPr>
                          <m:sty m:val="p"/>
                        </m:rPr>
                        <w:rPr>
                          <w:rFonts w:ascii="Cambria Math" w:hAnsi="Cambria Math"/>
                        </w:rPr>
                        <m:t>c</m:t>
                      </m:r>
                      <m:ctrlPr>
                        <w:rPr>
                          <w:rFonts w:ascii="Cambria Math" w:hAnsi="Cambria Math"/>
                        </w:rPr>
                      </m:ctrlPr>
                    </m:e>
                    <m:sub>
                      <m:r>
                        <m:rPr>
                          <m:sty m:val="p"/>
                        </m:rPr>
                        <w:rPr>
                          <w:rFonts w:ascii="Cambria Math" w:hAnsi="Cambria Math"/>
                        </w:rPr>
                        <m:t>x</m:t>
                      </m:r>
                      <m:ctrlPr>
                        <w:rPr>
                          <w:rFonts w:ascii="Cambria Math" w:hAnsi="Cambria Math"/>
                        </w:rPr>
                      </m:ctrlPr>
                    </m:sub>
                  </m:sSub>
                  <m:ctrlPr>
                    <w:rPr>
                      <w:rFonts w:ascii="Cambria Math" w:hAnsi="Cambria Math"/>
                    </w:rPr>
                  </m:ctrlPr>
                </m:e>
              </m:mr>
              <m:mr>
                <m:e>
                  <m:r>
                    <m:rPr>
                      <m:sty m:val="p"/>
                    </m:rPr>
                    <w:rPr>
                      <w:rFonts w:ascii="Cambria Math" w:hAnsi="Cambria Math"/>
                    </w:rPr>
                    <m:t>0</m:t>
                  </m:r>
                  <m:ctrlPr>
                    <w:rPr>
                      <w:rFonts w:ascii="Cambria Math" w:hAnsi="Cambria Math"/>
                    </w:rPr>
                  </m:ctrlPr>
                </m:e>
                <m:e>
                  <m:sSub>
                    <m:sSubPr>
                      <m:ctrlPr>
                        <w:rPr>
                          <w:rFonts w:ascii="Cambria Math" w:hAnsi="Cambria Math"/>
                        </w:rPr>
                      </m:ctrlPr>
                    </m:sSubPr>
                    <m:e>
                      <m:r>
                        <m:rPr>
                          <m:sty m:val="p"/>
                        </m:rPr>
                        <w:rPr>
                          <w:rFonts w:ascii="Cambria Math" w:hAnsi="Cambria Math"/>
                        </w:rPr>
                        <m:t>f</m:t>
                      </m:r>
                      <m:ctrlPr>
                        <w:rPr>
                          <w:rFonts w:ascii="Cambria Math" w:hAnsi="Cambria Math"/>
                        </w:rPr>
                      </m:ctrlPr>
                    </m:e>
                    <m:sub>
                      <m:r>
                        <m:rPr>
                          <m:sty m:val="p"/>
                        </m:rPr>
                        <w:rPr>
                          <w:rFonts w:ascii="Cambria Math" w:hAnsi="Cambria Math"/>
                        </w:rPr>
                        <m:t>y</m:t>
                      </m:r>
                      <m:ctrlPr>
                        <w:rPr>
                          <w:rFonts w:ascii="Cambria Math" w:hAnsi="Cambria Math"/>
                        </w:rPr>
                      </m:ctrlPr>
                    </m:sub>
                  </m:sSub>
                  <m:ctrlPr>
                    <w:rPr>
                      <w:rFonts w:ascii="Cambria Math" w:hAnsi="Cambria Math"/>
                    </w:rPr>
                  </m:ctrlPr>
                </m:e>
                <m:e>
                  <m:sSub>
                    <m:sSubPr>
                      <m:ctrlPr>
                        <w:rPr>
                          <w:rFonts w:ascii="Cambria Math" w:hAnsi="Cambria Math"/>
                        </w:rPr>
                      </m:ctrlPr>
                    </m:sSubPr>
                    <m:e>
                      <m:r>
                        <m:rPr>
                          <m:sty m:val="p"/>
                        </m:rPr>
                        <w:rPr>
                          <w:rFonts w:ascii="Cambria Math" w:hAnsi="Cambria Math"/>
                        </w:rPr>
                        <m:t>c</m:t>
                      </m:r>
                      <m:ctrlPr>
                        <w:rPr>
                          <w:rFonts w:ascii="Cambria Math" w:hAnsi="Cambria Math"/>
                        </w:rPr>
                      </m:ctrlPr>
                    </m:e>
                    <m:sub>
                      <m:r>
                        <m:rPr>
                          <m:sty m:val="p"/>
                        </m:rPr>
                        <w:rPr>
                          <w:rFonts w:ascii="Cambria Math" w:hAnsi="Cambria Math"/>
                        </w:rPr>
                        <m:t>y</m:t>
                      </m:r>
                      <m:ctrlPr>
                        <w:rPr>
                          <w:rFonts w:ascii="Cambria Math" w:hAnsi="Cambria Math"/>
                        </w:rPr>
                      </m:ctrlPr>
                    </m:sub>
                  </m:sSub>
                  <m:ctrlPr>
                    <w:rPr>
                      <w:rFonts w:ascii="Cambria Math" w:hAnsi="Cambria Math"/>
                    </w:rPr>
                  </m:ctrlPr>
                </m:e>
              </m:mr>
              <m:mr>
                <m:e>
                  <m:r>
                    <m:rPr>
                      <m:sty m:val="p"/>
                    </m:rPr>
                    <w:rPr>
                      <w:rFonts w:ascii="Cambria Math" w:hAnsi="Cambria Math"/>
                    </w:rPr>
                    <m:t>0</m:t>
                  </m:r>
                  <m:ctrlPr>
                    <w:rPr>
                      <w:rFonts w:ascii="Cambria Math" w:hAnsi="Cambria Math"/>
                    </w:rPr>
                  </m:ctrlPr>
                </m:e>
                <m:e>
                  <m:r>
                    <m:rPr>
                      <m:sty m:val="p"/>
                    </m:rPr>
                    <w:rPr>
                      <w:rFonts w:ascii="Cambria Math" w:hAnsi="Cambria Math"/>
                    </w:rPr>
                    <m:t>0</m:t>
                  </m:r>
                  <m:ctrlPr>
                    <w:rPr>
                      <w:rFonts w:ascii="Cambria Math" w:hAnsi="Cambria Math"/>
                    </w:rPr>
                  </m:ctrlPr>
                </m:e>
                <m:e>
                  <m:r>
                    <m:rPr>
                      <m:sty m:val="p"/>
                    </m:rPr>
                    <w:rPr>
                      <w:rFonts w:ascii="Cambria Math" w:hAnsi="Cambria Math"/>
                    </w:rPr>
                    <m:t>1</m:t>
                  </m:r>
                  <m:ctrlPr>
                    <w:rPr>
                      <w:rFonts w:ascii="Cambria Math" w:hAnsi="Cambria Math"/>
                    </w:rPr>
                  </m:ctrlPr>
                </m:e>
              </m:mr>
            </m:m>
            <m:ctrlPr>
              <w:rPr>
                <w:rFonts w:ascii="Cambria Math" w:hAnsi="Cambria Math"/>
              </w:rPr>
            </m:ctrlPr>
          </m:e>
        </m:d>
      </m:oMath>
      <w:r>
        <w:rPr>
          <w:sz w:val="21"/>
        </w:rPr>
        <w:t xml:space="preserve">    （5-1）</w:t>
      </w:r>
    </w:p>
    <w:p w14:paraId="6DAEAFB0">
      <w:pPr>
        <w:keepNext/>
        <w:spacing w:before="100" w:line="240" w:lineRule="auto"/>
        <w:ind w:firstLine="0"/>
        <w:jc w:val="center"/>
      </w:pPr>
      <w:r>
        <w:drawing>
          <wp:inline distT="0" distB="0" distL="0" distR="0">
            <wp:extent cx="3959860" cy="2790825"/>
            <wp:effectExtent l="0" t="0" r="0" b="0"/>
            <wp:docPr id="12" name="Picture 12" descr="图5-3 针孔相机投影模型原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图5-3 针孔相机投影模型原理"/>
                    <pic:cNvPicPr>
                      <a:picLocks noChangeAspect="1"/>
                    </pic:cNvPicPr>
                  </pic:nvPicPr>
                  <pic:blipFill>
                    <a:blip r:embed="rId21"/>
                    <a:stretch>
                      <a:fillRect/>
                    </a:stretch>
                  </pic:blipFill>
                  <pic:spPr>
                    <a:xfrm>
                      <a:off x="0" y="0"/>
                      <a:ext cx="3960000" cy="2791161"/>
                    </a:xfrm>
                    <a:prstGeom prst="rect">
                      <a:avLst/>
                    </a:prstGeom>
                  </pic:spPr>
                </pic:pic>
              </a:graphicData>
            </a:graphic>
          </wp:inline>
        </w:drawing>
      </w:r>
    </w:p>
    <w:p w14:paraId="6196DFA8">
      <w:pPr>
        <w:pStyle w:val="79"/>
        <w:keepNext/>
      </w:pPr>
      <w:r>
        <w:t>图5-3 针孔相机投影模型原理</w:t>
      </w:r>
    </w:p>
    <w:p w14:paraId="740F1F72">
      <w:pPr>
        <w:spacing w:line="276" w:lineRule="auto"/>
        <w:ind w:firstLine="0"/>
      </w:pPr>
      <w:r>
        <w:rPr>
          <w:sz w:val="18"/>
        </w:rPr>
        <w:t>来源：OpenCV 4.10.0官方文档及源码图，原图未改动[8]。仅作原理说明；复用许可见附录B。</w:t>
      </w:r>
    </w:p>
    <w:p w14:paraId="03365C71">
      <w:r>
        <w:t>实际镜头通常包含径向和切向畸变。以常见五参数模型为例，归一化坐标x、y的畸变由k_1、k_2、k_3及p_1、p_2描述，r²=x²+y²。参数数量和具体模型应以设备输出与软件调用为准，不应在缺少配置时假定所有高阶参数均为零。</w:t>
      </w:r>
    </w:p>
    <w:p w14:paraId="578510A0">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d</m:t>
            </m:r>
            <m:ctrlPr>
              <w:rPr>
                <w:rFonts w:ascii="Cambria Math" w:hAnsi="Cambria Math"/>
              </w:rPr>
            </m:ctrlPr>
          </m:sub>
        </m:sSub>
        <m:r>
          <m:rPr>
            <m:sty m:val="p"/>
          </m:rPr>
          <w:rPr>
            <w:rFonts w:ascii="Cambria Math" w:hAnsi="Cambria Math"/>
          </w:rPr>
          <m:t>=x(1+</m:t>
        </m:r>
        <m:sSub>
          <m:sSubPr>
            <m:ctrlPr>
              <w:rPr>
                <w:rFonts w:ascii="Cambria Math" w:hAnsi="Cambria Math"/>
              </w:rPr>
            </m:ctrlPr>
          </m:sSubPr>
          <m:e>
            <m:r>
              <m:rPr>
                <m:sty m:val="p"/>
              </m:rPr>
              <w:rPr>
                <w:rFonts w:ascii="Cambria Math" w:hAnsi="Cambria Math"/>
              </w:rPr>
              <m:t>k</m:t>
            </m:r>
            <m:ctrlPr>
              <w:rPr>
                <w:rFonts w:ascii="Cambria Math" w:hAnsi="Cambria Math"/>
              </w:rPr>
            </m:ctrlPr>
          </m:e>
          <m:sub>
            <m:r>
              <m:rPr>
                <m:sty m:val="p"/>
              </m:rPr>
              <w:rPr>
                <w:rFonts w:ascii="Cambria Math" w:hAnsi="Cambria Math"/>
              </w:rPr>
              <m:t>1</m:t>
            </m:r>
            <m:ctrlPr>
              <w:rPr>
                <w:rFonts w:ascii="Cambria Math" w:hAnsi="Cambria Math"/>
              </w:rPr>
            </m:ctrlPr>
          </m:sub>
        </m:sSub>
        <m:sSup>
          <m:sSupPr>
            <m:ctrlPr>
              <w:rPr>
                <w:rFonts w:ascii="Cambria Math" w:hAnsi="Cambria Math"/>
              </w:rPr>
            </m:ctrlPr>
          </m:sSupPr>
          <m:e>
            <m:r>
              <m:rPr>
                <m:sty m:val="p"/>
              </m:rPr>
              <w:rPr>
                <w:rFonts w:ascii="Cambria Math" w:hAnsi="Cambria Math"/>
              </w:rPr>
              <m:t>r</m:t>
            </m:r>
            <m:ctrlPr>
              <w:rPr>
                <w:rFonts w:ascii="Cambria Math" w:hAnsi="Cambria Math"/>
              </w:rPr>
            </m:ctrlPr>
          </m:e>
          <m:sup>
            <m:r>
              <m:rPr>
                <m:sty m:val="p"/>
              </m:rPr>
              <w:rPr>
                <w:rFonts w:ascii="Cambria Math" w:hAnsi="Cambria Math"/>
              </w:rPr>
              <m:t>2</m:t>
            </m:r>
            <m:ctrlPr>
              <w:rPr>
                <w:rFonts w:ascii="Cambria Math" w:hAnsi="Cambria Math"/>
              </w:rPr>
            </m:ctrlP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k</m:t>
            </m:r>
            <m:ctrlPr>
              <w:rPr>
                <w:rFonts w:ascii="Cambria Math" w:hAnsi="Cambria Math"/>
              </w:rPr>
            </m:ctrlPr>
          </m:e>
          <m:sub>
            <m:r>
              <m:rPr>
                <m:sty m:val="p"/>
              </m:rPr>
              <w:rPr>
                <w:rFonts w:ascii="Cambria Math" w:hAnsi="Cambria Math"/>
              </w:rPr>
              <m:t>2</m:t>
            </m:r>
            <m:ctrlPr>
              <w:rPr>
                <w:rFonts w:ascii="Cambria Math" w:hAnsi="Cambria Math"/>
              </w:rPr>
            </m:ctrlPr>
          </m:sub>
        </m:sSub>
        <m:sSup>
          <m:sSupPr>
            <m:ctrlPr>
              <w:rPr>
                <w:rFonts w:ascii="Cambria Math" w:hAnsi="Cambria Math"/>
              </w:rPr>
            </m:ctrlPr>
          </m:sSupPr>
          <m:e>
            <m:r>
              <m:rPr>
                <m:sty m:val="p"/>
              </m:rPr>
              <w:rPr>
                <w:rFonts w:ascii="Cambria Math" w:hAnsi="Cambria Math"/>
              </w:rPr>
              <m:t>r</m:t>
            </m:r>
            <m:ctrlPr>
              <w:rPr>
                <w:rFonts w:ascii="Cambria Math" w:hAnsi="Cambria Math"/>
              </w:rPr>
            </m:ctrlPr>
          </m:e>
          <m:sup>
            <m:r>
              <m:rPr>
                <m:sty m:val="p"/>
              </m:rPr>
              <w:rPr>
                <w:rFonts w:ascii="Cambria Math" w:hAnsi="Cambria Math"/>
              </w:rPr>
              <m:t>4</m:t>
            </m:r>
            <m:ctrlPr>
              <w:rPr>
                <w:rFonts w:ascii="Cambria Math" w:hAnsi="Cambria Math"/>
              </w:rPr>
            </m:ctrlP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k</m:t>
            </m:r>
            <m:ctrlPr>
              <w:rPr>
                <w:rFonts w:ascii="Cambria Math" w:hAnsi="Cambria Math"/>
              </w:rPr>
            </m:ctrlPr>
          </m:e>
          <m:sub>
            <m:r>
              <m:rPr>
                <m:sty m:val="p"/>
              </m:rPr>
              <w:rPr>
                <w:rFonts w:ascii="Cambria Math" w:hAnsi="Cambria Math"/>
              </w:rPr>
              <m:t>3</m:t>
            </m:r>
            <m:ctrlPr>
              <w:rPr>
                <w:rFonts w:ascii="Cambria Math" w:hAnsi="Cambria Math"/>
              </w:rPr>
            </m:ctrlPr>
          </m:sub>
        </m:sSub>
        <m:sSup>
          <m:sSupPr>
            <m:ctrlPr>
              <w:rPr>
                <w:rFonts w:ascii="Cambria Math" w:hAnsi="Cambria Math"/>
              </w:rPr>
            </m:ctrlPr>
          </m:sSupPr>
          <m:e>
            <m:r>
              <m:rPr>
                <m:sty m:val="p"/>
              </m:rPr>
              <w:rPr>
                <w:rFonts w:ascii="Cambria Math" w:hAnsi="Cambria Math"/>
              </w:rPr>
              <m:t>r</m:t>
            </m:r>
            <m:ctrlPr>
              <w:rPr>
                <w:rFonts w:ascii="Cambria Math" w:hAnsi="Cambria Math"/>
              </w:rPr>
            </m:ctrlPr>
          </m:e>
          <m:sup>
            <m:r>
              <m:rPr>
                <m:sty m:val="p"/>
              </m:rPr>
              <w:rPr>
                <w:rFonts w:ascii="Cambria Math" w:hAnsi="Cambria Math"/>
              </w:rPr>
              <m:t>6</m:t>
            </m:r>
            <m:ctrlPr>
              <w:rPr>
                <w:rFonts w:ascii="Cambria Math" w:hAnsi="Cambria Math"/>
              </w:rPr>
            </m:ctrlPr>
          </m:sup>
        </m:sSup>
        <m:r>
          <m:rPr>
            <m:sty m:val="p"/>
          </m:rPr>
          <w:rPr>
            <w:rFonts w:ascii="Cambria Math" w:hAnsi="Cambria Math"/>
          </w:rPr>
          <m:t>)+2</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1</m:t>
            </m:r>
            <m:ctrlPr>
              <w:rPr>
                <w:rFonts w:ascii="Cambria Math" w:hAnsi="Cambria Math"/>
              </w:rPr>
            </m:ctrlPr>
          </m:sub>
        </m:sSub>
        <m:r>
          <m:rPr>
            <m:sty m:val="p"/>
          </m:rPr>
          <w:rPr>
            <w:rFonts w:ascii="Cambria Math" w:hAnsi="Cambria Math"/>
          </w:rPr>
          <m:t>xy+</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2</m:t>
            </m:r>
            <m:ctrlPr>
              <w:rPr>
                <w:rFonts w:ascii="Cambria Math" w:hAnsi="Cambria Math"/>
              </w:rPr>
            </m:ctrlP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r</m:t>
            </m:r>
            <m:ctrlPr>
              <w:rPr>
                <w:rFonts w:ascii="Cambria Math" w:hAnsi="Cambria Math"/>
              </w:rPr>
            </m:ctrlPr>
          </m:e>
          <m:sup>
            <m:r>
              <m:rPr>
                <m:sty m:val="p"/>
              </m:rPr>
              <w:rPr>
                <w:rFonts w:ascii="Cambria Math" w:hAnsi="Cambria Math"/>
              </w:rPr>
              <m:t>2</m:t>
            </m:r>
            <m:ctrlPr>
              <w:rPr>
                <w:rFonts w:ascii="Cambria Math" w:hAnsi="Cambria Math"/>
              </w:rPr>
            </m:ctrlPr>
          </m:sup>
        </m:sSup>
        <m:r>
          <m:rPr>
            <m:sty m:val="p"/>
          </m:rPr>
          <w:rPr>
            <w:rFonts w:ascii="Cambria Math" w:hAnsi="Cambria Math"/>
          </w:rPr>
          <m:t>+2</m:t>
        </m:r>
        <m:sSup>
          <m:sSupPr>
            <m:ctrlPr>
              <w:rPr>
                <w:rFonts w:ascii="Cambria Math" w:hAnsi="Cambria Math"/>
              </w:rPr>
            </m:ctrlPr>
          </m:sSupPr>
          <m:e>
            <m:r>
              <m:rPr>
                <m:sty m:val="p"/>
              </m:rPr>
              <w:rPr>
                <w:rFonts w:ascii="Cambria Math" w:hAnsi="Cambria Math"/>
              </w:rPr>
              <m:t>x</m:t>
            </m:r>
            <m:ctrlPr>
              <w:rPr>
                <w:rFonts w:ascii="Cambria Math" w:hAnsi="Cambria Math"/>
              </w:rPr>
            </m:ctrlPr>
          </m:e>
          <m:sup>
            <m:r>
              <m:rPr>
                <m:sty m:val="p"/>
              </m:rPr>
              <w:rPr>
                <w:rFonts w:ascii="Cambria Math" w:hAnsi="Cambria Math"/>
              </w:rPr>
              <m:t>2</m:t>
            </m:r>
            <m:ctrlPr>
              <w:rPr>
                <w:rFonts w:ascii="Cambria Math" w:hAnsi="Cambria Math"/>
              </w:rPr>
            </m:ctrlPr>
          </m:sup>
        </m:sSup>
        <m:r>
          <m:rPr>
            <m:sty m:val="p"/>
          </m:rPr>
          <w:rPr>
            <w:rFonts w:ascii="Cambria Math" w:hAnsi="Cambria Math"/>
          </w:rPr>
          <m:t>)</m:t>
        </m:r>
      </m:oMath>
      <w:r>
        <w:rPr>
          <w:sz w:val="21"/>
        </w:rPr>
        <w:t xml:space="preserve">    （5-2）</w:t>
      </w:r>
    </w:p>
    <w:p w14:paraId="26DB9F19">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y</m:t>
            </m:r>
            <m:ctrlPr>
              <w:rPr>
                <w:rFonts w:ascii="Cambria Math" w:hAnsi="Cambria Math"/>
              </w:rPr>
            </m:ctrlPr>
          </m:e>
          <m:sub>
            <m:r>
              <m:rPr>
                <m:sty m:val="p"/>
              </m:rPr>
              <w:rPr>
                <w:rFonts w:ascii="Cambria Math" w:hAnsi="Cambria Math"/>
              </w:rPr>
              <m:t>d</m:t>
            </m:r>
            <m:ctrlPr>
              <w:rPr>
                <w:rFonts w:ascii="Cambria Math" w:hAnsi="Cambria Math"/>
              </w:rPr>
            </m:ctrlPr>
          </m:sub>
        </m:sSub>
        <m:r>
          <m:rPr>
            <m:sty m:val="p"/>
          </m:rPr>
          <w:rPr>
            <w:rFonts w:ascii="Cambria Math" w:hAnsi="Cambria Math"/>
          </w:rPr>
          <m:t>=y(1+</m:t>
        </m:r>
        <m:sSub>
          <m:sSubPr>
            <m:ctrlPr>
              <w:rPr>
                <w:rFonts w:ascii="Cambria Math" w:hAnsi="Cambria Math"/>
              </w:rPr>
            </m:ctrlPr>
          </m:sSubPr>
          <m:e>
            <m:r>
              <m:rPr>
                <m:sty m:val="p"/>
              </m:rPr>
              <w:rPr>
                <w:rFonts w:ascii="Cambria Math" w:hAnsi="Cambria Math"/>
              </w:rPr>
              <m:t>k</m:t>
            </m:r>
            <m:ctrlPr>
              <w:rPr>
                <w:rFonts w:ascii="Cambria Math" w:hAnsi="Cambria Math"/>
              </w:rPr>
            </m:ctrlPr>
          </m:e>
          <m:sub>
            <m:r>
              <m:rPr>
                <m:sty m:val="p"/>
              </m:rPr>
              <w:rPr>
                <w:rFonts w:ascii="Cambria Math" w:hAnsi="Cambria Math"/>
              </w:rPr>
              <m:t>1</m:t>
            </m:r>
            <m:ctrlPr>
              <w:rPr>
                <w:rFonts w:ascii="Cambria Math" w:hAnsi="Cambria Math"/>
              </w:rPr>
            </m:ctrlPr>
          </m:sub>
        </m:sSub>
        <m:sSup>
          <m:sSupPr>
            <m:ctrlPr>
              <w:rPr>
                <w:rFonts w:ascii="Cambria Math" w:hAnsi="Cambria Math"/>
              </w:rPr>
            </m:ctrlPr>
          </m:sSupPr>
          <m:e>
            <m:r>
              <m:rPr>
                <m:sty m:val="p"/>
              </m:rPr>
              <w:rPr>
                <w:rFonts w:ascii="Cambria Math" w:hAnsi="Cambria Math"/>
              </w:rPr>
              <m:t>r</m:t>
            </m:r>
            <m:ctrlPr>
              <w:rPr>
                <w:rFonts w:ascii="Cambria Math" w:hAnsi="Cambria Math"/>
              </w:rPr>
            </m:ctrlPr>
          </m:e>
          <m:sup>
            <m:r>
              <m:rPr>
                <m:sty m:val="p"/>
              </m:rPr>
              <w:rPr>
                <w:rFonts w:ascii="Cambria Math" w:hAnsi="Cambria Math"/>
              </w:rPr>
              <m:t>2</m:t>
            </m:r>
            <m:ctrlPr>
              <w:rPr>
                <w:rFonts w:ascii="Cambria Math" w:hAnsi="Cambria Math"/>
              </w:rPr>
            </m:ctrlP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k</m:t>
            </m:r>
            <m:ctrlPr>
              <w:rPr>
                <w:rFonts w:ascii="Cambria Math" w:hAnsi="Cambria Math"/>
              </w:rPr>
            </m:ctrlPr>
          </m:e>
          <m:sub>
            <m:r>
              <m:rPr>
                <m:sty m:val="p"/>
              </m:rPr>
              <w:rPr>
                <w:rFonts w:ascii="Cambria Math" w:hAnsi="Cambria Math"/>
              </w:rPr>
              <m:t>2</m:t>
            </m:r>
            <m:ctrlPr>
              <w:rPr>
                <w:rFonts w:ascii="Cambria Math" w:hAnsi="Cambria Math"/>
              </w:rPr>
            </m:ctrlPr>
          </m:sub>
        </m:sSub>
        <m:sSup>
          <m:sSupPr>
            <m:ctrlPr>
              <w:rPr>
                <w:rFonts w:ascii="Cambria Math" w:hAnsi="Cambria Math"/>
              </w:rPr>
            </m:ctrlPr>
          </m:sSupPr>
          <m:e>
            <m:r>
              <m:rPr>
                <m:sty m:val="p"/>
              </m:rPr>
              <w:rPr>
                <w:rFonts w:ascii="Cambria Math" w:hAnsi="Cambria Math"/>
              </w:rPr>
              <m:t>r</m:t>
            </m:r>
            <m:ctrlPr>
              <w:rPr>
                <w:rFonts w:ascii="Cambria Math" w:hAnsi="Cambria Math"/>
              </w:rPr>
            </m:ctrlPr>
          </m:e>
          <m:sup>
            <m:r>
              <m:rPr>
                <m:sty m:val="p"/>
              </m:rPr>
              <w:rPr>
                <w:rFonts w:ascii="Cambria Math" w:hAnsi="Cambria Math"/>
              </w:rPr>
              <m:t>4</m:t>
            </m:r>
            <m:ctrlPr>
              <w:rPr>
                <w:rFonts w:ascii="Cambria Math" w:hAnsi="Cambria Math"/>
              </w:rPr>
            </m:ctrlP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k</m:t>
            </m:r>
            <m:ctrlPr>
              <w:rPr>
                <w:rFonts w:ascii="Cambria Math" w:hAnsi="Cambria Math"/>
              </w:rPr>
            </m:ctrlPr>
          </m:e>
          <m:sub>
            <m:r>
              <m:rPr>
                <m:sty m:val="p"/>
              </m:rPr>
              <w:rPr>
                <w:rFonts w:ascii="Cambria Math" w:hAnsi="Cambria Math"/>
              </w:rPr>
              <m:t>3</m:t>
            </m:r>
            <m:ctrlPr>
              <w:rPr>
                <w:rFonts w:ascii="Cambria Math" w:hAnsi="Cambria Math"/>
              </w:rPr>
            </m:ctrlPr>
          </m:sub>
        </m:sSub>
        <m:sSup>
          <m:sSupPr>
            <m:ctrlPr>
              <w:rPr>
                <w:rFonts w:ascii="Cambria Math" w:hAnsi="Cambria Math"/>
              </w:rPr>
            </m:ctrlPr>
          </m:sSupPr>
          <m:e>
            <m:r>
              <m:rPr>
                <m:sty m:val="p"/>
              </m:rPr>
              <w:rPr>
                <w:rFonts w:ascii="Cambria Math" w:hAnsi="Cambria Math"/>
              </w:rPr>
              <m:t>r</m:t>
            </m:r>
            <m:ctrlPr>
              <w:rPr>
                <w:rFonts w:ascii="Cambria Math" w:hAnsi="Cambria Math"/>
              </w:rPr>
            </m:ctrlPr>
          </m:e>
          <m:sup>
            <m:r>
              <m:rPr>
                <m:sty m:val="p"/>
              </m:rPr>
              <w:rPr>
                <w:rFonts w:ascii="Cambria Math" w:hAnsi="Cambria Math"/>
              </w:rPr>
              <m:t>6</m:t>
            </m:r>
            <m:ctrlPr>
              <w:rPr>
                <w:rFonts w:ascii="Cambria Math" w:hAnsi="Cambria Math"/>
              </w:rPr>
            </m:ctrlP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1</m:t>
            </m:r>
            <m:ctrlPr>
              <w:rPr>
                <w:rFonts w:ascii="Cambria Math" w:hAnsi="Cambria Math"/>
              </w:rPr>
            </m:ctrlP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r</m:t>
            </m:r>
            <m:ctrlPr>
              <w:rPr>
                <w:rFonts w:ascii="Cambria Math" w:hAnsi="Cambria Math"/>
              </w:rPr>
            </m:ctrlPr>
          </m:e>
          <m:sup>
            <m:r>
              <m:rPr>
                <m:sty m:val="p"/>
              </m:rPr>
              <w:rPr>
                <w:rFonts w:ascii="Cambria Math" w:hAnsi="Cambria Math"/>
              </w:rPr>
              <m:t>2</m:t>
            </m:r>
            <m:ctrlPr>
              <w:rPr>
                <w:rFonts w:ascii="Cambria Math" w:hAnsi="Cambria Math"/>
              </w:rPr>
            </m:ctrlPr>
          </m:sup>
        </m:sSup>
        <m:r>
          <m:rPr>
            <m:sty m:val="p"/>
          </m:rPr>
          <w:rPr>
            <w:rFonts w:ascii="Cambria Math" w:hAnsi="Cambria Math"/>
          </w:rPr>
          <m:t>+2</m:t>
        </m:r>
        <m:sSup>
          <m:sSupPr>
            <m:ctrlPr>
              <w:rPr>
                <w:rFonts w:ascii="Cambria Math" w:hAnsi="Cambria Math"/>
              </w:rPr>
            </m:ctrlPr>
          </m:sSupPr>
          <m:e>
            <m:r>
              <m:rPr>
                <m:sty m:val="p"/>
              </m:rPr>
              <w:rPr>
                <w:rFonts w:ascii="Cambria Math" w:hAnsi="Cambria Math"/>
              </w:rPr>
              <m:t>y</m:t>
            </m:r>
            <m:ctrlPr>
              <w:rPr>
                <w:rFonts w:ascii="Cambria Math" w:hAnsi="Cambria Math"/>
              </w:rPr>
            </m:ctrlPr>
          </m:e>
          <m:sup>
            <m:r>
              <m:rPr>
                <m:sty m:val="p"/>
              </m:rPr>
              <w:rPr>
                <w:rFonts w:ascii="Cambria Math" w:hAnsi="Cambria Math"/>
              </w:rPr>
              <m:t>2</m:t>
            </m:r>
            <m:ctrlPr>
              <w:rPr>
                <w:rFonts w:ascii="Cambria Math" w:hAnsi="Cambria Math"/>
              </w:rPr>
            </m:ctrlPr>
          </m:sup>
        </m:sSup>
        <m:r>
          <m:rPr>
            <m:sty m:val="p"/>
          </m:rPr>
          <w:rPr>
            <w:rFonts w:ascii="Cambria Math" w:hAnsi="Cambria Math"/>
          </w:rPr>
          <m:t>)+2</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2</m:t>
            </m:r>
            <m:ctrlPr>
              <w:rPr>
                <w:rFonts w:ascii="Cambria Math" w:hAnsi="Cambria Math"/>
              </w:rPr>
            </m:ctrlPr>
          </m:sub>
        </m:sSub>
        <m:r>
          <m:rPr>
            <m:sty m:val="p"/>
          </m:rPr>
          <w:rPr>
            <w:rFonts w:ascii="Cambria Math" w:hAnsi="Cambria Math"/>
          </w:rPr>
          <m:t>xy</m:t>
        </m:r>
      </m:oMath>
      <w:r>
        <w:rPr>
          <w:sz w:val="21"/>
        </w:rPr>
        <w:t xml:space="preserve">    （5-3）</w:t>
      </w:r>
    </w:p>
    <w:p w14:paraId="52734BD0">
      <w:r>
        <w:t>平面标定可通过不同姿态下的标定板图像估计内参和畸变，再计算重投影残差[7]。对于具有出厂参数的RGB-D设备，也可以使用SDK提供的内参，但必须记录参数来自出厂配置还是独立标定，并进行与当前分辨率一致的核对。使用出厂内参不等同于本文已完成一次新的相机标定实验。</w:t>
      </w:r>
    </w:p>
    <w:p w14:paraId="2C303A36">
      <w:r>
        <w:t>现有流程包含彩色与深度对齐，也可能在SDK和软件层分别执行图像校正。需确认最终进入识别网络的图像是否已经去畸变，反投影调用使用的内参是否与之匹配。重复去畸变或用原始图像内参处理校正图像，都可能形成稳定但错误的坐标映射。</w:t>
      </w:r>
    </w:p>
    <w:p w14:paraId="513606AD">
      <w:r>
        <w:rPr>
          <w:color w:val="C00000"/>
          <w:sz w:val="22"/>
        </w:rPr>
        <w:t>【待补D13：相机内参矩阵K、畸变系数D、对应彩色与深度分辨率、深度单位和SDK对齐方式；注明出厂参数或独立标定来源。K=________，D=________。】</w:t>
      </w:r>
    </w:p>
    <w:p w14:paraId="20AB0B9E">
      <w:r>
        <w:rPr>
          <w:color w:val="C00000"/>
          <w:sz w:val="22"/>
        </w:rPr>
        <w:t>【待核D14：原始图像与去畸变图像的实际数据流、SDK是否已校正及软件是否重复去畸变；如已有独立标定，提供标定板尺寸、角点图、图像数量和重投影残差记录。】</w:t>
      </w:r>
    </w:p>
    <w:p w14:paraId="5CE96E09">
      <w:pPr>
        <w:pStyle w:val="4"/>
        <w:spacing w:before="240" w:after="240"/>
      </w:pPr>
      <w:bookmarkStart w:id="75" w:name="_Toc243339255"/>
      <w:r>
        <w:t>5.2.2 手眼外参与工具坐标确定</w:t>
      </w:r>
      <w:bookmarkEnd w:id="75"/>
    </w:p>
    <w:p w14:paraId="022F2D9C">
      <w:r>
        <w:t>眼在手上结构中，相机与法兰之间保持固定刚体关系，法兰相对基坐标的变换随关节状态变化。记该固定外参为T_FC，则采集时刻t的相机到基坐标关系为T_BC(t)=T_BF(t)T_FC。若相机模型包含安装系与光学系，应把固定光学旋转纳入T_FC，避免将相机外壳轴向误用为投影坐标轴。</w:t>
      </w:r>
    </w:p>
    <w:p w14:paraId="66F56115">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BC</m:t>
            </m:r>
            <m:ctrlPr>
              <w:rPr>
                <w:rFonts w:ascii="Cambria Math" w:hAnsi="Cambria Math"/>
              </w:rPr>
            </m:ctrlPr>
          </m:sub>
        </m:sSub>
        <m:r>
          <m:rPr>
            <m:sty m:val="p"/>
          </m:rPr>
          <w:rPr>
            <w:rFonts w:ascii="Cambria Math" w:hAnsi="Cambria Math"/>
          </w:rPr>
          <m:t>(t)=</m:t>
        </m:r>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BF</m:t>
            </m:r>
            <m:ctrlPr>
              <w:rPr>
                <w:rFonts w:ascii="Cambria Math" w:hAnsi="Cambria Math"/>
              </w:rPr>
            </m:ctrlPr>
          </m:sub>
        </m:sSub>
        <m:r>
          <m:rPr>
            <m:sty m:val="p"/>
          </m:rPr>
          <w:rPr>
            <w:rFonts w:ascii="Cambria Math" w:hAnsi="Cambria Math"/>
          </w:rPr>
          <m:t>(t)</m:t>
        </m:r>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FC</m:t>
            </m:r>
            <m:ctrlPr>
              <w:rPr>
                <w:rFonts w:ascii="Cambria Math" w:hAnsi="Cambria Math"/>
              </w:rPr>
            </m:ctrlPr>
          </m:sub>
        </m:sSub>
      </m:oMath>
      <w:r>
        <w:rPr>
          <w:sz w:val="21"/>
        </w:rPr>
        <w:t xml:space="preserve">    （5-4）</w:t>
      </w:r>
    </w:p>
    <w:p w14:paraId="6E9A514C">
      <w:pPr>
        <w:keepNext/>
        <w:spacing w:before="100" w:line="240" w:lineRule="auto"/>
        <w:ind w:firstLine="0"/>
        <w:jc w:val="center"/>
      </w:pPr>
      <w:r>
        <w:drawing>
          <wp:inline distT="0" distB="0" distL="0" distR="0">
            <wp:extent cx="5039995" cy="3564255"/>
            <wp:effectExtent l="0" t="0" r="0" b="0"/>
            <wp:docPr id="13" name="Picture 13" descr="图5-4 眼在手上标定的坐标关系原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图5-4 眼在手上标定的坐标关系原理"/>
                    <pic:cNvPicPr>
                      <a:picLocks noChangeAspect="1"/>
                    </pic:cNvPicPr>
                  </pic:nvPicPr>
                  <pic:blipFill>
                    <a:blip r:embed="rId22"/>
                    <a:stretch>
                      <a:fillRect/>
                    </a:stretch>
                  </pic:blipFill>
                  <pic:spPr>
                    <a:xfrm>
                      <a:off x="0" y="0"/>
                      <a:ext cx="5040000" cy="3564411"/>
                    </a:xfrm>
                    <a:prstGeom prst="rect">
                      <a:avLst/>
                    </a:prstGeom>
                  </pic:spPr>
                </pic:pic>
              </a:graphicData>
            </a:graphic>
          </wp:inline>
        </w:drawing>
      </w:r>
    </w:p>
    <w:p w14:paraId="312DCC51">
      <w:pPr>
        <w:pStyle w:val="79"/>
        <w:keepNext/>
      </w:pPr>
      <w:r>
        <w:t>图5-4 眼在手上标定的坐标关系原理</w:t>
      </w:r>
    </w:p>
    <w:p w14:paraId="45041512">
      <w:pPr>
        <w:spacing w:line="276" w:lineRule="auto"/>
        <w:ind w:firstLine="0"/>
      </w:pPr>
      <w:r>
        <w:rPr>
          <w:sz w:val="18"/>
        </w:rPr>
        <w:t>来源：OpenCV 4.10.0官方手眼标定示意图，原图未改动[8]。图中gripper相当于本文法兰参考F，target为标定靶标。</w:t>
      </w:r>
    </w:p>
    <w:p w14:paraId="48A91E9E">
      <w:r>
        <w:t>记固定靶标坐标系为G，两次观测满足其在基坐标系下位姿不变。由此可构造A_iX=XB_i形式的手眼方程，A_i、B_i为配对观测构造的相对运动，X对应T_FC。外参求解需要多组具有充分姿态变化的观测。OpenCV提供多种求解方法，最终采用何种算法及是否实际完成求解，以标定记录为准[8]。</w:t>
      </w:r>
    </w:p>
    <w:p w14:paraId="1B086D64">
      <w:pPr>
        <w:spacing w:before="120" w:after="120" w:line="300" w:lineRule="auto"/>
        <w:ind w:firstLine="0"/>
        <w:jc w:val="center"/>
      </w:pPr>
      <m:oMath>
        <m:sSubSup>
          <m:sSubSupPr>
            <m:ctrlPr>
              <w:rPr>
                <w:rFonts w:ascii="Cambria Math" w:hAnsi="Cambria Math"/>
              </w:rPr>
            </m:ctrlPr>
          </m:sSubSupPr>
          <m:e>
            <m:r>
              <m:rPr>
                <m:sty m:val="p"/>
              </m:rPr>
              <w:rPr>
                <w:rFonts w:ascii="Cambria Math" w:hAnsi="Cambria Math"/>
              </w:rPr>
              <m:t>T</m:t>
            </m:r>
            <m:ctrlPr>
              <w:rPr>
                <w:rFonts w:ascii="Cambria Math" w:hAnsi="Cambria Math"/>
              </w:rPr>
            </m:ctrlPr>
          </m:e>
          <m:sub>
            <m:r>
              <m:rPr>
                <m:sty m:val="p"/>
              </m:rPr>
              <w:rPr>
                <w:rFonts w:ascii="Cambria Math" w:hAnsi="Cambria Math"/>
              </w:rPr>
              <m:t>BF</m:t>
            </m:r>
            <m:ctrlPr>
              <w:rPr>
                <w:rFonts w:ascii="Cambria Math" w:hAnsi="Cambria Math"/>
              </w:rPr>
            </m:ctrlPr>
          </m:sub>
          <m:sup>
            <m:r>
              <m:rPr>
                <m:sty m:val="p"/>
              </m:rPr>
              <w:rPr>
                <w:rFonts w:ascii="Cambria Math" w:hAnsi="Cambria Math"/>
              </w:rPr>
              <m:t>(1)</m:t>
            </m:r>
            <m:ctrlPr>
              <w:rPr>
                <w:rFonts w:ascii="Cambria Math" w:hAnsi="Cambria Math"/>
              </w:rPr>
            </m:ctrlPr>
          </m:sup>
        </m:sSubSup>
        <m:r>
          <m:rPr>
            <m:sty m:val="p"/>
          </m:rPr>
          <w:rPr>
            <w:rFonts w:ascii="Cambria Math" w:hAnsi="Cambria Math"/>
          </w:rPr>
          <m:t>X</m:t>
        </m:r>
        <m:sSubSup>
          <m:sSubSupPr>
            <m:ctrlPr>
              <w:rPr>
                <w:rFonts w:ascii="Cambria Math" w:hAnsi="Cambria Math"/>
              </w:rPr>
            </m:ctrlPr>
          </m:sSubSupPr>
          <m:e>
            <m:r>
              <m:rPr>
                <m:sty m:val="p"/>
              </m:rPr>
              <w:rPr>
                <w:rFonts w:ascii="Cambria Math" w:hAnsi="Cambria Math"/>
              </w:rPr>
              <m:t>T</m:t>
            </m:r>
            <m:ctrlPr>
              <w:rPr>
                <w:rFonts w:ascii="Cambria Math" w:hAnsi="Cambria Math"/>
              </w:rPr>
            </m:ctrlPr>
          </m:e>
          <m:sub>
            <m:r>
              <m:rPr>
                <m:sty m:val="p"/>
              </m:rPr>
              <w:rPr>
                <w:rFonts w:ascii="Cambria Math" w:hAnsi="Cambria Math"/>
              </w:rPr>
              <m:t>CG</m:t>
            </m:r>
            <m:ctrlPr>
              <w:rPr>
                <w:rFonts w:ascii="Cambria Math" w:hAnsi="Cambria Math"/>
              </w:rPr>
            </m:ctrlPr>
          </m:sub>
          <m:sup>
            <m:r>
              <m:rPr>
                <m:sty m:val="p"/>
              </m:rPr>
              <w:rPr>
                <w:rFonts w:ascii="Cambria Math" w:hAnsi="Cambria Math"/>
              </w:rPr>
              <m:t>(1)</m:t>
            </m:r>
            <m:ctrlPr>
              <w:rPr>
                <w:rFonts w:ascii="Cambria Math" w:hAnsi="Cambria Math"/>
              </w:rPr>
            </m:ctrlP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T</m:t>
            </m:r>
            <m:ctrlPr>
              <w:rPr>
                <w:rFonts w:ascii="Cambria Math" w:hAnsi="Cambria Math"/>
              </w:rPr>
            </m:ctrlPr>
          </m:e>
          <m:sub>
            <m:r>
              <m:rPr>
                <m:sty m:val="p"/>
              </m:rPr>
              <w:rPr>
                <w:rFonts w:ascii="Cambria Math" w:hAnsi="Cambria Math"/>
              </w:rPr>
              <m:t>BF</m:t>
            </m:r>
            <m:ctrlPr>
              <w:rPr>
                <w:rFonts w:ascii="Cambria Math" w:hAnsi="Cambria Math"/>
              </w:rPr>
            </m:ctrlPr>
          </m:sub>
          <m:sup>
            <m:r>
              <m:rPr>
                <m:sty m:val="p"/>
              </m:rPr>
              <w:rPr>
                <w:rFonts w:ascii="Cambria Math" w:hAnsi="Cambria Math"/>
              </w:rPr>
              <m:t>(2)</m:t>
            </m:r>
            <m:ctrlPr>
              <w:rPr>
                <w:rFonts w:ascii="Cambria Math" w:hAnsi="Cambria Math"/>
              </w:rPr>
            </m:ctrlPr>
          </m:sup>
        </m:sSubSup>
        <m:r>
          <m:rPr>
            <m:sty m:val="p"/>
          </m:rPr>
          <w:rPr>
            <w:rFonts w:ascii="Cambria Math" w:hAnsi="Cambria Math"/>
          </w:rPr>
          <m:t>X</m:t>
        </m:r>
        <m:sSubSup>
          <m:sSubSupPr>
            <m:ctrlPr>
              <w:rPr>
                <w:rFonts w:ascii="Cambria Math" w:hAnsi="Cambria Math"/>
              </w:rPr>
            </m:ctrlPr>
          </m:sSubSupPr>
          <m:e>
            <m:r>
              <m:rPr>
                <m:sty m:val="p"/>
              </m:rPr>
              <w:rPr>
                <w:rFonts w:ascii="Cambria Math" w:hAnsi="Cambria Math"/>
              </w:rPr>
              <m:t>T</m:t>
            </m:r>
            <m:ctrlPr>
              <w:rPr>
                <w:rFonts w:ascii="Cambria Math" w:hAnsi="Cambria Math"/>
              </w:rPr>
            </m:ctrlPr>
          </m:e>
          <m:sub>
            <m:r>
              <m:rPr>
                <m:sty m:val="p"/>
              </m:rPr>
              <w:rPr>
                <w:rFonts w:ascii="Cambria Math" w:hAnsi="Cambria Math"/>
              </w:rPr>
              <m:t>CG</m:t>
            </m:r>
            <m:ctrlPr>
              <w:rPr>
                <w:rFonts w:ascii="Cambria Math" w:hAnsi="Cambria Math"/>
              </w:rPr>
            </m:ctrlPr>
          </m:sub>
          <m:sup>
            <m:r>
              <m:rPr>
                <m:sty m:val="p"/>
              </m:rPr>
              <w:rPr>
                <w:rFonts w:ascii="Cambria Math" w:hAnsi="Cambria Math"/>
              </w:rPr>
              <m:t>(2)</m:t>
            </m:r>
            <m:ctrlPr>
              <w:rPr>
                <w:rFonts w:ascii="Cambria Math" w:hAnsi="Cambria Math"/>
              </w:rPr>
            </m:ctrlPr>
          </m:sup>
        </m:sSubSup>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X=X</m:t>
        </m:r>
        <m:sSub>
          <m:sSubPr>
            <m:ctrlPr>
              <w:rPr>
                <w:rFonts w:ascii="Cambria Math" w:hAnsi="Cambria Math"/>
              </w:rPr>
            </m:ctrlPr>
          </m:sSubPr>
          <m:e>
            <m:r>
              <m:rPr>
                <m:sty m:val="p"/>
              </m:rPr>
              <w:rPr>
                <w:rFonts w:ascii="Cambria Math" w:hAnsi="Cambria Math"/>
              </w:rPr>
              <m:t>B</m:t>
            </m:r>
            <m:ctrlPr>
              <w:rPr>
                <w:rFonts w:ascii="Cambria Math" w:hAnsi="Cambria Math"/>
              </w:rPr>
            </m:ctrlPr>
          </m:e>
          <m:sub>
            <m:r>
              <m:rPr>
                <m:sty m:val="p"/>
              </m:rPr>
              <w:rPr>
                <w:rFonts w:ascii="Cambria Math" w:hAnsi="Cambria Math"/>
              </w:rPr>
              <m:t>i</m:t>
            </m:r>
            <m:ctrlPr>
              <w:rPr>
                <w:rFonts w:ascii="Cambria Math" w:hAnsi="Cambria Math"/>
              </w:rPr>
            </m:ctrlPr>
          </m:sub>
        </m:sSub>
      </m:oMath>
      <w:r>
        <w:rPr>
          <w:sz w:val="21"/>
        </w:rPr>
        <w:t xml:space="preserve">    （5-5）</w:t>
      </w:r>
    </w:p>
    <w:p w14:paraId="2D594E93">
      <w:r>
        <w:t>工程报告中存在由安装关系或机器人描述文件给定的固定变换示例。此类值可以作为系统配置，却不能直接命名为经独立测量验证的手眼标定结果。若模型中平移与旋转只来自装配尺寸，应如实说明参数确定方式，并用已有空间核对记录评价适用性。</w:t>
      </w:r>
    </w:p>
    <w:p w14:paraId="56282E8C">
      <w:r>
        <w:t>工具坐标T_FT同样需要独立说明。若以固定TCP接触同一参考点并改变法兰姿态，可以根据多组方程估计工具中心相对法兰的位置；工具轴向则还需依赖安装方向或姿态标定。不同工具配置可能具有不同轴向延伸，不能将接近距离0.10 m误当作所有工具的TCP长度。</w:t>
      </w:r>
    </w:p>
    <w:p w14:paraId="5E8EA632">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ref</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ctrlPr>
              <w:rPr>
                <w:rFonts w:ascii="Cambria Math" w:hAnsi="Cambria Math"/>
              </w:rPr>
            </m:ctrlPr>
          </m:e>
          <m:sub>
            <m:r>
              <m:rPr>
                <m:sty m:val="p"/>
              </m:rPr>
              <w:rPr>
                <w:rFonts w:ascii="Cambria Math" w:hAnsi="Cambria Math"/>
              </w:rPr>
              <m:t>BF,i</m:t>
            </m:r>
            <m:ctrlPr>
              <w:rPr>
                <w:rFonts w:ascii="Cambria Math" w:hAnsi="Cambria Math"/>
              </w:rPr>
            </m:ctrlPr>
          </m:sub>
        </m:sSub>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FT</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BF,i</m:t>
            </m:r>
            <m:ctrlPr>
              <w:rPr>
                <w:rFonts w:ascii="Cambria Math" w:hAnsi="Cambria Math"/>
              </w:rPr>
            </m:ctrlPr>
          </m:sub>
        </m:sSub>
        <m:r>
          <m:rPr>
            <m:sty m:val="p"/>
          </m:rPr>
          <w:rPr>
            <w:rFonts w:ascii="Cambria Math" w:hAnsi="Cambria Math"/>
          </w:rPr>
          <m:t xml:space="preserve">,    </m:t>
        </m:r>
        <m:sSubSup>
          <m:sSubSupPr>
            <m:ctrlPr>
              <w:rPr>
                <w:rFonts w:ascii="Cambria Math" w:hAnsi="Cambria Math"/>
              </w:rPr>
            </m:ctrlPr>
          </m:sSubSupPr>
          <m:e>
            <m:r>
              <m:rPr>
                <m:sty m:val="p"/>
              </m:rPr>
              <w:rPr>
                <w:rFonts w:ascii="Cambria Math" w:hAnsi="Cambria Math"/>
              </w:rPr>
              <m:t>T</m:t>
            </m:r>
            <m:ctrlPr>
              <w:rPr>
                <w:rFonts w:ascii="Cambria Math" w:hAnsi="Cambria Math"/>
              </w:rPr>
            </m:ctrlPr>
          </m:e>
          <m:sub>
            <m:r>
              <m:rPr>
                <m:sty m:val="p"/>
              </m:rPr>
              <w:rPr>
                <w:rFonts w:ascii="Cambria Math" w:hAnsi="Cambria Math"/>
              </w:rPr>
              <m:t>BF</m:t>
            </m:r>
            <m:ctrlPr>
              <w:rPr>
                <w:rFonts w:ascii="Cambria Math" w:hAnsi="Cambria Math"/>
              </w:rPr>
            </m:ctrlPr>
          </m:sub>
          <m:sup>
            <m:r>
              <m:rPr>
                <m:sty m:val="p"/>
              </m:rPr>
              <w:rPr>
                <w:rFonts w:ascii="Cambria Math" w:hAnsi="Cambria Math"/>
              </w:rPr>
              <m:t>d</m:t>
            </m:r>
            <m:ctrlPr>
              <w:rPr>
                <w:rFonts w:ascii="Cambria Math" w:hAnsi="Cambria Math"/>
              </w:rPr>
            </m:ctrlP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T</m:t>
            </m:r>
            <m:ctrlPr>
              <w:rPr>
                <w:rFonts w:ascii="Cambria Math" w:hAnsi="Cambria Math"/>
              </w:rPr>
            </m:ctrlPr>
          </m:e>
          <m:sub>
            <m:r>
              <m:rPr>
                <m:sty m:val="p"/>
              </m:rPr>
              <w:rPr>
                <w:rFonts w:ascii="Cambria Math" w:hAnsi="Cambria Math"/>
              </w:rPr>
              <m:t>BT</m:t>
            </m:r>
            <m:ctrlPr>
              <w:rPr>
                <w:rFonts w:ascii="Cambria Math" w:hAnsi="Cambria Math"/>
              </w:rPr>
            </m:ctrlPr>
          </m:sub>
          <m:sup>
            <m:r>
              <m:rPr>
                <m:sty m:val="p"/>
              </m:rPr>
              <w:rPr>
                <w:rFonts w:ascii="Cambria Math" w:hAnsi="Cambria Math"/>
              </w:rPr>
              <m:t>d</m:t>
            </m:r>
            <m:ctrlPr>
              <w:rPr>
                <w:rFonts w:ascii="Cambria Math" w:hAnsi="Cambria Math"/>
              </w:rPr>
            </m:ctrlPr>
          </m:sup>
        </m:sSubSup>
        <m:sSubSup>
          <m:sSubSupPr>
            <m:ctrlPr>
              <w:rPr>
                <w:rFonts w:ascii="Cambria Math" w:hAnsi="Cambria Math"/>
              </w:rPr>
            </m:ctrlPr>
          </m:sSubSupPr>
          <m:e>
            <m:r>
              <m:rPr>
                <m:sty m:val="p"/>
              </m:rPr>
              <w:rPr>
                <w:rFonts w:ascii="Cambria Math" w:hAnsi="Cambria Math"/>
              </w:rPr>
              <m:t>T</m:t>
            </m:r>
            <m:ctrlPr>
              <w:rPr>
                <w:rFonts w:ascii="Cambria Math" w:hAnsi="Cambria Math"/>
              </w:rPr>
            </m:ctrlPr>
          </m:e>
          <m:sub>
            <m:r>
              <m:rPr>
                <m:sty m:val="p"/>
              </m:rPr>
              <w:rPr>
                <w:rFonts w:ascii="Cambria Math" w:hAnsi="Cambria Math"/>
              </w:rPr>
              <m:t>FT</m:t>
            </m:r>
            <m:ctrlPr>
              <w:rPr>
                <w:rFonts w:ascii="Cambria Math" w:hAnsi="Cambria Math"/>
              </w:rPr>
            </m:ctrlPr>
          </m:sub>
          <m:sup>
            <m:r>
              <m:rPr>
                <m:sty m:val="p"/>
              </m:rPr>
              <w:rPr>
                <w:rFonts w:ascii="Cambria Math" w:hAnsi="Cambria Math"/>
              </w:rPr>
              <m:t>−1</m:t>
            </m:r>
            <m:ctrlPr>
              <w:rPr>
                <w:rFonts w:ascii="Cambria Math" w:hAnsi="Cambria Math"/>
              </w:rPr>
            </m:ctrlPr>
          </m:sup>
        </m:sSubSup>
      </m:oMath>
      <w:r>
        <w:rPr>
          <w:sz w:val="21"/>
        </w:rPr>
        <w:t xml:space="preserve">    （5-6）</w:t>
      </w:r>
    </w:p>
    <w:p w14:paraId="218AB73D">
      <w:r>
        <w:rPr>
          <w:color w:val="C00000"/>
          <w:sz w:val="22"/>
        </w:rPr>
        <w:t>【待补D15：实际T_FC手眼外参矩阵及方向定义、安装系到光学系关系、参数确定方式；若进行手眼标定，提供图像与机器人位姿配对、方法及独立验证残差。T_FC=________。】</w:t>
      </w:r>
    </w:p>
    <w:p w14:paraId="61A4684A">
      <w:r>
        <w:rPr>
          <w:color w:val="C00000"/>
          <w:sz w:val="22"/>
        </w:rPr>
        <w:t>【待补D16：最终使用工具的T_FT或控制器TCP参数、工具编号、单位和轴向定义，以及是否由控制器自动补偿。T_FT=________；工具长度________。】</w:t>
      </w:r>
    </w:p>
    <w:p w14:paraId="7B41C382">
      <w:pPr>
        <w:pStyle w:val="4"/>
        <w:spacing w:before="240" w:after="240"/>
      </w:pPr>
      <w:bookmarkStart w:id="76" w:name="_Toc243339256"/>
      <w:r>
        <w:t>5.2.3 目标三维映射与表面法向估计</w:t>
      </w:r>
      <w:bookmarkEnd w:id="76"/>
    </w:p>
    <w:p w14:paraId="24F65042">
      <w:r>
        <w:t>识别与人工确认后的像素需要还原到深度对应的图像坐标。现有报告描述了0°、90°、180°和270°显示旋转的坐标恢复。恢复时应同时考虑旋转方向、宽高交换及像素索引边界，并与裁剪、缩放后的内参保持一致。旋转后的显示坐标不能直接用于原始深度图取值。</w:t>
      </w:r>
    </w:p>
    <w:p w14:paraId="1871BB89">
      <w:r>
        <w:t>在彩色与深度已对应、输入像素已去畸变且深度表示光轴方向距离Z_C的前提下，三维点由式（5-7）计算。如果设备返回的是沿视线的距离，则需要先转换为光轴深度，不能直接套用该公式。</w:t>
      </w:r>
    </w:p>
    <w:p w14:paraId="5E343C27">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C</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Z</m:t>
            </m:r>
            <m:ctrlPr>
              <w:rPr>
                <w:rFonts w:ascii="Cambria Math" w:hAnsi="Cambria Math"/>
              </w:rPr>
            </m:ctrlPr>
          </m:e>
          <m:sub>
            <m:r>
              <m:rPr>
                <m:sty m:val="p"/>
              </m:rPr>
              <w:rPr>
                <w:rFonts w:ascii="Cambria Math" w:hAnsi="Cambria Math"/>
              </w:rPr>
              <m:t>C</m:t>
            </m:r>
            <m:ctrlPr>
              <w:rPr>
                <w:rFonts w:ascii="Cambria Math" w:hAnsi="Cambria Math"/>
              </w:rPr>
            </m:ctrlPr>
          </m:sub>
        </m:sSub>
        <m:sSup>
          <m:sSupPr>
            <m:ctrlPr>
              <w:rPr>
                <w:rFonts w:ascii="Cambria Math" w:hAnsi="Cambria Math"/>
              </w:rPr>
            </m:ctrlPr>
          </m:sSupPr>
          <m:e>
            <m:r>
              <m:rPr>
                <m:sty m:val="p"/>
              </m:rPr>
              <w:rPr>
                <w:rFonts w:ascii="Cambria Math" w:hAnsi="Cambria Math"/>
              </w:rPr>
              <m:t>K</m:t>
            </m:r>
            <m:ctrlPr>
              <w:rPr>
                <w:rFonts w:ascii="Cambria Math" w:hAnsi="Cambria Math"/>
              </w:rPr>
            </m:ctrlPr>
          </m:e>
          <m:sup>
            <m:r>
              <m:rPr>
                <m:sty m:val="p"/>
              </m:rPr>
              <w:rPr>
                <w:rFonts w:ascii="Cambria Math" w:hAnsi="Cambria Math"/>
              </w:rPr>
              <m:t>−1</m:t>
            </m:r>
            <m:ctrlPr>
              <w:rPr>
                <w:rFonts w:ascii="Cambria Math" w:hAnsi="Cambria Math"/>
              </w:rPr>
            </m:ctrlPr>
          </m:sup>
        </m:sSup>
        <m:d>
          <m:dPr>
            <m:begChr m:val="["/>
            <m:endChr m:val="]"/>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u</m:t>
                  </m:r>
                  <m:ctrlPr>
                    <w:rPr>
                      <w:rFonts w:ascii="Cambria Math" w:hAnsi="Cambria Math"/>
                    </w:rPr>
                  </m:ctrlPr>
                </m:e>
              </m:mr>
              <m:mr>
                <m:e>
                  <m:r>
                    <m:rPr>
                      <m:sty m:val="p"/>
                    </m:rPr>
                    <w:rPr>
                      <w:rFonts w:ascii="Cambria Math" w:hAnsi="Cambria Math"/>
                    </w:rPr>
                    <m:t>v</m:t>
                  </m:r>
                  <m:ctrlPr>
                    <w:rPr>
                      <w:rFonts w:ascii="Cambria Math" w:hAnsi="Cambria Math"/>
                    </w:rPr>
                  </m:ctrlPr>
                </m:e>
              </m:mr>
              <m:mr>
                <m:e>
                  <m:r>
                    <m:rPr>
                      <m:sty m:val="p"/>
                    </m:rPr>
                    <w:rPr>
                      <w:rFonts w:ascii="Cambria Math" w:hAnsi="Cambria Math"/>
                    </w:rPr>
                    <m:t>1</m:t>
                  </m:r>
                  <m:ctrlPr>
                    <w:rPr>
                      <w:rFonts w:ascii="Cambria Math" w:hAnsi="Cambria Math"/>
                    </w:rPr>
                  </m:ctrlPr>
                </m:e>
              </m:mr>
            </m:m>
            <m:ctrlPr>
              <w:rPr>
                <w:rFonts w:ascii="Cambria Math" w:hAnsi="Cambria Math"/>
              </w:rPr>
            </m:ctrlPr>
          </m:e>
        </m:d>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C</m:t>
            </m:r>
            <m:ctrlPr>
              <w:rPr>
                <w:rFonts w:ascii="Cambria Math" w:hAnsi="Cambria Math"/>
              </w:rPr>
            </m:ctrlPr>
          </m:sub>
        </m:sSub>
        <m:r>
          <m:rPr>
            <m:sty m:val="p"/>
          </m:rPr>
          <w:rPr>
            <w:rFonts w:ascii="Cambria Math" w:hAnsi="Cambria Math"/>
          </w:rPr>
          <m:t>=</m:t>
        </m:r>
        <m:f>
          <m:fPr>
            <m:ctrlPr>
              <w:rPr>
                <w:rFonts w:ascii="Cambria Math" w:hAnsi="Cambria Math"/>
              </w:rPr>
            </m:ctrlPr>
          </m:fPr>
          <m:num>
            <m:r>
              <m:rPr>
                <m:sty m:val="p"/>
              </m:rPr>
              <w:rPr>
                <w:rFonts w:ascii="Cambria Math" w:hAnsi="Cambria Math"/>
              </w:rPr>
              <m:t>(u−</m:t>
            </m:r>
            <m:sSub>
              <m:sSubPr>
                <m:ctrlPr>
                  <w:rPr>
                    <w:rFonts w:ascii="Cambria Math" w:hAnsi="Cambria Math"/>
                  </w:rPr>
                </m:ctrlPr>
              </m:sSubPr>
              <m:e>
                <m:r>
                  <m:rPr>
                    <m:sty m:val="p"/>
                  </m:rPr>
                  <w:rPr>
                    <w:rFonts w:ascii="Cambria Math" w:hAnsi="Cambria Math"/>
                  </w:rPr>
                  <m:t>c</m:t>
                </m:r>
                <m:ctrlPr>
                  <w:rPr>
                    <w:rFonts w:ascii="Cambria Math" w:hAnsi="Cambria Math"/>
                  </w:rPr>
                </m:ctrlPr>
              </m:e>
              <m:sub>
                <m:r>
                  <m:rPr>
                    <m:sty m:val="p"/>
                  </m:rPr>
                  <w:rPr>
                    <w:rFonts w:ascii="Cambria Math" w:hAnsi="Cambria Math"/>
                  </w:rPr>
                  <m:t>x</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Z</m:t>
                </m:r>
                <m:ctrlPr>
                  <w:rPr>
                    <w:rFonts w:ascii="Cambria Math" w:hAnsi="Cambria Math"/>
                  </w:rPr>
                </m:ctrlPr>
              </m:e>
              <m:sub>
                <m:r>
                  <m:rPr>
                    <m:sty m:val="p"/>
                  </m:rPr>
                  <w:rPr>
                    <w:rFonts w:ascii="Cambria Math" w:hAnsi="Cambria Math"/>
                  </w:rPr>
                  <m:t>C</m:t>
                </m:r>
                <m:ctrlPr>
                  <w:rPr>
                    <w:rFonts w:ascii="Cambria Math" w:hAnsi="Cambria Math"/>
                  </w:rPr>
                </m:ctrlPr>
              </m:sub>
            </m:sSub>
            <m:ctrlPr>
              <w:rPr>
                <w:rFonts w:ascii="Cambria Math" w:hAnsi="Cambria Math"/>
              </w:rPr>
            </m:ctrlPr>
          </m:num>
          <m:den>
            <m:sSub>
              <m:sSubPr>
                <m:ctrlPr>
                  <w:rPr>
                    <w:rFonts w:ascii="Cambria Math" w:hAnsi="Cambria Math"/>
                  </w:rPr>
                </m:ctrlPr>
              </m:sSubPr>
              <m:e>
                <m:r>
                  <m:rPr>
                    <m:sty m:val="p"/>
                  </m:rPr>
                  <w:rPr>
                    <w:rFonts w:ascii="Cambria Math" w:hAnsi="Cambria Math"/>
                  </w:rPr>
                  <m:t>f</m:t>
                </m:r>
                <m:ctrlPr>
                  <w:rPr>
                    <w:rFonts w:ascii="Cambria Math" w:hAnsi="Cambria Math"/>
                  </w:rPr>
                </m:ctrlPr>
              </m:e>
              <m:sub>
                <m:r>
                  <m:rPr>
                    <m:sty m:val="p"/>
                  </m:rPr>
                  <w:rPr>
                    <w:rFonts w:ascii="Cambria Math" w:hAnsi="Cambria Math"/>
                  </w:rPr>
                  <m:t>x</m:t>
                </m:r>
                <m:ctrlPr>
                  <w:rPr>
                    <w:rFonts w:ascii="Cambria Math" w:hAnsi="Cambria Math"/>
                  </w:rPr>
                </m:ctrlPr>
              </m:sub>
            </m:sSub>
            <m:ctrlPr>
              <w:rPr>
                <w:rFonts w:ascii="Cambria Math" w:hAnsi="Cambria Math"/>
              </w:rPr>
            </m:ctrlPr>
          </m:den>
        </m:f>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Y</m:t>
            </m:r>
            <m:ctrlPr>
              <w:rPr>
                <w:rFonts w:ascii="Cambria Math" w:hAnsi="Cambria Math"/>
              </w:rPr>
            </m:ctrlPr>
          </m:e>
          <m:sub>
            <m:r>
              <m:rPr>
                <m:sty m:val="p"/>
              </m:rPr>
              <w:rPr>
                <w:rFonts w:ascii="Cambria Math" w:hAnsi="Cambria Math"/>
              </w:rPr>
              <m:t>C</m:t>
            </m:r>
            <m:ctrlPr>
              <w:rPr>
                <w:rFonts w:ascii="Cambria Math" w:hAnsi="Cambria Math"/>
              </w:rPr>
            </m:ctrlPr>
          </m:sub>
        </m:sSub>
        <m:r>
          <m:rPr>
            <m:sty m:val="p"/>
          </m:rPr>
          <w:rPr>
            <w:rFonts w:ascii="Cambria Math" w:hAnsi="Cambria Math"/>
          </w:rPr>
          <m:t>=</m:t>
        </m:r>
        <m:f>
          <m:fPr>
            <m:ctrlPr>
              <w:rPr>
                <w:rFonts w:ascii="Cambria Math" w:hAnsi="Cambria Math"/>
              </w:rPr>
            </m:ctrlPr>
          </m:fPr>
          <m:num>
            <m:r>
              <m:rPr>
                <m:sty m:val="p"/>
              </m:rPr>
              <w:rPr>
                <w:rFonts w:ascii="Cambria Math" w:hAnsi="Cambria Math"/>
              </w:rPr>
              <m:t>(v−</m:t>
            </m:r>
            <m:sSub>
              <m:sSubPr>
                <m:ctrlPr>
                  <w:rPr>
                    <w:rFonts w:ascii="Cambria Math" w:hAnsi="Cambria Math"/>
                  </w:rPr>
                </m:ctrlPr>
              </m:sSubPr>
              <m:e>
                <m:r>
                  <m:rPr>
                    <m:sty m:val="p"/>
                  </m:rPr>
                  <w:rPr>
                    <w:rFonts w:ascii="Cambria Math" w:hAnsi="Cambria Math"/>
                  </w:rPr>
                  <m:t>c</m:t>
                </m:r>
                <m:ctrlPr>
                  <w:rPr>
                    <w:rFonts w:ascii="Cambria Math" w:hAnsi="Cambria Math"/>
                  </w:rPr>
                </m:ctrlPr>
              </m:e>
              <m:sub>
                <m:r>
                  <m:rPr>
                    <m:sty m:val="p"/>
                  </m:rPr>
                  <w:rPr>
                    <w:rFonts w:ascii="Cambria Math" w:hAnsi="Cambria Math"/>
                  </w:rPr>
                  <m:t>y</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Z</m:t>
                </m:r>
                <m:ctrlPr>
                  <w:rPr>
                    <w:rFonts w:ascii="Cambria Math" w:hAnsi="Cambria Math"/>
                  </w:rPr>
                </m:ctrlPr>
              </m:e>
              <m:sub>
                <m:r>
                  <m:rPr>
                    <m:sty m:val="p"/>
                  </m:rPr>
                  <w:rPr>
                    <w:rFonts w:ascii="Cambria Math" w:hAnsi="Cambria Math"/>
                  </w:rPr>
                  <m:t>C</m:t>
                </m:r>
                <m:ctrlPr>
                  <w:rPr>
                    <w:rFonts w:ascii="Cambria Math" w:hAnsi="Cambria Math"/>
                  </w:rPr>
                </m:ctrlPr>
              </m:sub>
            </m:sSub>
            <m:ctrlPr>
              <w:rPr>
                <w:rFonts w:ascii="Cambria Math" w:hAnsi="Cambria Math"/>
              </w:rPr>
            </m:ctrlPr>
          </m:num>
          <m:den>
            <m:sSub>
              <m:sSubPr>
                <m:ctrlPr>
                  <w:rPr>
                    <w:rFonts w:ascii="Cambria Math" w:hAnsi="Cambria Math"/>
                  </w:rPr>
                </m:ctrlPr>
              </m:sSubPr>
              <m:e>
                <m:r>
                  <m:rPr>
                    <m:sty m:val="p"/>
                  </m:rPr>
                  <w:rPr>
                    <w:rFonts w:ascii="Cambria Math" w:hAnsi="Cambria Math"/>
                  </w:rPr>
                  <m:t>f</m:t>
                </m:r>
                <m:ctrlPr>
                  <w:rPr>
                    <w:rFonts w:ascii="Cambria Math" w:hAnsi="Cambria Math"/>
                  </w:rPr>
                </m:ctrlPr>
              </m:e>
              <m:sub>
                <m:r>
                  <m:rPr>
                    <m:sty m:val="p"/>
                  </m:rPr>
                  <w:rPr>
                    <w:rFonts w:ascii="Cambria Math" w:hAnsi="Cambria Math"/>
                  </w:rPr>
                  <m:t>y</m:t>
                </m:r>
                <m:ctrlPr>
                  <w:rPr>
                    <w:rFonts w:ascii="Cambria Math" w:hAnsi="Cambria Math"/>
                  </w:rPr>
                </m:ctrlPr>
              </m:sub>
            </m:sSub>
            <m:ctrlPr>
              <w:rPr>
                <w:rFonts w:ascii="Cambria Math" w:hAnsi="Cambria Math"/>
              </w:rPr>
            </m:ctrlPr>
          </m:den>
        </m:f>
      </m:oMath>
      <w:r>
        <w:rPr>
          <w:sz w:val="21"/>
        </w:rPr>
        <w:t xml:space="preserve">    （5-7）</w:t>
      </w:r>
    </w:p>
    <w:p w14:paraId="14F485A7">
      <w:r>
        <w:t>工程衔接报告中的深度有效范围为150～4000 mm，点云处理采用直通滤波与2 mm体素下采样，法向初始估计使用15近邻。移动最小二乘与床面去除在所述默认流程中未启用，不能写成已验证的主处理步骤。空间点还可能被替换为滤波点云中的最近邻，该操作使输出落在采样表面上，同时引入离散替换偏差，应保留替换前后的距离作为检查量。</w:t>
      </w:r>
    </w:p>
    <w:p w14:paraId="03B81736">
      <w:r>
        <w:t>法向估计可以由局部邻域协方差矩阵的最小特征值对应特征向量获得[17]。记邻域质心为p̄，协方差矩阵为C，则：</w:t>
      </w:r>
    </w:p>
    <w:p w14:paraId="485F274B">
      <w:pPr>
        <w:spacing w:before="120" w:after="120" w:line="300" w:lineRule="auto"/>
        <w:ind w:firstLine="0"/>
        <w:jc w:val="center"/>
      </w:pPr>
      <m:oMath>
        <m:r>
          <m:rPr>
            <m:sty m:val="p"/>
          </m:rPr>
          <w:rPr>
            <w:rFonts w:ascii="Cambria Math" w:hAnsi="Cambria Math"/>
          </w:rPr>
          <m:t>C=</m:t>
        </m:r>
        <m:f>
          <m:fPr>
            <m:ctrlPr>
              <w:rPr>
                <w:rFonts w:ascii="Cambria Math" w:hAnsi="Cambria Math"/>
              </w:rPr>
            </m:ctrlPr>
          </m:fPr>
          <m:num>
            <m:r>
              <m:rPr>
                <m:sty m:val="p"/>
              </m:rPr>
              <w:rPr>
                <w:rFonts w:ascii="Cambria Math" w:hAnsi="Cambria Math"/>
              </w:rPr>
              <m:t>1</m:t>
            </m:r>
            <m:ctrlPr>
              <w:rPr>
                <w:rFonts w:ascii="Cambria Math" w:hAnsi="Cambria Math"/>
              </w:rPr>
            </m:ctrlPr>
          </m:num>
          <m:den>
            <m:r>
              <m:rPr>
                <m:sty m:val="p"/>
              </m:rPr>
              <w:rPr>
                <w:rFonts w:ascii="Cambria Math" w:hAnsi="Cambria Math"/>
              </w:rPr>
              <m:t>k</m:t>
            </m:r>
            <m:ctrlPr>
              <w:rPr>
                <w:rFonts w:ascii="Cambria Math" w:hAnsi="Cambria Math"/>
              </w:rPr>
            </m:ctrlPr>
          </m:den>
        </m:f>
        <m:sSubSup>
          <m:sSubSupPr>
            <m:ctrlPr>
              <w:rPr>
                <w:rFonts w:ascii="Cambria Math" w:hAnsi="Cambria Math"/>
              </w:rPr>
            </m:ctrlPr>
          </m:sSubSupPr>
          <m:e>
            <m:r>
              <m:rPr>
                <m:sty m:val="p"/>
              </m:rPr>
              <w:rPr>
                <w:rFonts w:ascii="Cambria Math" w:hAnsi="Cambria Math"/>
              </w:rPr>
              <m:t>∑</m:t>
            </m:r>
            <m:ctrlPr>
              <w:rPr>
                <w:rFonts w:ascii="Cambria Math" w:hAnsi="Cambria Math"/>
              </w:rPr>
            </m:ctrlPr>
          </m:e>
          <m:sub>
            <m:r>
              <m:rPr>
                <m:sty m:val="p"/>
              </m:rPr>
              <w:rPr>
                <w:rFonts w:ascii="Cambria Math" w:hAnsi="Cambria Math"/>
              </w:rPr>
              <m:t>i=1</m:t>
            </m:r>
            <m:ctrlPr>
              <w:rPr>
                <w:rFonts w:ascii="Cambria Math" w:hAnsi="Cambria Math"/>
              </w:rPr>
            </m:ctrlPr>
          </m:sub>
          <m:sup>
            <m:r>
              <m:rPr>
                <m:sty m:val="p"/>
              </m:rPr>
              <w:rPr>
                <w:rFonts w:ascii="Cambria Math" w:hAnsi="Cambria Math"/>
              </w:rPr>
              <m:t>k</m:t>
            </m:r>
            <m:ctrlPr>
              <w:rPr>
                <w:rFonts w:ascii="Cambria Math" w:hAnsi="Cambria Math"/>
              </w:rPr>
            </m:ctrlP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−p̄)(</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−p̄</m:t>
        </m:r>
        <m:sSup>
          <m:sSupPr>
            <m:ctrlPr>
              <w:rPr>
                <w:rFonts w:ascii="Cambria Math" w:hAnsi="Cambria Math"/>
              </w:rPr>
            </m:ctrlPr>
          </m:sSupPr>
          <m:e>
            <m:r>
              <m:rPr>
                <m:sty m:val="p"/>
              </m:rPr>
              <w:rPr>
                <w:rFonts w:ascii="Cambria Math" w:hAnsi="Cambria Math"/>
              </w:rPr>
              <m:t>)</m:t>
            </m:r>
            <m:ctrlPr>
              <w:rPr>
                <w:rFonts w:ascii="Cambria Math" w:hAnsi="Cambria Math"/>
              </w:rPr>
            </m:ctrlPr>
          </m:e>
          <m:sup>
            <m:r>
              <m:rPr>
                <m:sty m:val="p"/>
              </m:rPr>
              <w:rPr>
                <w:rFonts w:ascii="Cambria Math" w:hAnsi="Cambria Math"/>
              </w:rPr>
              <m:t>T</m:t>
            </m:r>
            <m:ctrlPr>
              <w:rPr>
                <w:rFonts w:ascii="Cambria Math" w:hAnsi="Cambria Math"/>
              </w:rPr>
            </m:ctrlPr>
          </m:sup>
        </m:sSup>
        <m:r>
          <m:rPr>
            <m:sty m:val="p"/>
          </m:rPr>
          <w:rPr>
            <w:rFonts w:ascii="Cambria Math" w:hAnsi="Cambria Math"/>
          </w:rPr>
          <m:t>,    Cn=</m:t>
        </m:r>
        <m:sSub>
          <m:sSubPr>
            <m:ctrlPr>
              <w:rPr>
                <w:rFonts w:ascii="Cambria Math" w:hAnsi="Cambria Math"/>
              </w:rPr>
            </m:ctrlPr>
          </m:sSubPr>
          <m:e>
            <m:r>
              <m:rPr>
                <m:sty m:val="p"/>
              </m:rPr>
              <w:rPr>
                <w:rFonts w:ascii="Cambria Math" w:hAnsi="Cambria Math"/>
              </w:rPr>
              <m:t>λ</m:t>
            </m:r>
            <m:ctrlPr>
              <w:rPr>
                <w:rFonts w:ascii="Cambria Math" w:hAnsi="Cambria Math"/>
              </w:rPr>
            </m:ctrlPr>
          </m:e>
          <m:sub>
            <m:r>
              <m:rPr>
                <m:sty m:val="p"/>
              </m:rPr>
              <w:rPr>
                <w:rFonts w:ascii="Cambria Math" w:hAnsi="Cambria Math"/>
              </w:rPr>
              <m:t>min</m:t>
            </m:r>
            <m:ctrlPr>
              <w:rPr>
                <w:rFonts w:ascii="Cambria Math" w:hAnsi="Cambria Math"/>
              </w:rPr>
            </m:ctrlPr>
          </m:sub>
        </m:sSub>
        <m:r>
          <m:rPr>
            <m:sty m:val="p"/>
          </m:rPr>
          <w:rPr>
            <w:rFonts w:ascii="Cambria Math" w:hAnsi="Cambria Math"/>
          </w:rPr>
          <m:t>n</m:t>
        </m:r>
      </m:oMath>
      <w:r>
        <w:rPr>
          <w:sz w:val="21"/>
        </w:rPr>
        <w:t xml:space="preserve">    （5-8）</w:t>
      </w:r>
    </w:p>
    <w:p w14:paraId="05733653">
      <w:r>
        <w:t>特征向量存在正负二义性，需要根据观察方向或约定的外向方向统一符号。工程报告还描述了局部0.03 m邻域、8个角度扇区和代表点选择的法向补充方法，在有效代表点不足时回退到近邻法向。该实现与单纯PCA法向并非完全相同，最终论文参数应以实际启用分支为准。</w:t>
      </w:r>
    </w:p>
    <w:p w14:paraId="2FF7CBF8">
      <w:pPr>
        <w:pStyle w:val="79"/>
        <w:keepNext/>
      </w:pPr>
      <w:r>
        <w:t>表5-2 点云与位姿生成参数及其解释</w:t>
      </w:r>
    </w:p>
    <w:tbl>
      <w:tblPr>
        <w:tblStyle w:val="28"/>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75" w:type="dxa"/>
          <w:bottom w:w="65" w:type="dxa"/>
          <w:right w:w="75" w:type="dxa"/>
        </w:tblCellMar>
      </w:tblPr>
      <w:tblGrid>
        <w:gridCol w:w="3024"/>
        <w:gridCol w:w="3024"/>
        <w:gridCol w:w="3024"/>
      </w:tblGrid>
      <w:tr w14:paraId="27D5433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tblHeader/>
          <w:jc w:val="center"/>
        </w:trPr>
        <w:tc>
          <w:tcPr>
            <w:tcW w:w="3024" w:type="dxa"/>
            <w:shd w:val="clear" w:color="auto" w:fill="F2F2F2"/>
            <w:vAlign w:val="center"/>
          </w:tcPr>
          <w:p w14:paraId="5058BD50">
            <w:pPr>
              <w:keepNext/>
              <w:spacing w:before="40" w:after="40" w:line="276" w:lineRule="auto"/>
              <w:ind w:firstLine="0"/>
              <w:jc w:val="center"/>
            </w:pPr>
            <w:r>
              <w:rPr>
                <w:b/>
                <w:sz w:val="20"/>
              </w:rPr>
              <w:t>环节</w:t>
            </w:r>
          </w:p>
        </w:tc>
        <w:tc>
          <w:tcPr>
            <w:tcW w:w="3024" w:type="dxa"/>
            <w:shd w:val="clear" w:color="auto" w:fill="F2F2F2"/>
            <w:vAlign w:val="center"/>
          </w:tcPr>
          <w:p w14:paraId="77638631">
            <w:pPr>
              <w:keepNext/>
              <w:spacing w:before="40" w:after="40" w:line="276" w:lineRule="auto"/>
              <w:ind w:firstLine="0"/>
              <w:jc w:val="center"/>
            </w:pPr>
            <w:r>
              <w:rPr>
                <w:b/>
                <w:sz w:val="20"/>
              </w:rPr>
              <w:t>报告中的设置</w:t>
            </w:r>
          </w:p>
        </w:tc>
        <w:tc>
          <w:tcPr>
            <w:tcW w:w="3024" w:type="dxa"/>
            <w:shd w:val="clear" w:color="auto" w:fill="F2F2F2"/>
            <w:vAlign w:val="center"/>
          </w:tcPr>
          <w:p w14:paraId="402007BA">
            <w:pPr>
              <w:keepNext/>
              <w:spacing w:before="40" w:after="40" w:line="276" w:lineRule="auto"/>
              <w:ind w:firstLine="0"/>
              <w:jc w:val="center"/>
            </w:pPr>
            <w:r>
              <w:rPr>
                <w:b/>
                <w:sz w:val="20"/>
              </w:rPr>
              <w:t>解释</w:t>
            </w:r>
          </w:p>
        </w:tc>
      </w:tr>
      <w:tr w14:paraId="2389F1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3B8043E3">
            <w:pPr>
              <w:keepNext/>
              <w:spacing w:before="40" w:after="40" w:line="276" w:lineRule="auto"/>
              <w:ind w:firstLine="0"/>
              <w:jc w:val="center"/>
            </w:pPr>
            <w:r>
              <w:rPr>
                <w:sz w:val="20"/>
              </w:rPr>
              <w:t>深度有效区间</w:t>
            </w:r>
          </w:p>
        </w:tc>
        <w:tc>
          <w:tcPr>
            <w:tcW w:w="3024" w:type="dxa"/>
            <w:vAlign w:val="center"/>
          </w:tcPr>
          <w:p w14:paraId="42B92A11">
            <w:pPr>
              <w:keepNext/>
              <w:spacing w:before="40" w:after="40" w:line="276" w:lineRule="auto"/>
              <w:ind w:firstLine="0"/>
              <w:jc w:val="center"/>
            </w:pPr>
            <w:r>
              <w:rPr>
                <w:sz w:val="20"/>
              </w:rPr>
              <w:t>150～4000 mm</w:t>
            </w:r>
          </w:p>
        </w:tc>
        <w:tc>
          <w:tcPr>
            <w:tcW w:w="3024" w:type="dxa"/>
            <w:vAlign w:val="center"/>
          </w:tcPr>
          <w:p w14:paraId="548F9668">
            <w:pPr>
              <w:keepNext/>
              <w:spacing w:before="40" w:after="40" w:line="276" w:lineRule="auto"/>
              <w:ind w:firstLine="0"/>
              <w:jc w:val="center"/>
            </w:pPr>
            <w:r>
              <w:rPr>
                <w:sz w:val="20"/>
              </w:rPr>
              <w:t>输入有效性筛选范围</w:t>
            </w:r>
          </w:p>
        </w:tc>
      </w:tr>
      <w:tr w14:paraId="6698E5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7E0337B5">
            <w:pPr>
              <w:keepNext/>
              <w:spacing w:before="40" w:after="40" w:line="276" w:lineRule="auto"/>
              <w:ind w:firstLine="0"/>
              <w:jc w:val="center"/>
            </w:pPr>
            <w:r>
              <w:rPr>
                <w:sz w:val="20"/>
              </w:rPr>
              <w:t>体素边长</w:t>
            </w:r>
          </w:p>
        </w:tc>
        <w:tc>
          <w:tcPr>
            <w:tcW w:w="3024" w:type="dxa"/>
            <w:vAlign w:val="center"/>
          </w:tcPr>
          <w:p w14:paraId="5C7D0407">
            <w:pPr>
              <w:keepNext/>
              <w:spacing w:before="40" w:after="40" w:line="276" w:lineRule="auto"/>
              <w:ind w:firstLine="0"/>
              <w:jc w:val="center"/>
            </w:pPr>
            <w:r>
              <w:rPr>
                <w:sz w:val="20"/>
              </w:rPr>
              <w:t>2 mm</w:t>
            </w:r>
          </w:p>
        </w:tc>
        <w:tc>
          <w:tcPr>
            <w:tcW w:w="3024" w:type="dxa"/>
            <w:vAlign w:val="center"/>
          </w:tcPr>
          <w:p w14:paraId="43106253">
            <w:pPr>
              <w:keepNext/>
              <w:spacing w:before="40" w:after="40" w:line="276" w:lineRule="auto"/>
              <w:ind w:firstLine="0"/>
              <w:jc w:val="center"/>
            </w:pPr>
            <w:r>
              <w:rPr>
                <w:sz w:val="20"/>
              </w:rPr>
              <w:t>降低点云密度</w:t>
            </w:r>
          </w:p>
        </w:tc>
      </w:tr>
      <w:tr w14:paraId="40D34D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12ABB63C">
            <w:pPr>
              <w:keepNext/>
              <w:spacing w:before="40" w:after="40" w:line="276" w:lineRule="auto"/>
              <w:ind w:firstLine="0"/>
              <w:jc w:val="center"/>
            </w:pPr>
            <w:r>
              <w:rPr>
                <w:sz w:val="20"/>
              </w:rPr>
              <w:t>初始法向近邻</w:t>
            </w:r>
          </w:p>
        </w:tc>
        <w:tc>
          <w:tcPr>
            <w:tcW w:w="3024" w:type="dxa"/>
            <w:vAlign w:val="center"/>
          </w:tcPr>
          <w:p w14:paraId="607AC501">
            <w:pPr>
              <w:keepNext/>
              <w:spacing w:before="40" w:after="40" w:line="276" w:lineRule="auto"/>
              <w:ind w:firstLine="0"/>
              <w:jc w:val="center"/>
            </w:pPr>
            <w:r>
              <w:rPr>
                <w:sz w:val="20"/>
              </w:rPr>
              <w:t>15</w:t>
            </w:r>
          </w:p>
        </w:tc>
        <w:tc>
          <w:tcPr>
            <w:tcW w:w="3024" w:type="dxa"/>
            <w:vAlign w:val="center"/>
          </w:tcPr>
          <w:p w14:paraId="60E4B3D1">
            <w:pPr>
              <w:keepNext/>
              <w:spacing w:before="40" w:after="40" w:line="276" w:lineRule="auto"/>
              <w:ind w:firstLine="0"/>
              <w:jc w:val="center"/>
            </w:pPr>
            <w:r>
              <w:rPr>
                <w:sz w:val="20"/>
              </w:rPr>
              <w:t>局部表面估计支持点数</w:t>
            </w:r>
          </w:p>
        </w:tc>
      </w:tr>
      <w:tr w14:paraId="797D50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055D0C31">
            <w:pPr>
              <w:keepNext/>
              <w:spacing w:before="40" w:after="40" w:line="276" w:lineRule="auto"/>
              <w:ind w:firstLine="0"/>
              <w:jc w:val="center"/>
            </w:pPr>
            <w:r>
              <w:rPr>
                <w:sz w:val="20"/>
              </w:rPr>
              <w:t>局部查询半径</w:t>
            </w:r>
          </w:p>
        </w:tc>
        <w:tc>
          <w:tcPr>
            <w:tcW w:w="3024" w:type="dxa"/>
            <w:vAlign w:val="center"/>
          </w:tcPr>
          <w:p w14:paraId="5DA96F4B">
            <w:pPr>
              <w:keepNext/>
              <w:spacing w:before="40" w:after="40" w:line="276" w:lineRule="auto"/>
              <w:ind w:firstLine="0"/>
              <w:jc w:val="center"/>
            </w:pPr>
            <w:r>
              <w:rPr>
                <w:sz w:val="20"/>
              </w:rPr>
              <w:t>0.03 m</w:t>
            </w:r>
          </w:p>
        </w:tc>
        <w:tc>
          <w:tcPr>
            <w:tcW w:w="3024" w:type="dxa"/>
            <w:vAlign w:val="center"/>
          </w:tcPr>
          <w:p w14:paraId="481F72A0">
            <w:pPr>
              <w:keepNext/>
              <w:spacing w:before="40" w:after="40" w:line="276" w:lineRule="auto"/>
              <w:ind w:firstLine="0"/>
              <w:jc w:val="center"/>
            </w:pPr>
            <w:r>
              <w:rPr>
                <w:sz w:val="20"/>
              </w:rPr>
              <w:t>目标邻域方向估计</w:t>
            </w:r>
          </w:p>
        </w:tc>
      </w:tr>
      <w:tr w14:paraId="111D88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57963DAF">
            <w:pPr>
              <w:keepNext/>
              <w:spacing w:before="40" w:after="40" w:line="276" w:lineRule="auto"/>
              <w:ind w:firstLine="0"/>
              <w:jc w:val="center"/>
            </w:pPr>
            <w:r>
              <w:rPr>
                <w:sz w:val="20"/>
              </w:rPr>
              <w:t>角度扇区数</w:t>
            </w:r>
          </w:p>
        </w:tc>
        <w:tc>
          <w:tcPr>
            <w:tcW w:w="3024" w:type="dxa"/>
            <w:vAlign w:val="center"/>
          </w:tcPr>
          <w:p w14:paraId="39C93539">
            <w:pPr>
              <w:keepNext/>
              <w:spacing w:before="40" w:after="40" w:line="276" w:lineRule="auto"/>
              <w:ind w:firstLine="0"/>
              <w:jc w:val="center"/>
            </w:pPr>
            <w:r>
              <w:rPr>
                <w:sz w:val="20"/>
              </w:rPr>
              <w:t>8</w:t>
            </w:r>
          </w:p>
        </w:tc>
        <w:tc>
          <w:tcPr>
            <w:tcW w:w="3024" w:type="dxa"/>
            <w:vAlign w:val="center"/>
          </w:tcPr>
          <w:p w14:paraId="770B8C98">
            <w:pPr>
              <w:keepNext/>
              <w:spacing w:before="40" w:after="40" w:line="276" w:lineRule="auto"/>
              <w:ind w:firstLine="0"/>
              <w:jc w:val="center"/>
            </w:pPr>
            <w:r>
              <w:rPr>
                <w:sz w:val="20"/>
              </w:rPr>
              <w:t>选择分散的局部代表点</w:t>
            </w:r>
          </w:p>
        </w:tc>
      </w:tr>
      <w:tr w14:paraId="0826500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350E2648">
            <w:pPr>
              <w:spacing w:before="40" w:after="40" w:line="276" w:lineRule="auto"/>
              <w:ind w:firstLine="0"/>
              <w:jc w:val="center"/>
            </w:pPr>
            <w:r>
              <w:rPr>
                <w:sz w:val="20"/>
              </w:rPr>
              <w:t>XY查询距离提示</w:t>
            </w:r>
          </w:p>
        </w:tc>
        <w:tc>
          <w:tcPr>
            <w:tcW w:w="3024" w:type="dxa"/>
            <w:vAlign w:val="center"/>
          </w:tcPr>
          <w:p w14:paraId="7ADF63AE">
            <w:pPr>
              <w:spacing w:before="40" w:after="40" w:line="276" w:lineRule="auto"/>
              <w:ind w:firstLine="0"/>
              <w:jc w:val="center"/>
            </w:pPr>
            <w:r>
              <w:rPr>
                <w:sz w:val="20"/>
              </w:rPr>
              <w:t>0.05 m</w:t>
            </w:r>
          </w:p>
        </w:tc>
        <w:tc>
          <w:tcPr>
            <w:tcW w:w="3024" w:type="dxa"/>
            <w:vAlign w:val="center"/>
          </w:tcPr>
          <w:p w14:paraId="67000E02">
            <w:pPr>
              <w:spacing w:before="40" w:after="40" w:line="276" w:lineRule="auto"/>
              <w:ind w:firstLine="0"/>
              <w:jc w:val="center"/>
            </w:pPr>
            <w:r>
              <w:rPr>
                <w:sz w:val="20"/>
              </w:rPr>
              <w:t>当前为提示，不能当作硬拒绝条件</w:t>
            </w:r>
          </w:p>
        </w:tc>
      </w:tr>
    </w:tbl>
    <w:p w14:paraId="40D9B6B9"/>
    <w:p w14:paraId="7B43B34A">
      <w:r>
        <w:rPr>
          <w:color w:val="C00000"/>
          <w:sz w:val="22"/>
        </w:rPr>
        <w:t>【待核D17：最终点云与法向分支、参数配置、无效深度处理、近邻替换距离及异常返回行为；提供同次原图、对齐深度和点云以核对投影一致性。】</w:t>
      </w:r>
    </w:p>
    <w:p w14:paraId="6F422726">
      <w:pPr>
        <w:pStyle w:val="4"/>
        <w:spacing w:before="240" w:after="240"/>
      </w:pPr>
      <w:bookmarkStart w:id="77" w:name="_Toc243339257"/>
      <w:r>
        <w:t>5.2.4 工具姿态构造与坐标转换</w:t>
      </w:r>
      <w:bookmarkEnd w:id="77"/>
    </w:p>
    <w:p w14:paraId="57E4D404">
      <w:r>
        <w:t>设n为统一方向后的外向单位法向，工具正Z轴约定指向表面，则z_T=-n。只确定z_T仍留下绕该轴旋转的自由度。可选择与z_T不平行的参考方向a，将其投影到垂直于z_T的平面，归一化后作为x_T，再由叉乘得到y_T。此处给出统一的姿态构造形式，实际分支使用的参考轴仍需与部署代码对应。</w:t>
      </w:r>
    </w:p>
    <w:p w14:paraId="00A676FF">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z</m:t>
            </m:r>
            <m:ctrlPr>
              <w:rPr>
                <w:rFonts w:ascii="Cambria Math" w:hAnsi="Cambria Math"/>
              </w:rPr>
            </m:ctrlPr>
          </m:e>
          <m:sub>
            <m:r>
              <m:rPr>
                <m:sty m:val="p"/>
              </m:rPr>
              <w:rPr>
                <w:rFonts w:ascii="Cambria Math" w:hAnsi="Cambria Math"/>
              </w:rPr>
              <m:t>T</m:t>
            </m:r>
            <m:ctrlPr>
              <w:rPr>
                <w:rFonts w:ascii="Cambria Math" w:hAnsi="Cambria Math"/>
              </w:rPr>
            </m:ctrlPr>
          </m:sub>
        </m:sSub>
        <m:r>
          <m:rPr>
            <m:sty m:val="p"/>
          </m:rPr>
          <w:rPr>
            <w:rFonts w:ascii="Cambria Math" w:hAnsi="Cambria Math"/>
          </w:rPr>
          <m:t xml:space="preserve">=−n,    </m:t>
        </m:r>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T</m:t>
            </m:r>
            <m:ctrlPr>
              <w:rPr>
                <w:rFonts w:ascii="Cambria Math" w:hAnsi="Cambria Math"/>
              </w:rPr>
            </m:ctrlPr>
          </m:sub>
        </m:sSub>
        <m:r>
          <m:rPr>
            <m:sty m:val="p"/>
          </m:rPr>
          <w:rPr>
            <w:rFonts w:ascii="Cambria Math" w:hAnsi="Cambria Math"/>
          </w:rPr>
          <m:t>=</m:t>
        </m:r>
        <m:f>
          <m:fPr>
            <m:ctrlPr>
              <w:rPr>
                <w:rFonts w:ascii="Cambria Math" w:hAnsi="Cambria Math"/>
              </w:rPr>
            </m:ctrlPr>
          </m:fPr>
          <m:num>
            <m:r>
              <m:rPr>
                <m:sty m:val="p"/>
              </m:rPr>
              <w:rPr>
                <w:rFonts w:ascii="Cambria Math" w:hAnsi="Cambria Math"/>
              </w:rPr>
              <m:t>a−(</m:t>
            </m:r>
            <m:sSup>
              <m:sSupPr>
                <m:ctrlPr>
                  <w:rPr>
                    <w:rFonts w:ascii="Cambria Math" w:hAnsi="Cambria Math"/>
                  </w:rPr>
                </m:ctrlPr>
              </m:sSupPr>
              <m:e>
                <m:r>
                  <m:rPr>
                    <m:sty m:val="p"/>
                  </m:rPr>
                  <w:rPr>
                    <w:rFonts w:ascii="Cambria Math" w:hAnsi="Cambria Math"/>
                  </w:rPr>
                  <m:t>a</m:t>
                </m:r>
                <m:ctrlPr>
                  <w:rPr>
                    <w:rFonts w:ascii="Cambria Math" w:hAnsi="Cambria Math"/>
                  </w:rPr>
                </m:ctrlPr>
              </m:e>
              <m:sup>
                <m:r>
                  <m:rPr>
                    <m:sty m:val="p"/>
                  </m:rPr>
                  <w:rPr>
                    <w:rFonts w:ascii="Cambria Math" w:hAnsi="Cambria Math"/>
                  </w:rPr>
                  <m:t>T</m:t>
                </m:r>
                <m:ctrlPr>
                  <w:rPr>
                    <w:rFonts w:ascii="Cambria Math" w:hAnsi="Cambria Math"/>
                  </w:rPr>
                </m:ctrlPr>
              </m:sup>
            </m:sSup>
            <m:sSub>
              <m:sSubPr>
                <m:ctrlPr>
                  <w:rPr>
                    <w:rFonts w:ascii="Cambria Math" w:hAnsi="Cambria Math"/>
                  </w:rPr>
                </m:ctrlPr>
              </m:sSubPr>
              <m:e>
                <m:r>
                  <m:rPr>
                    <m:sty m:val="p"/>
                  </m:rPr>
                  <w:rPr>
                    <w:rFonts w:ascii="Cambria Math" w:hAnsi="Cambria Math"/>
                  </w:rPr>
                  <m:t>z</m:t>
                </m:r>
                <m:ctrlPr>
                  <w:rPr>
                    <w:rFonts w:ascii="Cambria Math" w:hAnsi="Cambria Math"/>
                  </w:rPr>
                </m:ctrlPr>
              </m:e>
              <m:sub>
                <m:r>
                  <m:rPr>
                    <m:sty m:val="p"/>
                  </m:rPr>
                  <w:rPr>
                    <w:rFonts w:ascii="Cambria Math" w:hAnsi="Cambria Math"/>
                  </w:rPr>
                  <m:t>T</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z</m:t>
                </m:r>
                <m:ctrlPr>
                  <w:rPr>
                    <w:rFonts w:ascii="Cambria Math" w:hAnsi="Cambria Math"/>
                  </w:rPr>
                </m:ctrlPr>
              </m:e>
              <m:sub>
                <m:r>
                  <m:rPr>
                    <m:sty m:val="p"/>
                  </m:rPr>
                  <w:rPr>
                    <w:rFonts w:ascii="Cambria Math" w:hAnsi="Cambria Math"/>
                  </w:rPr>
                  <m:t>T</m:t>
                </m:r>
                <m:ctrlPr>
                  <w:rPr>
                    <w:rFonts w:ascii="Cambria Math" w:hAnsi="Cambria Math"/>
                  </w:rPr>
                </m:ctrlPr>
              </m:sub>
            </m:sSub>
            <m:ctrlPr>
              <w:rPr>
                <w:rFonts w:ascii="Cambria Math" w:hAnsi="Cambria Math"/>
              </w:rPr>
            </m:ctrlPr>
          </m:num>
          <m:den>
            <m:r>
              <m:rPr>
                <m:sty m:val="p"/>
              </m:rPr>
              <w:rPr>
                <w:rFonts w:ascii="Cambria Math" w:hAnsi="Cambria Math"/>
              </w:rPr>
              <m:t>‖a−(</m:t>
            </m:r>
            <m:sSup>
              <m:sSupPr>
                <m:ctrlPr>
                  <w:rPr>
                    <w:rFonts w:ascii="Cambria Math" w:hAnsi="Cambria Math"/>
                  </w:rPr>
                </m:ctrlPr>
              </m:sSupPr>
              <m:e>
                <m:r>
                  <m:rPr>
                    <m:sty m:val="p"/>
                  </m:rPr>
                  <w:rPr>
                    <w:rFonts w:ascii="Cambria Math" w:hAnsi="Cambria Math"/>
                  </w:rPr>
                  <m:t>a</m:t>
                </m:r>
                <m:ctrlPr>
                  <w:rPr>
                    <w:rFonts w:ascii="Cambria Math" w:hAnsi="Cambria Math"/>
                  </w:rPr>
                </m:ctrlPr>
              </m:e>
              <m:sup>
                <m:r>
                  <m:rPr>
                    <m:sty m:val="p"/>
                  </m:rPr>
                  <w:rPr>
                    <w:rFonts w:ascii="Cambria Math" w:hAnsi="Cambria Math"/>
                  </w:rPr>
                  <m:t>T</m:t>
                </m:r>
                <m:ctrlPr>
                  <w:rPr>
                    <w:rFonts w:ascii="Cambria Math" w:hAnsi="Cambria Math"/>
                  </w:rPr>
                </m:ctrlPr>
              </m:sup>
            </m:sSup>
            <m:sSub>
              <m:sSubPr>
                <m:ctrlPr>
                  <w:rPr>
                    <w:rFonts w:ascii="Cambria Math" w:hAnsi="Cambria Math"/>
                  </w:rPr>
                </m:ctrlPr>
              </m:sSubPr>
              <m:e>
                <m:r>
                  <m:rPr>
                    <m:sty m:val="p"/>
                  </m:rPr>
                  <w:rPr>
                    <w:rFonts w:ascii="Cambria Math" w:hAnsi="Cambria Math"/>
                  </w:rPr>
                  <m:t>z</m:t>
                </m:r>
                <m:ctrlPr>
                  <w:rPr>
                    <w:rFonts w:ascii="Cambria Math" w:hAnsi="Cambria Math"/>
                  </w:rPr>
                </m:ctrlPr>
              </m:e>
              <m:sub>
                <m:r>
                  <m:rPr>
                    <m:sty m:val="p"/>
                  </m:rPr>
                  <w:rPr>
                    <w:rFonts w:ascii="Cambria Math" w:hAnsi="Cambria Math"/>
                  </w:rPr>
                  <m:t>T</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z</m:t>
                </m:r>
                <m:ctrlPr>
                  <w:rPr>
                    <w:rFonts w:ascii="Cambria Math" w:hAnsi="Cambria Math"/>
                  </w:rPr>
                </m:ctrlPr>
              </m:e>
              <m:sub>
                <m:r>
                  <m:rPr>
                    <m:sty m:val="p"/>
                  </m:rPr>
                  <w:rPr>
                    <w:rFonts w:ascii="Cambria Math" w:hAnsi="Cambria Math"/>
                  </w:rPr>
                  <m:t>T</m:t>
                </m:r>
                <m:ctrlPr>
                  <w:rPr>
                    <w:rFonts w:ascii="Cambria Math" w:hAnsi="Cambria Math"/>
                  </w:rPr>
                </m:ctrlPr>
              </m:sub>
            </m:sSub>
            <m:r>
              <m:rPr>
                <m:sty m:val="p"/>
              </m:rPr>
              <w:rPr>
                <w:rFonts w:ascii="Cambria Math" w:hAnsi="Cambria Math"/>
              </w:rPr>
              <m:t>‖</m:t>
            </m:r>
            <m:ctrlPr>
              <w:rPr>
                <w:rFonts w:ascii="Cambria Math" w:hAnsi="Cambria Math"/>
              </w:rPr>
            </m:ctrlPr>
          </m:den>
        </m:f>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y</m:t>
            </m:r>
            <m:ctrlPr>
              <w:rPr>
                <w:rFonts w:ascii="Cambria Math" w:hAnsi="Cambria Math"/>
              </w:rPr>
            </m:ctrlPr>
          </m:e>
          <m:sub>
            <m:r>
              <m:rPr>
                <m:sty m:val="p"/>
              </m:rPr>
              <w:rPr>
                <w:rFonts w:ascii="Cambria Math" w:hAnsi="Cambria Math"/>
              </w:rPr>
              <m:t>T</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z</m:t>
            </m:r>
            <m:ctrlPr>
              <w:rPr>
                <w:rFonts w:ascii="Cambria Math" w:hAnsi="Cambria Math"/>
              </w:rPr>
            </m:ctrlPr>
          </m:e>
          <m:sub>
            <m:r>
              <m:rPr>
                <m:sty m:val="p"/>
              </m:rPr>
              <w:rPr>
                <w:rFonts w:ascii="Cambria Math" w:hAnsi="Cambria Math"/>
              </w:rPr>
              <m:t>T</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T</m:t>
            </m:r>
            <m:ctrlPr>
              <w:rPr>
                <w:rFonts w:ascii="Cambria Math" w:hAnsi="Cambria Math"/>
              </w:rPr>
            </m:ctrlPr>
          </m:sub>
        </m:sSub>
      </m:oMath>
      <w:r>
        <w:rPr>
          <w:sz w:val="21"/>
        </w:rPr>
        <w:t xml:space="preserve">    （5-9）</w:t>
      </w:r>
    </w:p>
    <w:p w14:paraId="0D2FCA70">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R</m:t>
            </m:r>
            <m:ctrlPr>
              <w:rPr>
                <w:rFonts w:ascii="Cambria Math" w:hAnsi="Cambria Math"/>
              </w:rPr>
            </m:ctrlPr>
          </m:e>
          <m:sub>
            <m:r>
              <m:rPr>
                <m:sty m:val="p"/>
              </m:rPr>
              <w:rPr>
                <w:rFonts w:ascii="Cambria Math" w:hAnsi="Cambria Math"/>
              </w:rPr>
              <m:t>ST</m:t>
            </m:r>
            <m:ctrlPr>
              <w:rPr>
                <w:rFonts w:ascii="Cambria Math" w:hAnsi="Cambria Math"/>
              </w:rPr>
            </m:ctrlPr>
          </m:sub>
        </m:sSub>
        <m:r>
          <m:rPr>
            <m:sty m:val="p"/>
          </m:rP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sSub>
                    <m:sSubPr>
                      <m:ctrlPr>
                        <w:rPr>
                          <w:rFonts w:ascii="Cambria Math" w:hAnsi="Cambria Math"/>
                        </w:rPr>
                      </m:ctrlPr>
                    </m:sSubPr>
                    <m:e>
                      <m:r>
                        <m:rPr>
                          <m:sty m:val="p"/>
                        </m:rPr>
                        <w:rPr>
                          <w:rFonts w:ascii="Cambria Math" w:hAnsi="Cambria Math"/>
                        </w:rPr>
                        <m:t>x</m:t>
                      </m:r>
                      <m:ctrlPr>
                        <w:rPr>
                          <w:rFonts w:ascii="Cambria Math" w:hAnsi="Cambria Math"/>
                        </w:rPr>
                      </m:ctrlPr>
                    </m:e>
                    <m:sub>
                      <m:r>
                        <m:rPr>
                          <m:sty m:val="p"/>
                        </m:rPr>
                        <w:rPr>
                          <w:rFonts w:ascii="Cambria Math" w:hAnsi="Cambria Math"/>
                        </w:rPr>
                        <m:t>T</m:t>
                      </m:r>
                      <m:ctrlPr>
                        <w:rPr>
                          <w:rFonts w:ascii="Cambria Math" w:hAnsi="Cambria Math"/>
                        </w:rPr>
                      </m:ctrlPr>
                    </m:sub>
                  </m:sSub>
                  <m:ctrlPr>
                    <w:rPr>
                      <w:rFonts w:ascii="Cambria Math" w:hAnsi="Cambria Math"/>
                    </w:rPr>
                  </m:ctrlPr>
                </m:e>
                <m:e>
                  <m:sSub>
                    <m:sSubPr>
                      <m:ctrlPr>
                        <w:rPr>
                          <w:rFonts w:ascii="Cambria Math" w:hAnsi="Cambria Math"/>
                        </w:rPr>
                      </m:ctrlPr>
                    </m:sSubPr>
                    <m:e>
                      <m:r>
                        <m:rPr>
                          <m:sty m:val="p"/>
                        </m:rPr>
                        <w:rPr>
                          <w:rFonts w:ascii="Cambria Math" w:hAnsi="Cambria Math"/>
                        </w:rPr>
                        <m:t>y</m:t>
                      </m:r>
                      <m:ctrlPr>
                        <w:rPr>
                          <w:rFonts w:ascii="Cambria Math" w:hAnsi="Cambria Math"/>
                        </w:rPr>
                      </m:ctrlPr>
                    </m:e>
                    <m:sub>
                      <m:r>
                        <m:rPr>
                          <m:sty m:val="p"/>
                        </m:rPr>
                        <w:rPr>
                          <w:rFonts w:ascii="Cambria Math" w:hAnsi="Cambria Math"/>
                        </w:rPr>
                        <m:t>T</m:t>
                      </m:r>
                      <m:ctrlPr>
                        <w:rPr>
                          <w:rFonts w:ascii="Cambria Math" w:hAnsi="Cambria Math"/>
                        </w:rPr>
                      </m:ctrlPr>
                    </m:sub>
                  </m:sSub>
                  <m:ctrlPr>
                    <w:rPr>
                      <w:rFonts w:ascii="Cambria Math" w:hAnsi="Cambria Math"/>
                    </w:rPr>
                  </m:ctrlPr>
                </m:e>
                <m:e>
                  <m:sSub>
                    <m:sSubPr>
                      <m:ctrlPr>
                        <w:rPr>
                          <w:rFonts w:ascii="Cambria Math" w:hAnsi="Cambria Math"/>
                        </w:rPr>
                      </m:ctrlPr>
                    </m:sSubPr>
                    <m:e>
                      <m:r>
                        <m:rPr>
                          <m:sty m:val="p"/>
                        </m:rPr>
                        <w:rPr>
                          <w:rFonts w:ascii="Cambria Math" w:hAnsi="Cambria Math"/>
                        </w:rPr>
                        <m:t>z</m:t>
                      </m:r>
                      <m:ctrlPr>
                        <w:rPr>
                          <w:rFonts w:ascii="Cambria Math" w:hAnsi="Cambria Math"/>
                        </w:rPr>
                      </m:ctrlPr>
                    </m:e>
                    <m:sub>
                      <m:r>
                        <m:rPr>
                          <m:sty m:val="p"/>
                        </m:rPr>
                        <w:rPr>
                          <w:rFonts w:ascii="Cambria Math" w:hAnsi="Cambria Math"/>
                        </w:rPr>
                        <m:t>T</m:t>
                      </m:r>
                      <m:ctrlPr>
                        <w:rPr>
                          <w:rFonts w:ascii="Cambria Math" w:hAnsi="Cambria Math"/>
                        </w:rPr>
                      </m:ctrlPr>
                    </m:sub>
                  </m:sSub>
                  <m:ctrlPr>
                    <w:rPr>
                      <w:rFonts w:ascii="Cambria Math" w:hAnsi="Cambria Math"/>
                    </w:rPr>
                  </m:ctrlPr>
                </m:e>
              </m:mr>
            </m:m>
            <m:ctrlPr>
              <w:rPr>
                <w:rFonts w:ascii="Cambria Math" w:hAnsi="Cambria Math"/>
              </w:rPr>
            </m:ctrlPr>
          </m:e>
        </m:d>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BT</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BS</m:t>
            </m:r>
            <m:ctrlPr>
              <w:rPr>
                <w:rFonts w:ascii="Cambria Math" w:hAnsi="Cambria Math"/>
              </w:rPr>
            </m:ctrlPr>
          </m:sub>
        </m:sSub>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ST</m:t>
            </m:r>
            <m:ctrlPr>
              <w:rPr>
                <w:rFonts w:ascii="Cambria Math" w:hAnsi="Cambria Math"/>
              </w:rPr>
            </m:ctrlPr>
          </m:sub>
        </m:sSub>
      </m:oMath>
      <w:r>
        <w:rPr>
          <w:sz w:val="21"/>
        </w:rPr>
        <w:t xml:space="preserve">    （5-10）</w:t>
      </w:r>
    </w:p>
    <w:p w14:paraId="7D75EE32">
      <w:r>
        <w:t>当参考轴近似平行于工具Z轴时，需要选择另一参考轴，避免归一化分母接近零。相邻目标还应保持轴向符号和绕轴角的连续性，防止法向轻微变化导致工具突然翻转。若经过相机直接转换，则点使用完整齐次变换，法向只乘旋转矩阵：</w:t>
      </w:r>
    </w:p>
    <w:p w14:paraId="303FF2C2">
      <w:pPr>
        <w:spacing w:before="120" w:after="120" w:line="300" w:lineRule="auto"/>
        <w:ind w:firstLine="0"/>
        <w:jc w:val="center"/>
      </w:pPr>
      <m:oMath>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h,B</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BF</m:t>
            </m:r>
            <m:ctrlPr>
              <w:rPr>
                <w:rFonts w:ascii="Cambria Math" w:hAnsi="Cambria Math"/>
              </w:rPr>
            </m:ctrlPr>
          </m:sub>
        </m:sSub>
        <m:r>
          <m:rPr>
            <m:sty m:val="p"/>
          </m:rPr>
          <w:rPr>
            <w:rFonts w:ascii="Cambria Math" w:hAnsi="Cambria Math"/>
          </w:rPr>
          <m:t>(t)</m:t>
        </m:r>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FC</m:t>
            </m:r>
            <m:ctrlPr>
              <w:rPr>
                <w:rFonts w:ascii="Cambria Math" w:hAnsi="Cambria Math"/>
              </w:rPr>
            </m:ctrlPr>
          </m:sub>
        </m:sSub>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h,C</m:t>
            </m:r>
            <m:ctrlPr>
              <w:rPr>
                <w:rFonts w:ascii="Cambria Math" w:hAnsi="Cambria Math"/>
              </w:rPr>
            </m:ctrlP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B</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ctrlPr>
              <w:rPr>
                <w:rFonts w:ascii="Cambria Math" w:hAnsi="Cambria Math"/>
              </w:rPr>
            </m:ctrlPr>
          </m:e>
          <m:sub>
            <m:r>
              <m:rPr>
                <m:sty m:val="p"/>
              </m:rPr>
              <w:rPr>
                <w:rFonts w:ascii="Cambria Math" w:hAnsi="Cambria Math"/>
              </w:rPr>
              <m:t>BF</m:t>
            </m:r>
            <m:ctrlPr>
              <w:rPr>
                <w:rFonts w:ascii="Cambria Math" w:hAnsi="Cambria Math"/>
              </w:rPr>
            </m:ctrlPr>
          </m:sub>
        </m:sSub>
        <m:r>
          <m:rPr>
            <m:sty m:val="p"/>
          </m:rPr>
          <w:rPr>
            <w:rFonts w:ascii="Cambria Math" w:hAnsi="Cambria Math"/>
          </w:rPr>
          <m:t>(t)</m:t>
        </m:r>
        <m:sSub>
          <m:sSubPr>
            <m:ctrlPr>
              <w:rPr>
                <w:rFonts w:ascii="Cambria Math" w:hAnsi="Cambria Math"/>
              </w:rPr>
            </m:ctrlPr>
          </m:sSubPr>
          <m:e>
            <m:r>
              <m:rPr>
                <m:sty m:val="p"/>
              </m:rPr>
              <w:rPr>
                <w:rFonts w:ascii="Cambria Math" w:hAnsi="Cambria Math"/>
              </w:rPr>
              <m:t>R</m:t>
            </m:r>
            <m:ctrlPr>
              <w:rPr>
                <w:rFonts w:ascii="Cambria Math" w:hAnsi="Cambria Math"/>
              </w:rPr>
            </m:ctrlPr>
          </m:e>
          <m:sub>
            <m:r>
              <m:rPr>
                <m:sty m:val="p"/>
              </m:rPr>
              <w:rPr>
                <w:rFonts w:ascii="Cambria Math" w:hAnsi="Cambria Math"/>
              </w:rPr>
              <m:t>FC</m:t>
            </m:r>
            <m:ctrlPr>
              <w:rPr>
                <w:rFonts w:ascii="Cambria Math" w:hAnsi="Cambria Math"/>
              </w:rPr>
            </m:ctrlPr>
          </m:sub>
        </m:sSub>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C</m:t>
            </m:r>
            <m:ctrlPr>
              <w:rPr>
                <w:rFonts w:ascii="Cambria Math" w:hAnsi="Cambria Math"/>
              </w:rPr>
            </m:ctrlPr>
          </m:sub>
        </m:sSub>
      </m:oMath>
      <w:r>
        <w:rPr>
          <w:sz w:val="21"/>
        </w:rPr>
        <w:t xml:space="preserve">    （5-11）</w:t>
      </w:r>
    </w:p>
    <w:p w14:paraId="2050BEA4">
      <w:r>
        <w:t>式（5-11）中下标h表示末项为1的齐次点。部署时可使用局部作业系S组织目标与轨迹，再统一变换到基坐标，但必须保存S的定义与采集时的T_BS。工程报告中的部分变换按最新TF查询，快照超过10 s仅告警而不硬性拒绝，因此目前不能宣称已实现严格的图像时间同步或目标运动补偿。</w:t>
      </w:r>
    </w:p>
    <w:p w14:paraId="54AE5BF7">
      <w:r>
        <w:rPr>
          <w:color w:val="C00000"/>
          <w:sz w:val="22"/>
        </w:rPr>
        <w:t>【待核D18：图像、深度、点云与TF的实际时间戳对应；最终工具参考轴、法向符号及姿态转换约定，快照过期后是否阻止执行。】</w:t>
      </w:r>
    </w:p>
    <w:p w14:paraId="400AEA06">
      <w:pPr>
        <w:pStyle w:val="3"/>
      </w:pPr>
      <w:bookmarkStart w:id="78" w:name="_Toc243339258"/>
      <w:r>
        <w:t>5.3 视觉定位与机械臂路径规划的衔接</w:t>
      </w:r>
      <w:bookmarkEnd w:id="78"/>
    </w:p>
    <w:p w14:paraId="7DC0B31B">
      <w:pPr>
        <w:pStyle w:val="4"/>
        <w:spacing w:before="240" w:after="240"/>
      </w:pPr>
      <w:bookmarkStart w:id="79" w:name="_Toc243339259"/>
      <w:r>
        <w:t>5.3.1 作业目标、接近点与转移目标生成</w:t>
      </w:r>
      <w:bookmarkEnd w:id="79"/>
    </w:p>
    <w:p w14:paraId="64A40539">
      <w:r>
        <w:t>视觉输出的表面目标用于定义作业位置，接近点用于使工具在表面外建立姿态，转移目标用于连接相邻任务。三者应明确区分。设表面目标为p_i，工具正Z轴为z_i，接近距离为d_a，则接近点可沿工具负Z方向构造。现有报告使用0.10 m作为接近偏移示例，但实际取值仍应与场景和工具一致。</w:t>
      </w:r>
    </w:p>
    <w:p w14:paraId="036943A3">
      <w:pPr>
        <w:spacing w:before="120" w:after="120" w:line="300" w:lineRule="auto"/>
        <w:ind w:firstLine="0"/>
        <w:jc w:val="center"/>
      </w:pPr>
      <m:oMath>
        <m:sSubSup>
          <m:sSubSupPr>
            <m:ctrlPr>
              <w:rPr>
                <w:rFonts w:ascii="Cambria Math" w:hAnsi="Cambria Math"/>
              </w:rPr>
            </m:ctrlPr>
          </m:sSubSupPr>
          <m:e>
            <m:r>
              <m:rPr>
                <m:sty m:val="p"/>
              </m:rPr>
              <w:rPr>
                <w:rFonts w:ascii="Cambria Math" w:hAnsi="Cambria Math"/>
              </w:rPr>
              <m:t>p</m:t>
            </m:r>
            <m:ctrlPr>
              <w:rPr>
                <w:rFonts w:ascii="Cambria Math" w:hAnsi="Cambria Math"/>
              </w:rPr>
            </m:ctrlPr>
          </m:e>
          <m:sub>
            <m:r>
              <m:rPr>
                <m:sty m:val="p"/>
              </m:rPr>
              <w:rPr>
                <w:rFonts w:ascii="Cambria Math" w:hAnsi="Cambria Math"/>
              </w:rPr>
              <m:t>i</m:t>
            </m:r>
            <m:ctrlPr>
              <w:rPr>
                <w:rFonts w:ascii="Cambria Math" w:hAnsi="Cambria Math"/>
              </w:rPr>
            </m:ctrlPr>
          </m:sub>
          <m:sup>
            <m:r>
              <m:rPr>
                <m:sty m:val="p"/>
              </m:rPr>
              <w:rPr>
                <w:rFonts w:ascii="Cambria Math" w:hAnsi="Cambria Math"/>
              </w:rPr>
              <m:t>app</m:t>
            </m:r>
            <m:ctrlPr>
              <w:rPr>
                <w:rFonts w:ascii="Cambria Math" w:hAnsi="Cambria Math"/>
              </w:rPr>
            </m:ctrlP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a</m:t>
            </m:r>
            <m:ctrlPr>
              <w:rPr>
                <w:rFonts w:ascii="Cambria Math" w:hAnsi="Cambria Math"/>
              </w:rPr>
            </m:ctrlPr>
          </m:sub>
        </m:sSub>
        <m:sSub>
          <m:sSubPr>
            <m:ctrlPr>
              <w:rPr>
                <w:rFonts w:ascii="Cambria Math" w:hAnsi="Cambria Math"/>
              </w:rPr>
            </m:ctrlPr>
          </m:sSubPr>
          <m:e>
            <m:r>
              <m:rPr>
                <m:sty m:val="p"/>
              </m:rPr>
              <w:rPr>
                <w:rFonts w:ascii="Cambria Math" w:hAnsi="Cambria Math"/>
              </w:rPr>
              <m:t>z</m:t>
            </m:r>
            <m:ctrlPr>
              <w:rPr>
                <w:rFonts w:ascii="Cambria Math" w:hAnsi="Cambria Math"/>
              </w:rPr>
            </m:ctrlPr>
          </m:e>
          <m:sub>
            <m:r>
              <m:rPr>
                <m:sty m:val="p"/>
              </m:rPr>
              <w:rPr>
                <w:rFonts w:ascii="Cambria Math" w:hAnsi="Cambria Math"/>
              </w:rPr>
              <m:t>i</m:t>
            </m:r>
            <m:ctrlPr>
              <w:rPr>
                <w:rFonts w:ascii="Cambria Math" w:hAnsi="Cambria Math"/>
              </w:rPr>
            </m:ctrlPr>
          </m:sub>
        </m:sSub>
      </m:oMath>
      <w:r>
        <w:rPr>
          <w:sz w:val="21"/>
        </w:rPr>
        <w:t xml:space="preserve">    （5-12）</w:t>
      </w:r>
    </w:p>
    <w:p w14:paraId="78547537">
      <w:r>
        <w:t>由于工具Z轴指向表面，式（5-12）沿负Z方向移出表面，并非沿世界坐标竖直方向抬升。对于弯曲表面，不同目标的接近方向可以不同。目标点与接近点都需生成完整姿态并检查逆解，不能仅把接近点的三个平移量交给控制器后依赖默认姿态。</w:t>
      </w:r>
    </w:p>
    <w:p w14:paraId="5B21B73D">
      <w:r>
        <w:t>目标i到目标i+1的过程可以分解为离开当前作业点、连接两个接近区域和接近下一目标。SC-RRT主要承担自由空间中的转移连接；贴近表面的局部作业轨迹具有不同约束，不应把曲面打圈轨迹直接作为SC-RRT在障碍空间搜索的结果。这样的任务分解使算法输入与物理动作的对应更清晰。</w:t>
      </w:r>
    </w:p>
    <w:p w14:paraId="377F8D88">
      <w:pPr>
        <w:pStyle w:val="4"/>
        <w:spacing w:before="240" w:after="240"/>
      </w:pPr>
      <w:bookmarkStart w:id="80" w:name="_Toc243339260"/>
      <w:r>
        <w:t>5.3.2 目标序列与规划场景构建</w:t>
      </w:r>
      <w:bookmarkEnd w:id="80"/>
    </w:p>
    <w:p w14:paraId="3365633D">
      <w:r>
        <w:t>目标序列由选定穴位或上游任务顺序确定。现有多段规划包装按相邻目标调用规划器，没有证据表明已实现全局访问顺序优化，因此本文不将顺序生成描述为旅行商问题或多目标最优调度。每一段规划应记录起点、终点、场景版本和随机种子，若一段失败，应保持目标索引对应，而不是从最终点数推断整项任务成功。</w:t>
      </w:r>
    </w:p>
    <w:p w14:paraId="539CE3EA">
      <w:r>
        <w:t>规划前需要把目标和障碍变换到同一坐标系，并统一长度单位。当前迁移快照中的碰撞场景以球与轴对齐包围盒等简化对象表示，检查对象主要是工具中心点及线段。人体、支架或周边物体若未被纳入该场景，规划器不会自动感知其存在；三维点云显示与碰撞模型生成是两个不同步骤。</w:t>
      </w:r>
    </w:p>
    <w:p w14:paraId="44E07028">
      <w:r>
        <w:t>在部署中使用毫米规划、米制执行接口时，单位转换应仅在明确边界进行。对同一任务，起点、终点、障碍尺寸和工具包络应采用一致单位，不能只转换路径坐标而遗漏障碍半径。工具或连杆包络的加入会改变碰撞模型，当前没有相应证据时只能说明为后续约束完善项。</w:t>
      </w:r>
    </w:p>
    <w:p w14:paraId="713B9ACD">
      <w:r>
        <w:rPr>
          <w:color w:val="C00000"/>
          <w:sz w:val="22"/>
        </w:rPr>
        <w:t>【待补D19：同次任务的目标顺序、起终点、障碍球或包围盒配置、坐标系与单位、规划器版本、随机种子及逐段返回状态；确认实际是否使用工具或连杆包络。】</w:t>
      </w:r>
    </w:p>
    <w:p w14:paraId="16AE965F">
      <w:pPr>
        <w:pStyle w:val="4"/>
        <w:spacing w:before="240" w:after="240"/>
      </w:pPr>
      <w:bookmarkStart w:id="81" w:name="_Toc243339261"/>
      <w:r>
        <w:t>5.3.3 几何路径、姿态配置与执行路点转换</w:t>
      </w:r>
      <w:bookmarkEnd w:id="81"/>
    </w:p>
    <w:p w14:paraId="42CB8391">
      <w:r>
        <w:t>SC-RRT返回位置折线后，执行层需要为每个路点配置姿态，并按控制器接口进行插值与速度设置。如果采用相邻目标姿态插值，应说明四元数或欧拉角的处理方式；若在转移阶段保持固定姿态，则应说明固定姿态的选取依据与两端过渡方式。位置路径长度的改善并不直接等价于运动时间缩短，因为实际速度还受姿态、关节和加速度约束影响。</w:t>
      </w:r>
    </w:p>
    <w:p w14:paraId="14832F57">
      <w:r>
        <w:t>工程衔接报告中的已有轨迹处理包括约6 mm空间重采样、15点窗口三阶Savitzky-Golay平滑及RPY展开。空间采样间距不等于固定时间采样周期，也不等于关节速度约束。平滑会改变原始路径，若未重新检查与障碍的距离或重新投影到曲面，就不能认为平滑后仍自动保持原路径的碰撞与表面约束。</w:t>
      </w:r>
    </w:p>
    <w:p w14:paraId="07BBD208">
      <w:r>
        <w:t>路点进入控制器前，需要明确控制器接受的是当前工具TCP位姿还是法兰位姿。前者不应再次做工具长度补偿，后者需使用式（5-6）转换。现有执行材料包含moveLine类调用，但具体控制器内部插值、过渡半径和时间参数仍应通过运行配置说明。本文将该过程称为执行路点转换，不把几何路径直接称为已经完成动力学约束优化的轨迹。</w:t>
      </w:r>
    </w:p>
    <w:p w14:paraId="4B7543F0">
      <w:r>
        <w:rPr>
          <w:color w:val="C00000"/>
          <w:sz w:val="22"/>
        </w:rPr>
        <w:t>【待核D20：SC-RRT输出到实际控制器之间的姿态配置、插值、平滑及单位转换代码，实际moveLine参数与返回码；确认平滑后是否重做碰撞或表面检查。】</w:t>
      </w:r>
    </w:p>
    <w:p w14:paraId="6CBC2F84">
      <w:pPr>
        <w:pStyle w:val="4"/>
        <w:spacing w:before="240" w:after="240"/>
      </w:pPr>
      <w:bookmarkStart w:id="82" w:name="_Toc243339262"/>
      <w:r>
        <w:t>5.3.4 执行前运动学约束检查</w:t>
      </w:r>
      <w:bookmarkEnd w:id="82"/>
    </w:p>
    <w:p w14:paraId="0A77D949">
      <w:r>
        <w:t>执行前检查应覆盖目标与插值路点的逆解、关节限位和连续性，并结合实际环境检查机器人本体与附件碰撞。若执行器提供控制器内部验证，应记录其接口与失败反馈。第二章所给速度、加速度约束还需要时间参数才能评价，只有离散位置点时无法计算可信的全轨迹关节速度。</w:t>
      </w:r>
    </w:p>
    <w:p w14:paraId="32D78296">
      <w:r>
        <w:t>现有材料能够说明部分目标或路点的逆解检查，以及工具中心点的简化碰撞检查，但尚不足以证明所有插值段都经过完整机械臂碰撞检测。单点有解不能替代整条轨迹的可执行性。本文据实保留这一边界，不设置缺少记录支撑的“整轨迹约束满足率”结果。</w:t>
      </w:r>
    </w:p>
    <w:p w14:paraId="10B98FC2">
      <w:r>
        <w:rPr>
          <w:color w:val="C00000"/>
          <w:sz w:val="22"/>
        </w:rPr>
        <w:t>【待核D21：实际检查覆盖范围：仅端点、全部离散路点还是插值后的轨迹；逐点逆解与关节结果、越限或奇异报警、碰撞模型及控制器拒绝日志。已有记录可复用，不默认新增专项实验。】</w:t>
      </w:r>
    </w:p>
    <w:p w14:paraId="39CCC218">
      <w:pPr>
        <w:pStyle w:val="3"/>
      </w:pPr>
      <w:bookmarkStart w:id="83" w:name="_Toc243339263"/>
      <w:r>
        <w:t>5.4 系统实验与结果分析</w:t>
      </w:r>
      <w:bookmarkEnd w:id="83"/>
    </w:p>
    <w:p w14:paraId="7F3EEA88">
      <w:pPr>
        <w:pStyle w:val="4"/>
        <w:spacing w:before="240" w:after="240"/>
      </w:pPr>
      <w:bookmarkStart w:id="84" w:name="_Toc243339264"/>
      <w:r>
        <w:t>5.4.1 实验设置与评价指标</w:t>
      </w:r>
      <w:bookmarkEnd w:id="84"/>
    </w:p>
    <w:p w14:paraId="2BB85F1D">
      <w:r>
        <w:t>系统验证的目标是确认一套输入能依次形成有效目标、可检查的规划路径和可追踪的执行结果。视觉模型和规划器的主要性能分别在第三、四章评价，本节不重复构建大规模基线。优先使用同一任务批次的RGB图像、深度、点云、坐标参数、目标序列、规划结果及控制器日志，建立从输入到执行的完整对应。</w:t>
      </w:r>
    </w:p>
    <w:p w14:paraId="5B25B12D">
      <w:r>
        <w:t>定位误差需要独立参考位置，到位误差需要实际到达位置，执行偏差需要时间对齐的参考轨迹和实测轨迹。仅比较同一转换函数的正反变换，能够验证代数一致性，却不能证明外部空间精度。仅比较两条轨迹总长度，也不能替代逐点位置偏差。</w:t>
      </w:r>
    </w:p>
    <w:p w14:paraId="500AFCCA">
      <w:pPr>
        <w:spacing w:before="120" w:after="120" w:line="300" w:lineRule="auto"/>
        <w:ind w:firstLine="0"/>
        <w:jc w:val="center"/>
      </w:pPr>
      <m:oMath>
        <m:sSubSup>
          <m:sSubSupPr>
            <m:ctrlPr>
              <w:rPr>
                <w:rFonts w:ascii="Cambria Math" w:hAnsi="Cambria Math"/>
              </w:rPr>
            </m:ctrlPr>
          </m:sSubSupPr>
          <m:e>
            <m:r>
              <m:rPr>
                <m:sty m:val="p"/>
              </m:rPr>
              <w:rPr>
                <w:rFonts w:ascii="Cambria Math" w:hAnsi="Cambria Math"/>
              </w:rPr>
              <m:t>e</m:t>
            </m:r>
            <m:ctrlPr>
              <w:rPr>
                <w:rFonts w:ascii="Cambria Math" w:hAnsi="Cambria Math"/>
              </w:rPr>
            </m:ctrlPr>
          </m:e>
          <m:sub>
            <m:r>
              <m:rPr>
                <m:sty m:val="p"/>
              </m:rPr>
              <w:rPr>
                <w:rFonts w:ascii="Cambria Math" w:hAnsi="Cambria Math"/>
              </w:rPr>
              <m:t>i</m:t>
            </m:r>
            <m:ctrlPr>
              <w:rPr>
                <w:rFonts w:ascii="Cambria Math" w:hAnsi="Cambria Math"/>
              </w:rPr>
            </m:ctrlPr>
          </m:sub>
          <m:sup>
            <m:r>
              <m:rPr>
                <m:sty m:val="p"/>
              </m:rPr>
              <w:rPr>
                <w:rFonts w:ascii="Cambria Math" w:hAnsi="Cambria Math"/>
              </w:rPr>
              <m:t>pos</m:t>
            </m:r>
            <m:ctrlPr>
              <w:rPr>
                <w:rFonts w:ascii="Cambria Math" w:hAnsi="Cambria Math"/>
              </w:rPr>
            </m:ctrlP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p</m:t>
            </m:r>
            <m:ctrlPr>
              <w:rPr>
                <w:rFonts w:ascii="Cambria Math" w:hAnsi="Cambria Math"/>
              </w:rPr>
            </m:ctrlPr>
          </m:e>
          <m:sub>
            <m:r>
              <m:rPr>
                <m:sty m:val="p"/>
              </m:rPr>
              <w:rPr>
                <w:rFonts w:ascii="Cambria Math" w:hAnsi="Cambria Math"/>
              </w:rPr>
              <m:t>i</m:t>
            </m:r>
            <m:ctrlPr>
              <w:rPr>
                <w:rFonts w:ascii="Cambria Math" w:hAnsi="Cambria Math"/>
              </w:rPr>
            </m:ctrlPr>
          </m:sub>
          <m:sup>
            <m:r>
              <m:rPr>
                <m:sty m:val="p"/>
              </m:rPr>
              <w:rPr>
                <w:rFonts w:ascii="Cambria Math" w:hAnsi="Cambria Math"/>
              </w:rPr>
              <m:t>meas</m:t>
            </m:r>
            <m:ctrlPr>
              <w:rPr>
                <w:rFonts w:ascii="Cambria Math" w:hAnsi="Cambria Math"/>
              </w:rPr>
            </m:ctrlP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p</m:t>
            </m:r>
            <m:ctrlPr>
              <w:rPr>
                <w:rFonts w:ascii="Cambria Math" w:hAnsi="Cambria Math"/>
              </w:rPr>
            </m:ctrlPr>
          </m:e>
          <m:sub>
            <m:r>
              <m:rPr>
                <m:sty m:val="p"/>
              </m:rPr>
              <w:rPr>
                <w:rFonts w:ascii="Cambria Math" w:hAnsi="Cambria Math"/>
              </w:rPr>
              <m:t>i</m:t>
            </m:r>
            <m:ctrlPr>
              <w:rPr>
                <w:rFonts w:ascii="Cambria Math" w:hAnsi="Cambria Math"/>
              </w:rPr>
            </m:ctrlPr>
          </m:sub>
          <m:sup>
            <m:r>
              <m:rPr>
                <m:sty m:val="p"/>
              </m:rPr>
              <w:rPr>
                <w:rFonts w:ascii="Cambria Math" w:hAnsi="Cambria Math"/>
              </w:rPr>
              <m:t>ref</m:t>
            </m:r>
            <m:ctrlPr>
              <w:rPr>
                <w:rFonts w:ascii="Cambria Math" w:hAnsi="Cambria Math"/>
              </w:rPr>
            </m:ctrlPr>
          </m:sup>
        </m:sSubSup>
        <m:r>
          <m:rPr>
            <m:sty m:val="p"/>
          </m:rPr>
          <w:rPr>
            <w:rFonts w:ascii="Cambria Math" w:hAnsi="Cambria Math"/>
          </w:rPr>
          <m:t xml:space="preserve">‖,    </m:t>
        </m:r>
        <m:sSubSup>
          <m:sSubSupPr>
            <m:ctrlPr>
              <w:rPr>
                <w:rFonts w:ascii="Cambria Math" w:hAnsi="Cambria Math"/>
              </w:rPr>
            </m:ctrlPr>
          </m:sSubSupPr>
          <m:e>
            <m:r>
              <m:rPr>
                <m:sty m:val="p"/>
              </m:rPr>
              <w:rPr>
                <w:rFonts w:ascii="Cambria Math" w:hAnsi="Cambria Math"/>
              </w:rPr>
              <m:t>e</m:t>
            </m:r>
            <m:ctrlPr>
              <w:rPr>
                <w:rFonts w:ascii="Cambria Math" w:hAnsi="Cambria Math"/>
              </w:rPr>
            </m:ctrlPr>
          </m:e>
          <m:sub>
            <m:r>
              <m:rPr>
                <m:sty m:val="p"/>
              </m:rPr>
              <w:rPr>
                <w:rFonts w:ascii="Cambria Math" w:hAnsi="Cambria Math"/>
              </w:rPr>
              <m:t>i</m:t>
            </m:r>
            <m:ctrlPr>
              <w:rPr>
                <w:rFonts w:ascii="Cambria Math" w:hAnsi="Cambria Math"/>
              </w:rPr>
            </m:ctrlPr>
          </m:sub>
          <m:sup>
            <m:r>
              <m:rPr>
                <m:sty m:val="p"/>
              </m:rPr>
              <w:rPr>
                <w:rFonts w:ascii="Cambria Math" w:hAnsi="Cambria Math"/>
              </w:rPr>
              <m:t>axis</m:t>
            </m:r>
            <m:ctrlPr>
              <w:rPr>
                <w:rFonts w:ascii="Cambria Math" w:hAnsi="Cambria Math"/>
              </w:rPr>
            </m:ctrlPr>
          </m:sup>
        </m:sSubSup>
        <m:r>
          <m:rPr>
            <m:sty m:val="p"/>
          </m:rPr>
          <w:rPr>
            <w:rFonts w:ascii="Cambria Math" w:hAnsi="Cambria Math"/>
          </w:rPr>
          <m:t>=arccos(clip(</m:t>
        </m:r>
        <m:sSubSup>
          <m:sSubSupPr>
            <m:ctrlPr>
              <w:rPr>
                <w:rFonts w:ascii="Cambria Math" w:hAnsi="Cambria Math"/>
              </w:rPr>
            </m:ctrlPr>
          </m:sSubSupPr>
          <m:e>
            <m:r>
              <m:rPr>
                <m:sty m:val="p"/>
              </m:rPr>
              <w:rPr>
                <w:rFonts w:ascii="Cambria Math" w:hAnsi="Cambria Math"/>
              </w:rPr>
              <m:t>z</m:t>
            </m:r>
            <m:ctrlPr>
              <w:rPr>
                <w:rFonts w:ascii="Cambria Math" w:hAnsi="Cambria Math"/>
              </w:rPr>
            </m:ctrlPr>
          </m:e>
          <m:sub>
            <m:r>
              <m:rPr>
                <m:sty m:val="p"/>
              </m:rPr>
              <w:rPr>
                <w:rFonts w:ascii="Cambria Math" w:hAnsi="Cambria Math"/>
              </w:rPr>
              <m:t>i</m:t>
            </m:r>
            <m:ctrlPr>
              <w:rPr>
                <w:rFonts w:ascii="Cambria Math" w:hAnsi="Cambria Math"/>
              </w:rPr>
            </m:ctrlPr>
          </m:sub>
          <m:sup>
            <m:r>
              <m:rPr>
                <m:sty m:val="p"/>
              </m:rPr>
              <w:rPr>
                <w:rFonts w:ascii="Cambria Math" w:hAnsi="Cambria Math"/>
              </w:rPr>
              <m:t>meas</m:t>
            </m:r>
            <m:ctrlPr>
              <w:rPr>
                <w:rFonts w:ascii="Cambria Math" w:hAnsi="Cambria Math"/>
              </w:rPr>
            </m:ctrlP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z</m:t>
            </m:r>
            <m:ctrlPr>
              <w:rPr>
                <w:rFonts w:ascii="Cambria Math" w:hAnsi="Cambria Math"/>
              </w:rPr>
            </m:ctrlPr>
          </m:e>
          <m:sub>
            <m:r>
              <m:rPr>
                <m:sty m:val="p"/>
              </m:rPr>
              <w:rPr>
                <w:rFonts w:ascii="Cambria Math" w:hAnsi="Cambria Math"/>
              </w:rPr>
              <m:t>i</m:t>
            </m:r>
            <m:ctrlPr>
              <w:rPr>
                <w:rFonts w:ascii="Cambria Math" w:hAnsi="Cambria Math"/>
              </w:rPr>
            </m:ctrlPr>
          </m:sub>
          <m:sup>
            <m:r>
              <m:rPr>
                <m:sty m:val="p"/>
              </m:rPr>
              <w:rPr>
                <w:rFonts w:ascii="Cambria Math" w:hAnsi="Cambria Math"/>
              </w:rPr>
              <m:t>ref</m:t>
            </m:r>
            <m:ctrlPr>
              <w:rPr>
                <w:rFonts w:ascii="Cambria Math" w:hAnsi="Cambria Math"/>
              </w:rPr>
            </m:ctrlPr>
          </m:sup>
        </m:sSubSup>
        <m:r>
          <m:rPr>
            <m:sty m:val="p"/>
          </m:rPr>
          <w:rPr>
            <w:rFonts w:ascii="Cambria Math" w:hAnsi="Cambria Math"/>
          </w:rPr>
          <m:t>,−1,1))</m:t>
        </m:r>
      </m:oMath>
      <w:r>
        <w:rPr>
          <w:sz w:val="21"/>
        </w:rPr>
        <w:t xml:space="preserve">    （5-13）</w:t>
      </w:r>
    </w:p>
    <w:p w14:paraId="5090AB5F">
      <w:r>
        <w:t>分阶段耗时可记录图像获取、视觉推理、三维映射、路径规划和执行等阶段；人工确认时间单独记录。任务完成率应按实际执行并返回完成状态的目标或任务统计，不以“已处理点数”等同于“已完成运动次数”。失败时保留深度无效、识别异常、逆解失</w:t>
      </w:r>
      <w:bookmarkStart w:id="101" w:name="_GoBack"/>
      <w:bookmarkEnd w:id="101"/>
      <w:r>
        <w:t>败、规划失败或控制器拒绝等原因。</w:t>
      </w:r>
    </w:p>
    <w:p w14:paraId="590B3B1E">
      <w:pPr>
        <w:pStyle w:val="4"/>
        <w:spacing w:before="240" w:after="240"/>
      </w:pPr>
      <w:bookmarkStart w:id="85" w:name="_Toc243339265"/>
      <w:r>
        <w:t>5.4.2 视觉引导的目标定位与路径生成</w:t>
      </w:r>
      <w:bookmarkEnd w:id="85"/>
    </w:p>
    <w:p w14:paraId="1EE7E569">
      <w:r>
        <w:t>既有点云图片能够展示人体表面的目标点和局部轨迹分布。图5-5给出了现有材料中的曲面目标与轨迹可视化，用于说明从目标位置到表面路径表达的形式。该图未与公平对比实验v2构成同一批次记录，因此不能据此解释第四章统计结果，也不能单凭可视化判断其绝对定位精度。</w:t>
      </w:r>
    </w:p>
    <w:p w14:paraId="4158BC1F">
      <w:pPr>
        <w:keepNext/>
        <w:spacing w:before="100" w:line="240" w:lineRule="auto"/>
        <w:ind w:firstLine="0"/>
        <w:jc w:val="center"/>
      </w:pPr>
      <w:r>
        <w:drawing>
          <wp:inline distT="0" distB="0" distL="0" distR="0">
            <wp:extent cx="5039995" cy="3735070"/>
            <wp:effectExtent l="0" t="0" r="0" b="0"/>
            <wp:docPr id="14" name="Picture 14" descr="图5-5 既有人体表面目标与曲面轨迹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图5-5 既有人体表面目标与曲面轨迹示例"/>
                    <pic:cNvPicPr>
                      <a:picLocks noChangeAspect="1"/>
                    </pic:cNvPicPr>
                  </pic:nvPicPr>
                  <pic:blipFill>
                    <a:blip r:embed="rId23"/>
                    <a:stretch>
                      <a:fillRect/>
                    </a:stretch>
                  </pic:blipFill>
                  <pic:spPr>
                    <a:xfrm>
                      <a:off x="0" y="0"/>
                      <a:ext cx="5040000" cy="3735588"/>
                    </a:xfrm>
                    <a:prstGeom prst="rect">
                      <a:avLst/>
                    </a:prstGeom>
                  </pic:spPr>
                </pic:pic>
              </a:graphicData>
            </a:graphic>
          </wp:inline>
        </w:drawing>
      </w:r>
    </w:p>
    <w:p w14:paraId="0435B5FA">
      <w:pPr>
        <w:pStyle w:val="79"/>
        <w:keepNext/>
      </w:pPr>
      <w:r>
        <w:t>图5-5 既有人体表面目标与曲面轨迹示例</w:t>
      </w:r>
    </w:p>
    <w:p w14:paraId="1B92DA97">
      <w:pPr>
        <w:spacing w:line="276" w:lineRule="auto"/>
        <w:ind w:firstLine="0"/>
      </w:pPr>
      <w:r>
        <w:rPr>
          <w:sz w:val="18"/>
        </w:rPr>
        <w:t>来源：现有SC-RRT论文的点云与轨迹材料；作为部署示例保留，具体采集与执行批次待关联。</w:t>
      </w:r>
    </w:p>
    <w:p w14:paraId="6BD8911E">
      <w:pPr>
        <w:keepNext/>
        <w:spacing w:before="100" w:line="240" w:lineRule="auto"/>
        <w:ind w:firstLine="0"/>
        <w:jc w:val="center"/>
      </w:pPr>
      <w:r>
        <w:drawing>
          <wp:inline distT="0" distB="0" distL="0" distR="0">
            <wp:extent cx="3419475" cy="4272915"/>
            <wp:effectExtent l="0" t="0" r="0" b="0"/>
            <wp:docPr id="15" name="Picture 15" descr="图5-6 既有表面轨迹与机械臂场景可视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图5-6 既有表面轨迹与机械臂场景可视化"/>
                    <pic:cNvPicPr>
                      <a:picLocks noChangeAspect="1"/>
                    </pic:cNvPicPr>
                  </pic:nvPicPr>
                  <pic:blipFill>
                    <a:blip r:embed="rId24"/>
                    <a:stretch>
                      <a:fillRect/>
                    </a:stretch>
                  </pic:blipFill>
                  <pic:spPr>
                    <a:xfrm>
                      <a:off x="0" y="0"/>
                      <a:ext cx="3420000" cy="4273548"/>
                    </a:xfrm>
                    <a:prstGeom prst="rect">
                      <a:avLst/>
                    </a:prstGeom>
                  </pic:spPr>
                </pic:pic>
              </a:graphicData>
            </a:graphic>
          </wp:inline>
        </w:drawing>
      </w:r>
    </w:p>
    <w:p w14:paraId="6E4429ED">
      <w:pPr>
        <w:pStyle w:val="79"/>
        <w:keepNext/>
      </w:pPr>
      <w:r>
        <w:t>图5-6 既有表面轨迹与机械臂场景可视化</w:t>
      </w:r>
    </w:p>
    <w:p w14:paraId="48095704">
      <w:pPr>
        <w:spacing w:line="276" w:lineRule="auto"/>
        <w:ind w:firstLine="0"/>
      </w:pPr>
      <w:r>
        <w:rPr>
          <w:sz w:val="18"/>
        </w:rPr>
        <w:t>来源：现有实物案例材料；用于说明曲面目标与机械臂场景的对应形式。</w:t>
      </w:r>
    </w:p>
    <w:p w14:paraId="295C2047">
      <w:r>
        <w:t>视觉到规划的完整验证还需要在同一图像中标出算法原始目标与人工确认目标，在对应点云中标出空间目标和接近点，并保存相邻接近点间的SC-RRT路径。只有这些对象具有同一采集编号、坐标系与参数版本，才能检查目标是否在各阶段保持一致。来自不同目录但缺少配对清单的点云和目标文件，不宜直接合并后计算“定位误差”。</w:t>
      </w:r>
    </w:p>
    <w:p w14:paraId="4E4F05E1">
      <w:r>
        <w:rPr>
          <w:color w:val="C00000"/>
          <w:sz w:val="22"/>
        </w:rPr>
        <w:t>【待补D22：一个已完成任务的成套记录：原始与确认后的目标像素、同次RGB-D及点云、T_BF/T_FC/T_FT、目标与接近点、SC-RRT路径和执行日志；提供采集编号或文件对应清单。】</w:t>
      </w:r>
    </w:p>
    <w:p w14:paraId="48A16A85">
      <w:pPr>
        <w:pStyle w:val="4"/>
        <w:spacing w:before="240" w:after="240"/>
      </w:pPr>
      <w:bookmarkStart w:id="86" w:name="_Toc243339266"/>
      <w:r>
        <w:t>5.4.3 机械臂执行结果与分析</w:t>
      </w:r>
      <w:bookmarkEnd w:id="86"/>
    </w:p>
    <w:p w14:paraId="73804BBA">
      <w:r>
        <w:t>图5-1和图5-6支持平台搭建及既有曲面作业案例的描述。原论文还报告了规划长度、实际长度及TCP误差，但相应的逐点记录、参考真值、时间配对与统计代码尚需关联。因此，本初稿保留实物现象与工程流程，不将未核实的误差值加入摘要或作为算法优越性的定量证据。</w:t>
      </w:r>
    </w:p>
    <w:p w14:paraId="1BE60F7D">
      <w:r>
        <w:rPr>
          <w:color w:val="C00000"/>
          <w:sz w:val="22"/>
        </w:rPr>
        <w:t>【待核D23：原SC-RRT实物稿中规划3.249 m、实际3.245 m、长度差0.12%、平均TCP误差1.98 mm及最大3.09 mm所对应的原始轨迹、真值来源、配准/时间匹配与计算方法；核实后填写执行偏差________。】</w:t>
      </w:r>
    </w:p>
    <w:p w14:paraId="63ECFE0F">
      <w:r>
        <w:rPr>
          <w:color w:val="C00000"/>
          <w:sz w:val="22"/>
        </w:rPr>
        <w:t>【待核D24：视觉旧稿中法向角误差4.2°±1.6°及分部位三维误差的逐样本记录、测量方法和失败样本；缺少独立方向真值时仅保留工具朝向可视化，不报告精度数值。】</w:t>
      </w:r>
    </w:p>
    <w:p w14:paraId="15DB6283">
      <w:r>
        <w:t>对于已有完整任务，可用表5-3汇总主要结果。该表只保留与联动验证直接相关的指标，避免将法向精度、误差传播、重复性和全部约束统计拆成多个独立实验任务。若已有日志足够，应直接整理；只有缺少支撑核心主张的记录时，才安排必要补测。</w:t>
      </w:r>
    </w:p>
    <w:p w14:paraId="1C5F05FF">
      <w:pPr>
        <w:pStyle w:val="79"/>
        <w:keepNext/>
      </w:pPr>
      <w:r>
        <w:t>表5-3 同次联动任务结果待填表</w:t>
      </w:r>
    </w:p>
    <w:tbl>
      <w:tblPr>
        <w:tblStyle w:val="28"/>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75" w:type="dxa"/>
          <w:bottom w:w="65" w:type="dxa"/>
          <w:right w:w="75" w:type="dxa"/>
        </w:tblCellMar>
      </w:tblPr>
      <w:tblGrid>
        <w:gridCol w:w="3024"/>
        <w:gridCol w:w="3024"/>
        <w:gridCol w:w="3024"/>
      </w:tblGrid>
      <w:tr w14:paraId="6AE6C1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tblHeader/>
          <w:jc w:val="center"/>
        </w:trPr>
        <w:tc>
          <w:tcPr>
            <w:tcW w:w="3024" w:type="dxa"/>
            <w:shd w:val="clear" w:color="auto" w:fill="F2F2F2"/>
            <w:vAlign w:val="center"/>
          </w:tcPr>
          <w:p w14:paraId="0475C947">
            <w:pPr>
              <w:keepNext/>
              <w:spacing w:before="40" w:after="40" w:line="276" w:lineRule="auto"/>
              <w:ind w:firstLine="0"/>
              <w:jc w:val="center"/>
            </w:pPr>
            <w:r>
              <w:rPr>
                <w:b/>
                <w:sz w:val="20"/>
              </w:rPr>
              <w:t>指标</w:t>
            </w:r>
          </w:p>
        </w:tc>
        <w:tc>
          <w:tcPr>
            <w:tcW w:w="3024" w:type="dxa"/>
            <w:shd w:val="clear" w:color="auto" w:fill="F2F2F2"/>
            <w:vAlign w:val="center"/>
          </w:tcPr>
          <w:p w14:paraId="35B760C4">
            <w:pPr>
              <w:keepNext/>
              <w:spacing w:before="40" w:after="40" w:line="276" w:lineRule="auto"/>
              <w:ind w:firstLine="0"/>
              <w:jc w:val="center"/>
            </w:pPr>
            <w:r>
              <w:rPr>
                <w:b/>
                <w:sz w:val="20"/>
              </w:rPr>
              <w:t>结果</w:t>
            </w:r>
          </w:p>
        </w:tc>
        <w:tc>
          <w:tcPr>
            <w:tcW w:w="3024" w:type="dxa"/>
            <w:shd w:val="clear" w:color="auto" w:fill="F2F2F2"/>
            <w:vAlign w:val="center"/>
          </w:tcPr>
          <w:p w14:paraId="57080CFA">
            <w:pPr>
              <w:keepNext/>
              <w:spacing w:before="40" w:after="40" w:line="276" w:lineRule="auto"/>
              <w:ind w:firstLine="0"/>
              <w:jc w:val="center"/>
            </w:pPr>
            <w:r>
              <w:rPr>
                <w:b/>
                <w:sz w:val="20"/>
              </w:rPr>
              <w:t>所需依据</w:t>
            </w:r>
          </w:p>
        </w:tc>
      </w:tr>
      <w:tr w14:paraId="2A6924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3199BD1D">
            <w:pPr>
              <w:keepNext/>
              <w:spacing w:before="40" w:after="40" w:line="276" w:lineRule="auto"/>
              <w:ind w:firstLine="0"/>
              <w:jc w:val="center"/>
            </w:pPr>
            <w:r>
              <w:rPr>
                <w:sz w:val="20"/>
              </w:rPr>
              <w:t>有效目标数与实际完成数</w:t>
            </w:r>
          </w:p>
        </w:tc>
        <w:tc>
          <w:tcPr>
            <w:tcW w:w="3024" w:type="dxa"/>
            <w:vAlign w:val="center"/>
          </w:tcPr>
          <w:p w14:paraId="71F8E02B">
            <w:pPr>
              <w:keepNext/>
              <w:spacing w:before="40" w:after="40" w:line="276" w:lineRule="auto"/>
              <w:ind w:firstLine="0"/>
              <w:jc w:val="center"/>
            </w:pPr>
            <w:r>
              <w:rPr>
                <w:color w:val="C00000"/>
                <w:sz w:val="20"/>
              </w:rPr>
              <w:t>________</w:t>
            </w:r>
          </w:p>
        </w:tc>
        <w:tc>
          <w:tcPr>
            <w:tcW w:w="3024" w:type="dxa"/>
            <w:vAlign w:val="center"/>
          </w:tcPr>
          <w:p w14:paraId="73BCBB44">
            <w:pPr>
              <w:keepNext/>
              <w:spacing w:before="40" w:after="40" w:line="276" w:lineRule="auto"/>
              <w:ind w:firstLine="0"/>
              <w:jc w:val="center"/>
            </w:pPr>
            <w:r>
              <w:rPr>
                <w:sz w:val="20"/>
              </w:rPr>
              <w:t>目标列表及控制器完成状态</w:t>
            </w:r>
          </w:p>
        </w:tc>
      </w:tr>
      <w:tr w14:paraId="4DFC7D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1EA65145">
            <w:pPr>
              <w:keepNext/>
              <w:spacing w:before="40" w:after="40" w:line="276" w:lineRule="auto"/>
              <w:ind w:firstLine="0"/>
              <w:jc w:val="center"/>
            </w:pPr>
            <w:r>
              <w:rPr>
                <w:sz w:val="20"/>
              </w:rPr>
              <w:t>视觉与三维处理耗时</w:t>
            </w:r>
          </w:p>
        </w:tc>
        <w:tc>
          <w:tcPr>
            <w:tcW w:w="3024" w:type="dxa"/>
            <w:vAlign w:val="center"/>
          </w:tcPr>
          <w:p w14:paraId="6D889357">
            <w:pPr>
              <w:keepNext/>
              <w:spacing w:before="40" w:after="40" w:line="276" w:lineRule="auto"/>
              <w:ind w:firstLine="0"/>
              <w:jc w:val="center"/>
            </w:pPr>
            <w:r>
              <w:rPr>
                <w:color w:val="C00000"/>
                <w:sz w:val="20"/>
              </w:rPr>
              <w:t>________</w:t>
            </w:r>
          </w:p>
        </w:tc>
        <w:tc>
          <w:tcPr>
            <w:tcW w:w="3024" w:type="dxa"/>
            <w:vAlign w:val="center"/>
          </w:tcPr>
          <w:p w14:paraId="2B895131">
            <w:pPr>
              <w:keepNext/>
              <w:spacing w:before="40" w:after="40" w:line="276" w:lineRule="auto"/>
              <w:ind w:firstLine="0"/>
              <w:jc w:val="center"/>
            </w:pPr>
            <w:r>
              <w:rPr>
                <w:sz w:val="20"/>
              </w:rPr>
              <w:t>明确起止时间的阶段日志</w:t>
            </w:r>
          </w:p>
        </w:tc>
      </w:tr>
      <w:tr w14:paraId="0431F5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6A684469">
            <w:pPr>
              <w:keepNext/>
              <w:spacing w:before="40" w:after="40" w:line="276" w:lineRule="auto"/>
              <w:ind w:firstLine="0"/>
              <w:jc w:val="center"/>
            </w:pPr>
            <w:r>
              <w:rPr>
                <w:sz w:val="20"/>
              </w:rPr>
              <w:t>分段规划耗时与成功数</w:t>
            </w:r>
          </w:p>
        </w:tc>
        <w:tc>
          <w:tcPr>
            <w:tcW w:w="3024" w:type="dxa"/>
            <w:vAlign w:val="center"/>
          </w:tcPr>
          <w:p w14:paraId="3D155BF8">
            <w:pPr>
              <w:keepNext/>
              <w:spacing w:before="40" w:after="40" w:line="276" w:lineRule="auto"/>
              <w:ind w:firstLine="0"/>
              <w:jc w:val="center"/>
            </w:pPr>
            <w:r>
              <w:rPr>
                <w:color w:val="C00000"/>
                <w:sz w:val="20"/>
              </w:rPr>
              <w:t>________</w:t>
            </w:r>
          </w:p>
        </w:tc>
        <w:tc>
          <w:tcPr>
            <w:tcW w:w="3024" w:type="dxa"/>
            <w:vAlign w:val="center"/>
          </w:tcPr>
          <w:p w14:paraId="7775FB2D">
            <w:pPr>
              <w:keepNext/>
              <w:spacing w:before="40" w:after="40" w:line="276" w:lineRule="auto"/>
              <w:ind w:firstLine="0"/>
              <w:jc w:val="center"/>
            </w:pPr>
            <w:r>
              <w:rPr>
                <w:sz w:val="20"/>
              </w:rPr>
              <w:t>SC-RRT逐段结果</w:t>
            </w:r>
          </w:p>
        </w:tc>
      </w:tr>
      <w:tr w14:paraId="15B0772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0BA3BE44">
            <w:pPr>
              <w:keepNext/>
              <w:spacing w:before="40" w:after="40" w:line="276" w:lineRule="auto"/>
              <w:ind w:firstLine="0"/>
              <w:jc w:val="center"/>
            </w:pPr>
            <w:r>
              <w:rPr>
                <w:sz w:val="20"/>
              </w:rPr>
              <w:t>到位或执行偏差</w:t>
            </w:r>
          </w:p>
        </w:tc>
        <w:tc>
          <w:tcPr>
            <w:tcW w:w="3024" w:type="dxa"/>
            <w:vAlign w:val="center"/>
          </w:tcPr>
          <w:p w14:paraId="23C6E1DD">
            <w:pPr>
              <w:keepNext/>
              <w:spacing w:before="40" w:after="40" w:line="276" w:lineRule="auto"/>
              <w:ind w:firstLine="0"/>
              <w:jc w:val="center"/>
            </w:pPr>
            <w:r>
              <w:rPr>
                <w:color w:val="C00000"/>
                <w:sz w:val="20"/>
              </w:rPr>
              <w:t>________</w:t>
            </w:r>
          </w:p>
        </w:tc>
        <w:tc>
          <w:tcPr>
            <w:tcW w:w="3024" w:type="dxa"/>
            <w:vAlign w:val="center"/>
          </w:tcPr>
          <w:p w14:paraId="1FD3A6BE">
            <w:pPr>
              <w:keepNext/>
              <w:spacing w:before="40" w:after="40" w:line="276" w:lineRule="auto"/>
              <w:ind w:firstLine="0"/>
              <w:jc w:val="center"/>
            </w:pPr>
            <w:r>
              <w:rPr>
                <w:sz w:val="20"/>
              </w:rPr>
              <w:t>独立位置参考与实际轨迹</w:t>
            </w:r>
          </w:p>
        </w:tc>
      </w:tr>
      <w:tr w14:paraId="3C6BF5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2DD6F7FE">
            <w:pPr>
              <w:spacing w:before="40" w:after="40" w:line="276" w:lineRule="auto"/>
              <w:ind w:firstLine="0"/>
              <w:jc w:val="center"/>
            </w:pPr>
            <w:r>
              <w:rPr>
                <w:sz w:val="20"/>
              </w:rPr>
              <w:t>失败或拒绝情况</w:t>
            </w:r>
          </w:p>
        </w:tc>
        <w:tc>
          <w:tcPr>
            <w:tcW w:w="3024" w:type="dxa"/>
            <w:vAlign w:val="center"/>
          </w:tcPr>
          <w:p w14:paraId="2AF49E4C">
            <w:pPr>
              <w:spacing w:before="40" w:after="40" w:line="276" w:lineRule="auto"/>
              <w:ind w:firstLine="0"/>
              <w:jc w:val="center"/>
            </w:pPr>
            <w:r>
              <w:rPr>
                <w:color w:val="C00000"/>
                <w:sz w:val="20"/>
              </w:rPr>
              <w:t>________</w:t>
            </w:r>
          </w:p>
        </w:tc>
        <w:tc>
          <w:tcPr>
            <w:tcW w:w="3024" w:type="dxa"/>
            <w:vAlign w:val="center"/>
          </w:tcPr>
          <w:p w14:paraId="056986FB">
            <w:pPr>
              <w:spacing w:before="40" w:after="40" w:line="276" w:lineRule="auto"/>
              <w:ind w:firstLine="0"/>
              <w:jc w:val="center"/>
            </w:pPr>
            <w:r>
              <w:rPr>
                <w:sz w:val="20"/>
              </w:rPr>
              <w:t>原因分类及原始返回码</w:t>
            </w:r>
          </w:p>
        </w:tc>
      </w:tr>
    </w:tbl>
    <w:p w14:paraId="14B99AB8"/>
    <w:p w14:paraId="2F7137CC">
      <w:r>
        <w:rPr>
          <w:color w:val="C00000"/>
          <w:sz w:val="22"/>
        </w:rPr>
        <w:t>【待补D25：表5-3对应的同次任务记录；如无独立位置真值，删除到位精度主张并保留流程可行性结论。若需保留视觉到执行的定量结论，才补一组具有独立参考的最小联动验证。】</w:t>
      </w:r>
    </w:p>
    <w:p w14:paraId="2576545E">
      <w:r>
        <w:t>当前证据表明，两类算法可以通过目标位姿、接近点和路点接口形成明确的部署关系，但完整定量链路尚不能由分散图片替代。主要待核环节是采集与变换的时间一致性、近邻替换与平滑后的几何偏差、全轨迹运动约束覆盖及控制器状态统计。上述问题宜优先通过整理已有文件和日志解决，而不是默认增加动态避障、接触力控制或新的人体试验。</w:t>
      </w:r>
    </w:p>
    <w:p w14:paraId="478F6A06">
      <w:pPr>
        <w:pStyle w:val="3"/>
      </w:pPr>
      <w:bookmarkStart w:id="87" w:name="_Toc243339267"/>
      <w:r>
        <w:t>5.5 本章小结</w:t>
      </w:r>
      <w:bookmarkEnd w:id="87"/>
    </w:p>
    <w:p w14:paraId="63E333C8">
      <w:r>
        <w:t>本章给出了平台组成、相机投影、手眼外参与工具坐标的作用，说明从目标像素到空间点、表面法向和工具位姿的生成过程，并建立目标、接近点、转移路径和执行路点之间的对应。现有实物与点云材料展示了部署案例，独立精度及完整联动性能仍需同次任务记录支持。通过集中呈现标定、衔接与最小验证内容，本章为两项算法提供工程联系，同时保持结论与已有证据一致。</w:t>
      </w:r>
    </w:p>
    <w:p w14:paraId="1E466410">
      <w:pPr>
        <w:pStyle w:val="2"/>
      </w:pPr>
      <w:bookmarkStart w:id="88" w:name="_Toc243339268"/>
      <w:r>
        <w:t>第6章 总结与展望</w:t>
      </w:r>
      <w:bookmarkEnd w:id="88"/>
    </w:p>
    <w:p w14:paraId="0D797C94">
      <w:pPr>
        <w:pStyle w:val="3"/>
      </w:pPr>
      <w:bookmarkStart w:id="89" w:name="_Toc243339269"/>
      <w:r>
        <w:t>6.1 全文工作总结</w:t>
      </w:r>
      <w:bookmarkEnd w:id="89"/>
    </w:p>
    <w:p w14:paraId="08ACE72D">
      <w:r>
        <w:t>本文围绕人体个体化视觉目标与静态路径搜索，整理了YOLOv11-AMP和SC-RRT两项算法的研究方法、实现过程与实验依据，并从坐标和运动约束层面建立二者的部署联系。人体穴位作为具体视觉目标用于检验结构化定位与机械臂目标生成，论文重点放在算法及其工程实现。</w:t>
      </w:r>
    </w:p>
    <w:p w14:paraId="6C2D5FAB">
      <w:r>
        <w:t>在视觉定位方面，构建了通用姿态估计、局部解剖锚点和骨度约束规则相结合的处理流程。根据部位编码调用背部、腹部和腿部处理分支，利用关键点构建纵横尺度并生成穴位像素。颈部、脐部和膝部模型的训练配置与日志已得到整理，其中部署主流程能够核实通用、颈部和脐部模型的调用，膝部专用模型的生产接入仍需确认。现有锚点验证指标支持训练结果的描述，尚不能替代穴位级独立定位评价。</w:t>
      </w:r>
    </w:p>
    <w:p w14:paraId="23BC1769">
      <w:r>
        <w:t>在路径规划方面，给出了双向搜索、动态中间参考点、双侧椭球采样和搜索状态反馈的具体实现。采用每个维度10张地图、每张50个规划种子及5000次原子扩展尝试，分别比较首解与终值。SC-RRT在两个维度均完成500次求解，相比RRT-Connect获得较短的终值路径，但首解速度较慢；RRT*与Informed-RRT*在本配置下的终值路径更短。匹配消融显示反馈相对于选定固定参数的贡献较小，二维平均改善尚存在不确定性，三维结果支持有限的增量收益。</w:t>
      </w:r>
    </w:p>
    <w:p w14:paraId="01DAED64">
      <w:r>
        <w:t>在系统部署方面，统一了基座、法兰、相机、工具与局部作业坐标的表达，说明相机内参与手眼、TCP参数如何共同作用于目标位姿生成。通过区分表面目标、接近点和转移端点，明确SC-RRT几何路径与已有曲面作业轨迹的作用范围，并指出路点姿态、逆解和完整机械臂约束检查对执行的重要性。既有图片支持平台与执行案例展示，定量联动结论仍需完整配套数据。</w:t>
      </w:r>
    </w:p>
    <w:p w14:paraId="46D1CB6D">
      <w:pPr>
        <w:pStyle w:val="3"/>
      </w:pPr>
      <w:bookmarkStart w:id="90" w:name="_Toc243339270"/>
      <w:r>
        <w:t>6.2 主要研究贡献</w:t>
      </w:r>
      <w:bookmarkEnd w:id="90"/>
    </w:p>
    <w:p w14:paraId="7975F3FB">
      <w:r>
        <w:t>第一，形成面向隐式穴位目标的结构化定位方法。通过学习解剖锚点并结合可配置几何规则，将目标生成过程分解为可检查的锚点、尺度和偏移关系，使分部位实现和人工核查具备明确的数据接口。该贡献体现在任务表示与推理流程，而非未经验证的网络结构改造。</w:t>
      </w:r>
    </w:p>
    <w:p w14:paraId="3D1DDDCB">
      <w:r>
        <w:t>第二，实现并评价有限预算下的SC-RRT组合方法。将双向连接、局部重布线、动态参考点和受限采样组织到统一扩展计数中，通过首解、终值与匹配启动消融描述实际收益及其边界。公平协议与保守解释使小幅改善仍具有可复核性，同时避免将机制组合的效果误归因于单一组件。</w:t>
      </w:r>
    </w:p>
    <w:p w14:paraId="3DD28718">
      <w:r>
        <w:t>第三，明确视觉目标到机械臂运动输入的工程转换关系。将相机模型、手眼外参、工具补偿、表面法向、目标序列和执行约束纳入同一坐标体系，使两项算法能够通过可定义的中间数据衔接。该部分提供的是部署方法与现有案例依据，尚不构成全自动连续闭环或临床效果验证。</w:t>
      </w:r>
    </w:p>
    <w:p w14:paraId="50956F19">
      <w:pPr>
        <w:pStyle w:val="3"/>
      </w:pPr>
      <w:bookmarkStart w:id="91" w:name="_Toc243339271"/>
      <w:r>
        <w:t>6.3 研究局限与展望</w:t>
      </w:r>
      <w:bookmarkEnd w:id="91"/>
    </w:p>
    <w:p w14:paraId="0FD3E196">
      <w:r>
        <w:t>视觉部分仍需核对数据集来源、划分和独立测试条件。局部锚点误差、经验尺度补偿和二维透视假设可能共同影响穴位推理；人工确认与模板回退还会改变输出样本范围。后续应优先恢复独立标注和逐样本预测记录，明确有效覆盖率与位置误差之间的关系，再讨论复杂姿态与新部位扩展。</w:t>
      </w:r>
    </w:p>
    <w:p w14:paraId="4E81E041">
      <w:r>
        <w:t>规划部分的评价限定在静态点机器人空间，反馈仅与一组匹配启动的固定参数比较。现有结果不支持对任意动态环境、构型空间或所有参数配置的普遍优势宣称。后续可以在保持现有结果可复现的基础上，研究更合理的状态反馈信号、参数选择及完整机械臂几何约束，但这些方向不影响本初稿对当前实现的如实总结。</w:t>
      </w:r>
    </w:p>
    <w:p w14:paraId="6784F042">
      <w:r>
        <w:t>部署部分需要补齐实际D-H、相机内外参和TCP参数，建立同次采集到执行的数据对应。对于时间同步、平滑后偏差和全轨迹检查，首先应以现有日志和配置核查真实运行行为。如果原始记录无法支持论文需要保留的精度主张，再进行范围明确的最小补测。动态目标跟踪、持续视觉伺服与接触控制可作为后续研究方向，不作为当前已经完成的成果。</w:t>
      </w:r>
    </w:p>
    <w:p w14:paraId="7201FB3A">
      <w:pPr>
        <w:pStyle w:val="2"/>
      </w:pPr>
      <w:bookmarkStart w:id="92" w:name="_Toc243339272"/>
      <w:r>
        <w:t>参考文献</w:t>
      </w:r>
      <w:bookmarkEnd w:id="92"/>
    </w:p>
    <w:p w14:paraId="510FC573">
      <w:pPr>
        <w:keepLines/>
        <w:spacing w:after="120" w:line="288" w:lineRule="auto"/>
        <w:ind w:left="360" w:hanging="360"/>
        <w:jc w:val="left"/>
      </w:pPr>
      <w:r>
        <w:rPr>
          <w:sz w:val="21"/>
        </w:rPr>
        <w:t>[1] CAO Z, SIMON T, WEI S E, et al. Realtime multi-person 2D pose estimation using part affinity fields[C]//Proceedings of the IEEE Conference on Computer Vision and Pattern Recognition. 2017: 7291-7299. https://openaccess.thecvf.com/content_cvpr_2017/html/Cao_Realtime_Multi-Person_2D_CVPR_2017_paper.html.</w:t>
      </w:r>
    </w:p>
    <w:p w14:paraId="65169D79">
      <w:pPr>
        <w:keepLines/>
        <w:spacing w:after="120" w:line="288" w:lineRule="auto"/>
        <w:ind w:left="360" w:hanging="360"/>
        <w:jc w:val="left"/>
      </w:pPr>
      <w:r>
        <w:rPr>
          <w:sz w:val="21"/>
        </w:rPr>
        <w:t>[2] JIANG T, LU P, ZHANG L, et al. RTMPose: Real-time multi-person pose estimation based on MMPose[EB/OL]. (2023-03-13)[2026-10-19]. https://arxiv.org/abs/2303.07399.</w:t>
      </w:r>
    </w:p>
    <w:p w14:paraId="2FA41CD9">
      <w:pPr>
        <w:keepLines/>
        <w:spacing w:after="120" w:line="288" w:lineRule="auto"/>
        <w:ind w:left="360" w:hanging="360"/>
        <w:jc w:val="left"/>
      </w:pPr>
      <w:r>
        <w:rPr>
          <w:sz w:val="21"/>
        </w:rPr>
        <w:t>[3] REDMON J, DIVVALA S, GIRSHICK R, et al. You only look once: Unified, real-time object detection[C]//Proceedings of the IEEE Conference on Computer Vision and Pattern Recognition. 2016: 779-788. https://openaccess.thecvf.com/content_cvpr_2016/html/Redmon_You_Only_Look_CVPR_2016_paper.html.</w:t>
      </w:r>
    </w:p>
    <w:p w14:paraId="45F38E44">
      <w:pPr>
        <w:keepLines/>
        <w:spacing w:after="120" w:line="288" w:lineRule="auto"/>
        <w:ind w:left="360" w:hanging="360"/>
        <w:jc w:val="left"/>
      </w:pPr>
      <w:r>
        <w:rPr>
          <w:sz w:val="21"/>
        </w:rPr>
        <w:t>[4] ULTRALYTICS. Ultralytics YOLO11[EB/OL]. [2026-10-19]. https://docs.ultralytics.com/models/yolo11/.</w:t>
      </w:r>
    </w:p>
    <w:p w14:paraId="2BA5B3F3">
      <w:pPr>
        <w:keepLines/>
        <w:spacing w:after="120" w:line="288" w:lineRule="auto"/>
        <w:ind w:left="360" w:hanging="360"/>
        <w:jc w:val="left"/>
      </w:pPr>
      <w:r>
        <w:rPr>
          <w:sz w:val="21"/>
        </w:rPr>
        <w:t>[5] MALEKROODI H S, SEO S D, CHOI J, et al. Real-time location of acupuncture points based on anatomical landmarks and pose estimation models[J]. Frontiers in Neurorobotics, 2024, 18: 1484038. DOI: 10.3389/fnbot.2024.1484038.</w:t>
      </w:r>
    </w:p>
    <w:p w14:paraId="0EF544AD">
      <w:pPr>
        <w:keepLines/>
        <w:spacing w:after="120" w:line="288" w:lineRule="auto"/>
        <w:ind w:left="360" w:hanging="360"/>
        <w:jc w:val="left"/>
      </w:pPr>
      <w:r>
        <w:rPr>
          <w:sz w:val="21"/>
        </w:rPr>
        <w:t>[6] MASOOD D, QI J. 3D localization of hand acupoints using hand geometry and landmark points based on RGB-D CNN fusion[J/OL]. Annals of Biomedical Engineering, 2022. https://pubmed.ncbi.nlm.nih.gov/35660982/.</w:t>
      </w:r>
    </w:p>
    <w:p w14:paraId="72585AB1">
      <w:pPr>
        <w:keepLines/>
        <w:spacing w:after="120" w:line="288" w:lineRule="auto"/>
        <w:ind w:left="360" w:hanging="360"/>
        <w:jc w:val="left"/>
      </w:pPr>
      <w:r>
        <w:rPr>
          <w:sz w:val="21"/>
        </w:rPr>
        <w:t>[7] ZHANG Z. A flexible new technique for camera calibration[J]. IEEE Transactions on Pattern Analysis and Machine Intelligence, 2000, 22: 1330-1334. https://www.microsoft.com/en-us/research/publication/a-flexible-new-technique-for-camera-calibration/.</w:t>
      </w:r>
    </w:p>
    <w:p w14:paraId="429C1AD5">
      <w:pPr>
        <w:keepLines/>
        <w:spacing w:after="120" w:line="288" w:lineRule="auto"/>
        <w:ind w:left="360" w:hanging="360"/>
        <w:jc w:val="left"/>
      </w:pPr>
      <w:r>
        <w:rPr>
          <w:sz w:val="21"/>
        </w:rPr>
        <w:t>[8] OPENCV. Camera calibration and 3D reconstruction: OpenCV 4.10.0 documentation[EB/OL]. [2026-10-19]. https://docs.opencv.org/4.10.0/d9/d0c/group__calib3d.html.</w:t>
      </w:r>
    </w:p>
    <w:p w14:paraId="79BE31D2">
      <w:pPr>
        <w:keepLines/>
        <w:spacing w:after="120" w:line="288" w:lineRule="auto"/>
        <w:ind w:left="360" w:hanging="360"/>
        <w:jc w:val="left"/>
      </w:pPr>
      <w:r>
        <w:rPr>
          <w:sz w:val="21"/>
        </w:rPr>
        <w:t>[9] LYNCH K M, PARK F C. Modern robotics: Mechanics, planning, and control[M]. Cambridge: Cambridge University Press, 2017. ISBN 9781107156302.</w:t>
      </w:r>
    </w:p>
    <w:p w14:paraId="108A3A55">
      <w:pPr>
        <w:keepLines/>
        <w:spacing w:after="120" w:line="288" w:lineRule="auto"/>
        <w:ind w:left="360" w:hanging="360"/>
        <w:jc w:val="left"/>
      </w:pPr>
      <w:r>
        <w:rPr>
          <w:sz w:val="21"/>
        </w:rPr>
        <w:t>[10] LAVALLE S M. Rapidly-exploring random trees: A new tool for path planning[R]. Iowa State University, Technical Report 98-11, 1998. https://lavalle.pl/rrtpubs.html.</w:t>
      </w:r>
    </w:p>
    <w:p w14:paraId="21EC77DE">
      <w:pPr>
        <w:keepLines/>
        <w:spacing w:after="120" w:line="288" w:lineRule="auto"/>
        <w:ind w:left="360" w:hanging="360"/>
        <w:jc w:val="left"/>
      </w:pPr>
      <w:r>
        <w:rPr>
          <w:sz w:val="21"/>
        </w:rPr>
        <w:t>[11] KUFFNER J J, LAVALLE S M. RRT-Connect: An efficient approach to single-query path planning[C]//Proceedings of the IEEE International Conference on Robotics and Automation. 2000: 995-1001. DOI: 10.1109/ROBOT.2000.844730.</w:t>
      </w:r>
    </w:p>
    <w:p w14:paraId="07BF40D7">
      <w:pPr>
        <w:keepLines/>
        <w:spacing w:after="120" w:line="288" w:lineRule="auto"/>
        <w:ind w:left="360" w:hanging="360"/>
        <w:jc w:val="left"/>
      </w:pPr>
      <w:r>
        <w:rPr>
          <w:sz w:val="21"/>
        </w:rPr>
        <w:t>[12] KARAMAN S, FRAZZOLI E. Sampling-based algorithms for optimal motion planning[J]. The International Journal of Robotics Research, 2011, 30(7): 846-894. DOI: 10.1177/0278364911406761.</w:t>
      </w:r>
    </w:p>
    <w:p w14:paraId="4F272CA1">
      <w:pPr>
        <w:keepLines/>
        <w:spacing w:after="120" w:line="288" w:lineRule="auto"/>
        <w:ind w:left="360" w:hanging="360"/>
        <w:jc w:val="left"/>
      </w:pPr>
      <w:r>
        <w:rPr>
          <w:sz w:val="21"/>
        </w:rPr>
        <w:t>[13] GAMMELL J D, SRINIVASA S S, BARFOOT T D. Informed RRT*: Optimal sampling-based path planning focused via direct sampling of an admissible ellipsoidal heuristic[C]//IEEE/RSJ International Conference on Intelligent Robots and Systems. 2014: 2997-3004. DOI: 10.1109/IROS.2014.6942976.</w:t>
      </w:r>
    </w:p>
    <w:p w14:paraId="2CE802FE">
      <w:pPr>
        <w:keepLines/>
        <w:spacing w:after="120" w:line="288" w:lineRule="auto"/>
        <w:ind w:left="360" w:hanging="360"/>
        <w:jc w:val="left"/>
      </w:pPr>
      <w:r>
        <w:rPr>
          <w:sz w:val="21"/>
        </w:rPr>
        <w:t>[14] 遨博智能. AUBO-i系列机械臂用户手册[EB/OL]. [2026-10-19]. https://developer.aubo-robotics.cn/hardware/user_manual/robot_arm_i_user_manual.html.</w:t>
      </w:r>
    </w:p>
    <w:p w14:paraId="5BC79054">
      <w:pPr>
        <w:keepLines/>
        <w:spacing w:after="120" w:line="288" w:lineRule="auto"/>
        <w:ind w:left="360" w:hanging="360"/>
        <w:jc w:val="left"/>
      </w:pPr>
      <w:r>
        <w:rPr>
          <w:sz w:val="21"/>
        </w:rPr>
        <w:t>[15] AUBOROBOT. aubo_description[CP/OL]. [2026-10-19]. https://github.com/AuboRobot/aubo_description.</w:t>
      </w:r>
    </w:p>
    <w:p w14:paraId="11F8E05A">
      <w:pPr>
        <w:keepLines/>
        <w:spacing w:after="120" w:line="288" w:lineRule="auto"/>
        <w:ind w:left="360" w:hanging="360"/>
        <w:jc w:val="left"/>
      </w:pPr>
      <w:r>
        <w:rPr>
          <w:sz w:val="21"/>
        </w:rPr>
        <w:t>[16] OPEN ROBOTICS. tf2 package overview[EB/OL]. [2026-10-19]. https://index.ros.org/p/tf2/.</w:t>
      </w:r>
    </w:p>
    <w:p w14:paraId="13C39D83">
      <w:pPr>
        <w:keepLines/>
        <w:spacing w:after="120" w:line="288" w:lineRule="auto"/>
        <w:ind w:left="360" w:hanging="360"/>
        <w:jc w:val="left"/>
      </w:pPr>
      <w:r>
        <w:rPr>
          <w:sz w:val="21"/>
        </w:rPr>
        <w:t>[17] POINT CLOUD LIBRARY. Estimating surface normals in a PointCloud[EB/OL]. [2026-10-19]. https://pointclouds.org/documentation/tutorials/normal_estimation.html.</w:t>
      </w:r>
    </w:p>
    <w:p w14:paraId="527E62A3">
      <w:pPr>
        <w:pStyle w:val="2"/>
      </w:pPr>
      <w:bookmarkStart w:id="93" w:name="_Toc243339273"/>
      <w:r>
        <w:t>附录A 主要材料与正文对应关系</w:t>
      </w:r>
      <w:bookmarkEnd w:id="93"/>
    </w:p>
    <w:p w14:paraId="559ADBF5">
      <w:r>
        <w:t>本附录记录初稿采用的本地材料及其用途，便于后续补充信息时保持版本一致。公开研究文献见参考文献，作者自己的源码、训练日志、实验表和部署记录按本附录追溯。参考大论文仅用于章节组织与版式参考，未采用其中的机械臂参数、研究数据或实验结论。</w:t>
      </w:r>
    </w:p>
    <w:p w14:paraId="30F5308E">
      <w:pPr>
        <w:pStyle w:val="79"/>
        <w:keepNext/>
      </w:pPr>
      <w:r>
        <w:t>表A-1 主要材料与章节对应</w:t>
      </w:r>
    </w:p>
    <w:tbl>
      <w:tblPr>
        <w:tblStyle w:val="28"/>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75" w:type="dxa"/>
          <w:bottom w:w="65" w:type="dxa"/>
          <w:right w:w="75" w:type="dxa"/>
        </w:tblCellMar>
      </w:tblPr>
      <w:tblGrid>
        <w:gridCol w:w="3024"/>
        <w:gridCol w:w="3024"/>
        <w:gridCol w:w="3024"/>
      </w:tblGrid>
      <w:tr w14:paraId="255ED1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tblHeader/>
          <w:jc w:val="center"/>
        </w:trPr>
        <w:tc>
          <w:tcPr>
            <w:tcW w:w="3024" w:type="dxa"/>
            <w:shd w:val="clear" w:color="auto" w:fill="F2F2F2"/>
            <w:vAlign w:val="center"/>
          </w:tcPr>
          <w:p w14:paraId="4954764D">
            <w:pPr>
              <w:spacing w:before="40" w:after="40" w:line="276" w:lineRule="auto"/>
              <w:ind w:firstLine="0"/>
              <w:jc w:val="center"/>
            </w:pPr>
            <w:r>
              <w:rPr>
                <w:b/>
                <w:sz w:val="20"/>
              </w:rPr>
              <w:t>材料</w:t>
            </w:r>
          </w:p>
        </w:tc>
        <w:tc>
          <w:tcPr>
            <w:tcW w:w="3024" w:type="dxa"/>
            <w:shd w:val="clear" w:color="auto" w:fill="F2F2F2"/>
            <w:vAlign w:val="center"/>
          </w:tcPr>
          <w:p w14:paraId="484B4316">
            <w:pPr>
              <w:spacing w:before="40" w:after="40" w:line="276" w:lineRule="auto"/>
              <w:ind w:firstLine="0"/>
              <w:jc w:val="center"/>
            </w:pPr>
            <w:r>
              <w:rPr>
                <w:b/>
                <w:sz w:val="20"/>
              </w:rPr>
              <w:t>正文位置</w:t>
            </w:r>
          </w:p>
        </w:tc>
        <w:tc>
          <w:tcPr>
            <w:tcW w:w="3024" w:type="dxa"/>
            <w:shd w:val="clear" w:color="auto" w:fill="F2F2F2"/>
            <w:vAlign w:val="center"/>
          </w:tcPr>
          <w:p w14:paraId="0A59780A">
            <w:pPr>
              <w:spacing w:before="40" w:after="40" w:line="276" w:lineRule="auto"/>
              <w:ind w:firstLine="0"/>
              <w:jc w:val="center"/>
            </w:pPr>
            <w:r>
              <w:rPr>
                <w:b/>
                <w:sz w:val="20"/>
              </w:rPr>
              <w:t>使用内容</w:t>
            </w:r>
          </w:p>
        </w:tc>
      </w:tr>
      <w:tr w14:paraId="7E1638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4191581C">
            <w:pPr>
              <w:spacing w:before="40" w:after="40" w:line="276" w:lineRule="auto"/>
              <w:ind w:firstLine="0"/>
              <w:jc w:val="center"/>
            </w:pPr>
            <w:r>
              <w:rPr>
                <w:sz w:val="20"/>
              </w:rPr>
              <w:t>开题报告与主目录</w:t>
            </w:r>
          </w:p>
        </w:tc>
        <w:tc>
          <w:tcPr>
            <w:tcW w:w="3024" w:type="dxa"/>
            <w:vAlign w:val="center"/>
          </w:tcPr>
          <w:p w14:paraId="7FEE06C8">
            <w:pPr>
              <w:spacing w:before="40" w:after="40" w:line="276" w:lineRule="auto"/>
              <w:ind w:firstLine="0"/>
              <w:jc w:val="center"/>
            </w:pPr>
            <w:r>
              <w:rPr>
                <w:sz w:val="20"/>
              </w:rPr>
              <w:t>第1章及全篇结构</w:t>
            </w:r>
          </w:p>
        </w:tc>
        <w:tc>
          <w:tcPr>
            <w:tcW w:w="3024" w:type="dxa"/>
            <w:vAlign w:val="center"/>
          </w:tcPr>
          <w:p w14:paraId="698713F9">
            <w:pPr>
              <w:spacing w:before="40" w:after="40" w:line="276" w:lineRule="auto"/>
              <w:ind w:firstLine="0"/>
              <w:jc w:val="center"/>
            </w:pPr>
            <w:r>
              <w:rPr>
                <w:sz w:val="20"/>
              </w:rPr>
              <w:t>研究主题、作者与研究路线</w:t>
            </w:r>
          </w:p>
        </w:tc>
      </w:tr>
      <w:tr w14:paraId="34104D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35791F08">
            <w:pPr>
              <w:spacing w:before="40" w:after="40" w:line="276" w:lineRule="auto"/>
              <w:ind w:firstLine="0"/>
              <w:jc w:val="center"/>
            </w:pPr>
            <w:r>
              <w:rPr>
                <w:sz w:val="20"/>
              </w:rPr>
              <w:t>第八版视觉论文与视觉源码</w:t>
            </w:r>
          </w:p>
        </w:tc>
        <w:tc>
          <w:tcPr>
            <w:tcW w:w="3024" w:type="dxa"/>
            <w:vAlign w:val="center"/>
          </w:tcPr>
          <w:p w14:paraId="02A854D8">
            <w:pPr>
              <w:spacing w:before="40" w:after="40" w:line="276" w:lineRule="auto"/>
              <w:ind w:firstLine="0"/>
              <w:jc w:val="center"/>
            </w:pPr>
            <w:r>
              <w:rPr>
                <w:sz w:val="20"/>
              </w:rPr>
              <w:t>第3章</w:t>
            </w:r>
          </w:p>
        </w:tc>
        <w:tc>
          <w:tcPr>
            <w:tcW w:w="3024" w:type="dxa"/>
            <w:vAlign w:val="center"/>
          </w:tcPr>
          <w:p w14:paraId="0ECB9B45">
            <w:pPr>
              <w:spacing w:before="40" w:after="40" w:line="276" w:lineRule="auto"/>
              <w:ind w:firstLine="0"/>
              <w:jc w:val="center"/>
            </w:pPr>
            <w:r>
              <w:rPr>
                <w:sz w:val="20"/>
              </w:rPr>
              <w:t>定位框架、模型调用、规则结构</w:t>
            </w:r>
          </w:p>
        </w:tc>
      </w:tr>
      <w:tr w14:paraId="7755FA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7076671E">
            <w:pPr>
              <w:spacing w:before="40" w:after="40" w:line="276" w:lineRule="auto"/>
              <w:ind w:firstLine="0"/>
              <w:jc w:val="center"/>
            </w:pPr>
            <w:r>
              <w:rPr>
                <w:sz w:val="20"/>
              </w:rPr>
              <w:t>三个锚点训练目录</w:t>
            </w:r>
          </w:p>
        </w:tc>
        <w:tc>
          <w:tcPr>
            <w:tcW w:w="3024" w:type="dxa"/>
            <w:vAlign w:val="center"/>
          </w:tcPr>
          <w:p w14:paraId="095EF006">
            <w:pPr>
              <w:spacing w:before="40" w:after="40" w:line="276" w:lineRule="auto"/>
              <w:ind w:firstLine="0"/>
              <w:jc w:val="center"/>
            </w:pPr>
            <w:r>
              <w:rPr>
                <w:sz w:val="20"/>
              </w:rPr>
              <w:t>3.2与3.5</w:t>
            </w:r>
          </w:p>
        </w:tc>
        <w:tc>
          <w:tcPr>
            <w:tcW w:w="3024" w:type="dxa"/>
            <w:vAlign w:val="center"/>
          </w:tcPr>
          <w:p w14:paraId="1A2ACF0E">
            <w:pPr>
              <w:spacing w:before="40" w:after="40" w:line="276" w:lineRule="auto"/>
              <w:ind w:firstLine="0"/>
              <w:jc w:val="left"/>
            </w:pPr>
            <w:r>
              <w:rPr>
                <w:sz w:val="20"/>
              </w:rPr>
              <w:t>args.yaml、results.csv、训练曲线</w:t>
            </w:r>
          </w:p>
        </w:tc>
      </w:tr>
      <w:tr w14:paraId="064940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3873B1E9">
            <w:pPr>
              <w:spacing w:before="40" w:after="40" w:line="276" w:lineRule="auto"/>
              <w:ind w:firstLine="0"/>
              <w:jc w:val="center"/>
            </w:pPr>
            <w:r>
              <w:rPr>
                <w:sz w:val="20"/>
              </w:rPr>
              <w:t>视觉汇报及现有图片</w:t>
            </w:r>
          </w:p>
        </w:tc>
        <w:tc>
          <w:tcPr>
            <w:tcW w:w="3024" w:type="dxa"/>
            <w:vAlign w:val="center"/>
          </w:tcPr>
          <w:p w14:paraId="497CFA8E">
            <w:pPr>
              <w:spacing w:before="40" w:after="40" w:line="276" w:lineRule="auto"/>
              <w:ind w:firstLine="0"/>
              <w:jc w:val="center"/>
            </w:pPr>
            <w:r>
              <w:rPr>
                <w:sz w:val="20"/>
              </w:rPr>
              <w:t>第3与第5章</w:t>
            </w:r>
          </w:p>
        </w:tc>
        <w:tc>
          <w:tcPr>
            <w:tcW w:w="3024" w:type="dxa"/>
            <w:vAlign w:val="center"/>
          </w:tcPr>
          <w:p w14:paraId="5AA4FB4B">
            <w:pPr>
              <w:spacing w:before="40" w:after="40" w:line="276" w:lineRule="auto"/>
              <w:ind w:firstLine="0"/>
              <w:jc w:val="center"/>
            </w:pPr>
            <w:r>
              <w:rPr>
                <w:sz w:val="20"/>
              </w:rPr>
              <w:t>流程与展示材料，按源码核对实现</w:t>
            </w:r>
          </w:p>
        </w:tc>
      </w:tr>
      <w:tr w14:paraId="3DDCCE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434394FA">
            <w:pPr>
              <w:spacing w:before="40" w:after="40" w:line="276" w:lineRule="auto"/>
              <w:ind w:firstLine="0"/>
              <w:jc w:val="center"/>
            </w:pPr>
            <w:r>
              <w:rPr>
                <w:sz w:val="20"/>
              </w:rPr>
              <w:t>公平对比实验v2</w:t>
            </w:r>
          </w:p>
        </w:tc>
        <w:tc>
          <w:tcPr>
            <w:tcW w:w="3024" w:type="dxa"/>
            <w:vAlign w:val="center"/>
          </w:tcPr>
          <w:p w14:paraId="12B70A06">
            <w:pPr>
              <w:spacing w:before="40" w:after="40" w:line="276" w:lineRule="auto"/>
              <w:ind w:firstLine="0"/>
              <w:jc w:val="center"/>
            </w:pPr>
            <w:r>
              <w:rPr>
                <w:sz w:val="20"/>
              </w:rPr>
              <w:t>第4章</w:t>
            </w:r>
          </w:p>
        </w:tc>
        <w:tc>
          <w:tcPr>
            <w:tcW w:w="3024" w:type="dxa"/>
            <w:vAlign w:val="center"/>
          </w:tcPr>
          <w:p w14:paraId="13083B6F">
            <w:pPr>
              <w:spacing w:before="40" w:after="40" w:line="276" w:lineRule="auto"/>
              <w:ind w:firstLine="0"/>
              <w:jc w:val="center"/>
            </w:pPr>
            <w:r>
              <w:rPr>
                <w:sz w:val="20"/>
              </w:rPr>
              <w:t>配置、规划实现、主对比与消融</w:t>
            </w:r>
          </w:p>
        </w:tc>
      </w:tr>
      <w:tr w14:paraId="62C7C6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5ADB2E1B">
            <w:pPr>
              <w:spacing w:before="40" w:after="40" w:line="276" w:lineRule="auto"/>
              <w:ind w:firstLine="0"/>
              <w:jc w:val="center"/>
            </w:pPr>
            <w:r>
              <w:rPr>
                <w:sz w:val="20"/>
              </w:rPr>
              <w:t>第九版SC-RRT修订稿</w:t>
            </w:r>
          </w:p>
        </w:tc>
        <w:tc>
          <w:tcPr>
            <w:tcW w:w="3024" w:type="dxa"/>
            <w:vAlign w:val="center"/>
          </w:tcPr>
          <w:p w14:paraId="2584B546">
            <w:pPr>
              <w:spacing w:before="40" w:after="40" w:line="276" w:lineRule="auto"/>
              <w:ind w:firstLine="0"/>
              <w:jc w:val="center"/>
            </w:pPr>
            <w:r>
              <w:rPr>
                <w:sz w:val="20"/>
              </w:rPr>
              <w:t>第4与第5章</w:t>
            </w:r>
          </w:p>
        </w:tc>
        <w:tc>
          <w:tcPr>
            <w:tcW w:w="3024" w:type="dxa"/>
            <w:vAlign w:val="center"/>
          </w:tcPr>
          <w:p w14:paraId="6F2B14BF">
            <w:pPr>
              <w:spacing w:before="40" w:after="40" w:line="276" w:lineRule="auto"/>
              <w:ind w:firstLine="0"/>
              <w:jc w:val="center"/>
            </w:pPr>
            <w:r>
              <w:rPr>
                <w:sz w:val="20"/>
              </w:rPr>
              <w:t>修订表图与已有实物案例</w:t>
            </w:r>
          </w:p>
        </w:tc>
      </w:tr>
      <w:tr w14:paraId="2A8020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25231B44">
            <w:pPr>
              <w:spacing w:before="40" w:after="40" w:line="276" w:lineRule="auto"/>
              <w:ind w:firstLine="0"/>
              <w:jc w:val="center"/>
            </w:pPr>
            <w:r>
              <w:rPr>
                <w:sz w:val="20"/>
              </w:rPr>
              <w:t>视觉到运动约束衔接报告</w:t>
            </w:r>
          </w:p>
        </w:tc>
        <w:tc>
          <w:tcPr>
            <w:tcW w:w="3024" w:type="dxa"/>
            <w:vAlign w:val="center"/>
          </w:tcPr>
          <w:p w14:paraId="4ED9C34A">
            <w:pPr>
              <w:spacing w:before="40" w:after="40" w:line="276" w:lineRule="auto"/>
              <w:ind w:firstLine="0"/>
              <w:jc w:val="center"/>
            </w:pPr>
            <w:r>
              <w:rPr>
                <w:sz w:val="20"/>
              </w:rPr>
              <w:t>第5章</w:t>
            </w:r>
          </w:p>
        </w:tc>
        <w:tc>
          <w:tcPr>
            <w:tcW w:w="3024" w:type="dxa"/>
            <w:vAlign w:val="center"/>
          </w:tcPr>
          <w:p w14:paraId="1325C195">
            <w:pPr>
              <w:spacing w:before="40" w:after="40" w:line="276" w:lineRule="auto"/>
              <w:ind w:firstLine="0"/>
              <w:jc w:val="center"/>
            </w:pPr>
            <w:r>
              <w:rPr>
                <w:sz w:val="20"/>
              </w:rPr>
              <w:t>快照、点云、坐标、执行流程与边界</w:t>
            </w:r>
          </w:p>
        </w:tc>
      </w:tr>
      <w:tr w14:paraId="5DFE49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3024" w:type="dxa"/>
            <w:vAlign w:val="center"/>
          </w:tcPr>
          <w:p w14:paraId="106B0719">
            <w:pPr>
              <w:spacing w:before="40" w:after="40" w:line="276" w:lineRule="auto"/>
              <w:ind w:firstLine="0"/>
              <w:jc w:val="center"/>
            </w:pPr>
            <w:r>
              <w:rPr>
                <w:sz w:val="20"/>
              </w:rPr>
              <w:t>NX MCD参考大论文</w:t>
            </w:r>
          </w:p>
        </w:tc>
        <w:tc>
          <w:tcPr>
            <w:tcW w:w="3024" w:type="dxa"/>
            <w:vAlign w:val="center"/>
          </w:tcPr>
          <w:p w14:paraId="74FBF995">
            <w:pPr>
              <w:spacing w:before="40" w:after="40" w:line="276" w:lineRule="auto"/>
              <w:ind w:firstLine="0"/>
              <w:jc w:val="center"/>
            </w:pPr>
            <w:r>
              <w:rPr>
                <w:sz w:val="20"/>
              </w:rPr>
              <w:t>排版与组织</w:t>
            </w:r>
          </w:p>
        </w:tc>
        <w:tc>
          <w:tcPr>
            <w:tcW w:w="3024" w:type="dxa"/>
            <w:vAlign w:val="center"/>
          </w:tcPr>
          <w:p w14:paraId="01A2CF7B">
            <w:pPr>
              <w:spacing w:before="40" w:after="40" w:line="276" w:lineRule="auto"/>
              <w:ind w:firstLine="0"/>
              <w:jc w:val="center"/>
            </w:pPr>
            <w:r>
              <w:rPr>
                <w:sz w:val="20"/>
              </w:rPr>
              <w:t>章节层次、页式、学术正文组织</w:t>
            </w:r>
          </w:p>
        </w:tc>
      </w:tr>
    </w:tbl>
    <w:p w14:paraId="7F442C84"/>
    <w:p w14:paraId="756CB83D">
      <w:pPr>
        <w:jc w:val="left"/>
      </w:pPr>
      <w:r>
        <w:t>视觉源码主要文件：穴位识别源码/visual_recognition/visual_recognition/draw_point.py与visual_recognize.py；规则文件位于visual_recognition/dataset目录。训练记录位于算力云实验结果/neck_x_first、train_x_navel_only和leg_two目录。表3-4读取各results.csv最后一轮，不以该表替代部署权重测试。</w:t>
      </w:r>
    </w:p>
    <w:p w14:paraId="66E4F8C4">
      <w:r>
        <w:t>SC-RRT结果位于SC-RRT公平对比实验-v2/outputs/paper_completion_20260907。表4-3至表4-6对应Tab_main_2D_first、Tab_main_2D_5000、Tab_main_3D_first和Tab_main_3D_5000；消融对应Tab_bundle_ablation及Tab_matched_SSFOR系列。运行时间保留各自批次，重复完整方法不合并为新增独立样本。</w:t>
      </w:r>
    </w:p>
    <w:p w14:paraId="792853BD">
      <w:r>
        <w:t>原始清单中的视觉汇报_优化版.pptx未在所列位置找到，本次使用同目录现有视觉汇报.pptx核对，并以源码及训练日志确定实际实现。PPT中的自动部位识别、轻量模型等表述若与代码不符，以实际代码为准。</w:t>
      </w:r>
    </w:p>
    <w:p w14:paraId="1B216004">
      <w:r>
        <w:rPr>
          <w:color w:val="C00000"/>
          <w:sz w:val="22"/>
        </w:rPr>
        <w:t>【待补D26：如需采用另一个优化版PPT中的新增结果，请提供其准确本地路径及对应数据来源；当前采用视觉汇报.pptx，不影响已核实正文。】</w:t>
      </w:r>
    </w:p>
    <w:p w14:paraId="6A6D31B9">
      <w:pPr>
        <w:pStyle w:val="3"/>
      </w:pPr>
      <w:bookmarkStart w:id="94" w:name="_Toc243339274"/>
      <w:r>
        <w:t>A.1 视觉与运动接口最小记录</w:t>
      </w:r>
      <w:bookmarkEnd w:id="94"/>
    </w:p>
    <w:p w14:paraId="7A196FDA">
      <w:r>
        <w:t>每次任务应保存图像或任务编号、部位编码、图像尺寸、旋转与校正状态、目标编码、原始预测像素、人工确认像素、深度有效性和最终空间坐标。空间坐标应同时注明坐标系与单位，必要时保留最近邻替换距离。模型和规则库版本随该记录保存，避免后续复算时加载不同规则。</w:t>
      </w:r>
    </w:p>
    <w:p w14:paraId="3CE502BE">
      <w:r>
        <w:t>规划与执行记录应包括起终点或接近点序列、场景文件、算法参数与种子、逐段规划状态、原始几何路径、后处理路径、姿态生成方式及当前工具参数。实际完成状态需来自控制器反馈。无法恢复这些字段时，应保留可视化案例的说明范围，不把多个独立文件拼接成不存在的完整试验。</w:t>
      </w:r>
    </w:p>
    <w:p w14:paraId="38A7194D">
      <w:pPr>
        <w:pStyle w:val="3"/>
      </w:pPr>
      <w:bookmarkStart w:id="95" w:name="_Toc243339275"/>
      <w:r>
        <w:t>A.2 后续填写顺序与必要验证范围</w:t>
      </w:r>
      <w:bookmarkEnd w:id="95"/>
    </w:p>
    <w:p w14:paraId="7D82767C">
      <w:r>
        <w:t>第一步补齐设备和几何参数，包括D-H、关节限位、相机内参、手眼与工具矩阵，并完成已有数据上的离线一致性核查。第二步核对视觉数据划分与权重版本，恢复穴位真值和消融记录；有记录即复算，无记录则仅针对需要保留的核心视觉主张安排独立评价。第三步整理一套同次采集到执行的成套资料，填写表5-3并替换图像占位。第四步同步修改摘要、结论及研究贡献，删除仍缺少依据的定量主张。</w:t>
      </w:r>
    </w:p>
    <w:p w14:paraId="1108793F">
      <w:r>
        <w:t>不默认增加动态避障、接触力控制、临床疗效、单独法向精度专题、全参数扫描或新算法基线。只有当最终论文选择保留对应主张而现有证据不足时，才需要补充针对性验证。本轮不启动新增实机实验。</w:t>
      </w:r>
    </w:p>
    <w:p w14:paraId="0D2025A7">
      <w:pPr>
        <w:pStyle w:val="2"/>
      </w:pPr>
      <w:bookmarkStart w:id="96" w:name="_Toc243339276"/>
      <w:r>
        <w:t>附录B 图片来源与复用说明</w:t>
      </w:r>
      <w:bookmarkEnd w:id="96"/>
    </w:p>
    <w:p w14:paraId="25514140">
      <w:r>
        <w:t>图3-1至图3-3根据原始逐轮训练日志重绘，未平滑或改变数值；图3-4根据当前代码的初始尺度关系绘制。图4-1至图4-6来自公平对比实验v2及第九版SC-RRT修订图。图5-1、图5-5与图5-6来自既有实物与点云材料。原始实验照片不改变场景内容，图片只承担对应图注声明的证明作用。正式提交前应核对人体图片的拍摄授权及论文使用范围。</w:t>
      </w:r>
    </w:p>
    <w:p w14:paraId="3940F5F6">
      <w:r>
        <w:t>图5-3和图5-4来自OpenCV 4.10.0源码的modules/calib3d/doc/pics目录，分别为pinhole_camera_model.png与hand-eye_figure.png；图像未改动，仅按比例缩放。官方说明页见参考文献[8]。OpenCV 4.10.0根目录LICENSE采用Apache License 2.0，下文附许可全文。原图属于一般投影与手眼原理说明，不代表本文设备外形、实际参数或标定结果。</w:t>
      </w:r>
    </w:p>
    <w:p w14:paraId="0C28C3AC">
      <w:pPr>
        <w:jc w:val="left"/>
      </w:pPr>
      <w:r>
        <w:t>OpenCV图像文件来源：https://github.com/opencv/opencv/tree/4.10.0/modules/calib3d/doc/pics。许可来源：https://github.com/opencv/opencv/blob/4.10.0/LICENSE。Copyright and attribution notices retained with the unmodified source figures and the following license text.</w:t>
      </w:r>
    </w:p>
    <w:p w14:paraId="12E76724">
      <w:r>
        <w:rPr>
          <w:color w:val="C00000"/>
          <w:sz w:val="22"/>
        </w:rPr>
        <w:t>【待核D27：现有实物照片和人体示意素材的作者、拍摄或绘图来源及正式论文使用范围；如需提交参与者或机构相关声明，按实际材料补入，不能由图片推断已完成审批。】</w:t>
      </w:r>
    </w:p>
    <w:p w14:paraId="526C98C2">
      <w:pPr>
        <w:pStyle w:val="3"/>
      </w:pPr>
      <w:bookmarkStart w:id="97" w:name="_Toc243339277"/>
      <w:r>
        <w:t>B.1 OpenCV图像复用许可</w:t>
      </w:r>
      <w:bookmarkEnd w:id="97"/>
    </w:p>
    <w:p w14:paraId="2B2D2BA9">
      <w:pPr>
        <w:spacing w:after="60" w:line="264" w:lineRule="auto"/>
        <w:ind w:firstLine="0"/>
      </w:pPr>
      <w:r>
        <w:rPr>
          <w:sz w:val="18"/>
        </w:rPr>
        <w:t>Apache License Version 2.0, January 2004 http://www.apache.org/licenses/</w:t>
      </w:r>
    </w:p>
    <w:p w14:paraId="7EF0BC6C">
      <w:pPr>
        <w:spacing w:after="60" w:line="264" w:lineRule="auto"/>
        <w:ind w:firstLine="0"/>
      </w:pPr>
      <w:r>
        <w:rPr>
          <w:sz w:val="18"/>
        </w:rPr>
        <w:t>TERMS AND CONDITIONS FOR USE, REPRODUCTION, AND DISTRIBUTION</w:t>
      </w:r>
    </w:p>
    <w:p w14:paraId="747966C1">
      <w:pPr>
        <w:spacing w:after="60" w:line="264" w:lineRule="auto"/>
        <w:ind w:firstLine="0"/>
      </w:pPr>
      <w:r>
        <w:rPr>
          <w:sz w:val="18"/>
        </w:rPr>
        <w:t>1. Definitions.</w:t>
      </w:r>
    </w:p>
    <w:p w14:paraId="7067ED20">
      <w:pPr>
        <w:spacing w:after="60" w:line="264" w:lineRule="auto"/>
        <w:ind w:firstLine="0"/>
      </w:pPr>
      <w:r>
        <w:rPr>
          <w:sz w:val="18"/>
        </w:rPr>
        <w:t>"License" shall mean the terms and conditions for use, reproduction, and distribution as defined by Sections 1 through 9 of this document.</w:t>
      </w:r>
    </w:p>
    <w:p w14:paraId="5E00DDEF">
      <w:pPr>
        <w:spacing w:after="60" w:line="264" w:lineRule="auto"/>
        <w:ind w:firstLine="0"/>
      </w:pPr>
      <w:r>
        <w:rPr>
          <w:sz w:val="18"/>
        </w:rPr>
        <w:t>"Licensor" shall mean the copyright owner or entity authorized by the copyright owner that is granting the License.</w:t>
      </w:r>
    </w:p>
    <w:p w14:paraId="624EF6A9">
      <w:pPr>
        <w:spacing w:after="60" w:line="264" w:lineRule="auto"/>
        <w:ind w:firstLine="0"/>
      </w:pPr>
      <w:r>
        <w:rPr>
          <w:sz w:val="18"/>
        </w:rPr>
        <w:t>"Legal Entity" shall mean the union of the acting entity and all other entities that control, are controlled by, or are under common control with that entity. For the purposes of this definition, "control" means (i) the power, direct or indirect, to cause the direction or management of such entity, whether by contract or otherwise, or (ii) ownership of fifty percent (50%) or more of the outstanding shares, or (iii) beneficial ownership of such entity.</w:t>
      </w:r>
    </w:p>
    <w:p w14:paraId="0A598D43">
      <w:pPr>
        <w:spacing w:after="60" w:line="264" w:lineRule="auto"/>
        <w:ind w:firstLine="0"/>
      </w:pPr>
      <w:r>
        <w:rPr>
          <w:sz w:val="18"/>
        </w:rPr>
        <w:t>"You" (or "Your") shall mean an individual or Legal Entity exercising permissions granted by this License.</w:t>
      </w:r>
    </w:p>
    <w:p w14:paraId="288CEAFB">
      <w:pPr>
        <w:spacing w:after="60" w:line="264" w:lineRule="auto"/>
        <w:ind w:firstLine="0"/>
      </w:pPr>
      <w:r>
        <w:rPr>
          <w:sz w:val="18"/>
        </w:rPr>
        <w:t>"Source" form shall mean the preferred form for making modifications, including but not limited to software source code, documentation source, and configuration files.</w:t>
      </w:r>
    </w:p>
    <w:p w14:paraId="411F5608">
      <w:pPr>
        <w:spacing w:after="60" w:line="264" w:lineRule="auto"/>
        <w:ind w:firstLine="0"/>
      </w:pPr>
      <w:r>
        <w:rPr>
          <w:sz w:val="18"/>
        </w:rPr>
        <w:t>"Object" form shall mean any form resulting from mechanical transformation or translation of a Source form, including but not limited to compiled object code, generated documentation, and conversions to other media types.</w:t>
      </w:r>
    </w:p>
    <w:p w14:paraId="6A34493F">
      <w:pPr>
        <w:spacing w:after="60" w:line="264" w:lineRule="auto"/>
        <w:ind w:firstLine="0"/>
      </w:pPr>
      <w:r>
        <w:rPr>
          <w:sz w:val="18"/>
        </w:rPr>
        <w:t>"Work" shall mean the work of authorship, whether in Source or Object form, made available under the License, as indicated by a copyright notice that is included in or attached to the work (an example is provided in the Appendix below).</w:t>
      </w:r>
    </w:p>
    <w:p w14:paraId="72EAD5A4">
      <w:pPr>
        <w:spacing w:after="60" w:line="264" w:lineRule="auto"/>
        <w:ind w:firstLine="0"/>
      </w:pPr>
      <w:r>
        <w:rPr>
          <w:sz w:val="18"/>
        </w:rPr>
        <w:t>"Derivative Works" shall mean any work, whether in Source or Object form, that is based on (or derived from) the Work and for which the editorial revisions, annotations, elaborations, or other modifications represent, as a whole, an original work of authorship. For the purposes of this License, Derivative Works shall not include works that remain separable from, or merely link (or bind by name) to the interfaces of, the Work and Derivative Works thereof.</w:t>
      </w:r>
    </w:p>
    <w:p w14:paraId="3612FA07">
      <w:pPr>
        <w:spacing w:after="60" w:line="264" w:lineRule="auto"/>
        <w:ind w:firstLine="0"/>
      </w:pPr>
      <w:r>
        <w:rPr>
          <w:sz w:val="18"/>
        </w:rPr>
        <w:t>"Contribution" shall mean any work of authorship, including the original version of the Work and any modifications or additions to that Work or Derivative Works thereof, that is intentionally submitted to Licensor for inclusion in the Work by the copyright owner or by an individual or Legal Entity authorized to submit on behalf of the copyright owner. For the purposes of this definition, "submitted" means any form of electronic, verbal, or written communication sent to the Licensor or its representatives, including but not limited to communication on electronic mailing lists, source code control systems, and issue tracking systems that are managed by, or on behalf of, the Licensor for the purpose of discussing and improving the Work, but excluding communication that is conspicuously marked or otherwise designated in writing by the copyright owner as "Not a Contribution."</w:t>
      </w:r>
    </w:p>
    <w:p w14:paraId="110EA55A">
      <w:pPr>
        <w:spacing w:after="60" w:line="264" w:lineRule="auto"/>
        <w:ind w:firstLine="0"/>
      </w:pPr>
      <w:r>
        <w:rPr>
          <w:sz w:val="18"/>
        </w:rPr>
        <w:t>"Contributor" shall mean Licensor and any individual or Legal Entity on behalf of whom a Contribution has been received by Licensor and subsequently incorporated within the Work.</w:t>
      </w:r>
    </w:p>
    <w:p w14:paraId="79EA3A1E">
      <w:pPr>
        <w:spacing w:after="60" w:line="264" w:lineRule="auto"/>
        <w:ind w:firstLine="0"/>
      </w:pPr>
      <w:r>
        <w:rPr>
          <w:sz w:val="18"/>
        </w:rPr>
        <w:t>2. Grant of Copyright License. Subject to the terms and conditions of this License, each Contributor hereby grants to You a perpetual, worldwide, non-exclusive, no-charge, royalty-free, irrevocable copyright license to reproduce, prepare Derivative Works of, publicly display, publicly perform, sublicense, and distribute the Work and such Derivative Works in Source or Object form.</w:t>
      </w:r>
    </w:p>
    <w:p w14:paraId="29C49B98">
      <w:pPr>
        <w:spacing w:after="60" w:line="264" w:lineRule="auto"/>
        <w:ind w:firstLine="0"/>
      </w:pPr>
      <w:r>
        <w:rPr>
          <w:sz w:val="18"/>
        </w:rPr>
        <w:t>3. Grant of Patent License. Subject to the terms and conditions of this License, each Contributor hereby grants to You a perpetual, worldwide, non-exclusive, no-charge, royalty-free, irrevocable (except as stated in this section) patent license to make, have made, use, offer to sell, sell, import, and otherwise transfer the Work, where such license applies only to those patent claims licensable by such Contributor that are necessarily infringed by their Contribution(s) alone or by combination of their Contribution(s) with the Work to which such Contribution(s) was submitted. If You institute patent litigation against any entity (including a cross-claim or counterclaim in a lawsuit) alleging that the Work or a Contribution incorporated within the Work constitutes direct or contributory patent infringement, then any patent licenses granted to You under this License for that Work shall terminate as of the date such litigation is filed.</w:t>
      </w:r>
    </w:p>
    <w:p w14:paraId="7691D215">
      <w:pPr>
        <w:spacing w:after="60" w:line="264" w:lineRule="auto"/>
        <w:ind w:firstLine="0"/>
      </w:pPr>
      <w:r>
        <w:rPr>
          <w:sz w:val="18"/>
        </w:rPr>
        <w:t>4. Redistribution. You may reproduce and distribute copies of the Work or Derivative Works thereof in any medium, with or without modifications, and in Source or Object form, provided that You meet the following conditions:</w:t>
      </w:r>
    </w:p>
    <w:p w14:paraId="533574DA">
      <w:pPr>
        <w:spacing w:after="60" w:line="264" w:lineRule="auto"/>
        <w:ind w:firstLine="0"/>
      </w:pPr>
      <w:r>
        <w:rPr>
          <w:sz w:val="18"/>
        </w:rPr>
        <w:t>(a) You must give any other recipients of the Work or Derivative Works a copy of this License; and</w:t>
      </w:r>
    </w:p>
    <w:p w14:paraId="44D0A789">
      <w:pPr>
        <w:spacing w:after="60" w:line="264" w:lineRule="auto"/>
        <w:ind w:firstLine="0"/>
      </w:pPr>
      <w:r>
        <w:rPr>
          <w:sz w:val="18"/>
        </w:rPr>
        <w:t>(b) You must cause any modified files to carry prominent notices stating that You changed the files; and</w:t>
      </w:r>
    </w:p>
    <w:p w14:paraId="13B81288">
      <w:pPr>
        <w:spacing w:after="60" w:line="264" w:lineRule="auto"/>
        <w:ind w:firstLine="0"/>
      </w:pPr>
      <w:r>
        <w:rPr>
          <w:sz w:val="18"/>
        </w:rPr>
        <w:t>(c) You must retain, in the Source form of any Derivative Works that You distribute, all copyright, patent, trademark, and attribution notices from the Source form of the Work, excluding those notices that do not pertain to any part of the Derivative Works; and</w:t>
      </w:r>
    </w:p>
    <w:p w14:paraId="17ABA421">
      <w:pPr>
        <w:spacing w:after="60" w:line="264" w:lineRule="auto"/>
        <w:ind w:firstLine="0"/>
      </w:pPr>
      <w:r>
        <w:rPr>
          <w:sz w:val="18"/>
        </w:rPr>
        <w:t>(d) If the Work includes a "NOTICE" text file as part of its distribution, then any Derivative Works that You distribute must include a readable copy of the attribution notices contained within such NOTICE file, excluding those notices that do not pertain to any part of the Derivative Works, in at least one of the following places: within a NOTICE text file distributed as part of the Derivative Works; within the Source form or documentation, if provided along with the Derivative Works; or, within a display generated by the Derivative Works, if and wherever such third-party notices normally appear. The contents of the NOTICE file are for informational purposes only and do not modify the License. You may add Your own attribution notices within Derivative Works that You distribute, alongside or as an addendum to the NOTICE text from the Work, provided that such additional attribution notices cannot be construed as modifying the License.</w:t>
      </w:r>
    </w:p>
    <w:p w14:paraId="2EC44CB9">
      <w:pPr>
        <w:spacing w:after="60" w:line="264" w:lineRule="auto"/>
        <w:ind w:firstLine="0"/>
      </w:pPr>
      <w:r>
        <w:rPr>
          <w:sz w:val="18"/>
        </w:rPr>
        <w:t>You may add Your own copyright statement to Your modifications and may provide additional or different license terms and conditions for use, reproduction, or distribution of Your modifications, or for any such Derivative Works as a whole, provided Your use, reproduction, and distribution of the Work otherwise complies with the conditions stated in this License.</w:t>
      </w:r>
    </w:p>
    <w:p w14:paraId="3BC01AAB">
      <w:pPr>
        <w:spacing w:after="60" w:line="264" w:lineRule="auto"/>
        <w:ind w:firstLine="0"/>
      </w:pPr>
      <w:r>
        <w:rPr>
          <w:sz w:val="18"/>
        </w:rPr>
        <w:t>5. Submission of Contributions. Unless You explicitly state otherwise, any Contribution intentionally submitted for inclusion in the Work by You to the Licensor shall be under the terms and conditions of this License, without any additional terms or conditions. Notwithstanding the above, nothing herein shall supersede or modify the terms of any separate license agreement you may have executed with Licensor regarding such Contributions.</w:t>
      </w:r>
    </w:p>
    <w:p w14:paraId="53CBD435">
      <w:pPr>
        <w:spacing w:after="60" w:line="264" w:lineRule="auto"/>
        <w:ind w:firstLine="0"/>
      </w:pPr>
      <w:r>
        <w:rPr>
          <w:sz w:val="18"/>
        </w:rPr>
        <w:t>6. Trademarks. This License does not grant permission to use the trade names, trademarks, service marks, or product names of the Licensor, except as required for reasonable and customary use in describing the origin of the Work and reproducing the content of the NOTICE file.</w:t>
      </w:r>
    </w:p>
    <w:p w14:paraId="4D98D709">
      <w:pPr>
        <w:spacing w:after="60" w:line="264" w:lineRule="auto"/>
        <w:ind w:firstLine="0"/>
      </w:pPr>
      <w:r>
        <w:rPr>
          <w:sz w:val="18"/>
        </w:rPr>
        <w:t>7. Disclaimer of Warranty. Unless required by applicable law or agreed to in writing, Licensor provides the Work (and each Contributor provides its Contributions) on an "AS IS" BASIS, WITHOUT WARRANTIES OR CONDITIONS OF ANY KIND, either express or implied, including, without limitation, any warranties or conditions of TITLE, NON-INFRINGEMENT, MERCHANTABILITY, or FITNESS FOR A PARTICULAR PURPOSE. You are solely responsible for determining the appropriateness of using or redistributing the Work and assume any risks associated with Your exercise of permissions under this License.</w:t>
      </w:r>
    </w:p>
    <w:p w14:paraId="7B7E4FAE">
      <w:pPr>
        <w:spacing w:after="60" w:line="264" w:lineRule="auto"/>
        <w:ind w:firstLine="0"/>
      </w:pPr>
      <w:r>
        <w:rPr>
          <w:sz w:val="18"/>
        </w:rPr>
        <w:t>8. Limitation of Liability. In no event and under no legal theory, whether in tort (including negligence), contract, or otherwise, unless required by applicable law (such as deliberate and grossly negligent acts) or agreed to in writing, shall any Contributor be liable to You for damages, including any direct, indirect, special, incidental, or consequential damages of any character arising as a result of this License or out of the use or inability to use the Work (including but not limited to damages for loss of goodwill, work stoppage, computer failure or malfunction, or any and all other commercial damages or losses), even if such Contributor has been advised of the possibility of such damages.</w:t>
      </w:r>
    </w:p>
    <w:p w14:paraId="37C3B721">
      <w:pPr>
        <w:spacing w:after="60" w:line="264" w:lineRule="auto"/>
        <w:ind w:firstLine="0"/>
      </w:pPr>
      <w:r>
        <w:rPr>
          <w:sz w:val="18"/>
        </w:rPr>
        <w:t>9. Accepting Warranty or Additional Liability. While redistributing the Work or Derivative Works thereof, You may choose to offer, and charge a fee for, acceptance of support, warranty, indemnity, or other liability obligations and/or rights consistent with this License. However, in accepting such obligations, You may act only on Your own behalf and on Your sole responsibility, not on behalf of any other Contributor, and only if You agree to indemnify, defend, and hold each Contributor harmless for any liability incurred by, or claims asserted against, such Contributor by reason of your accepting any such warranty or additional liability.</w:t>
      </w:r>
    </w:p>
    <w:p w14:paraId="6A553CA3">
      <w:pPr>
        <w:spacing w:after="60" w:line="264" w:lineRule="auto"/>
        <w:ind w:firstLine="0"/>
      </w:pPr>
      <w:r>
        <w:rPr>
          <w:sz w:val="18"/>
        </w:rPr>
        <w:t>END OF TERMS AND CONDITIONS</w:t>
      </w:r>
    </w:p>
    <w:p w14:paraId="63041646">
      <w:pPr>
        <w:spacing w:after="60" w:line="264" w:lineRule="auto"/>
        <w:ind w:firstLine="0"/>
      </w:pPr>
      <w:r>
        <w:rPr>
          <w:sz w:val="18"/>
        </w:rPr>
        <w:t>APPENDIX: How to apply the Apache License to your work.</w:t>
      </w:r>
    </w:p>
    <w:p w14:paraId="2ED76C33">
      <w:pPr>
        <w:spacing w:after="60" w:line="264" w:lineRule="auto"/>
        <w:ind w:firstLine="0"/>
      </w:pPr>
      <w:r>
        <w:rPr>
          <w:sz w:val="18"/>
        </w:rPr>
        <w:t>To apply the Apache License to your work, attach the following boilerplate notice, with the fields enclosed by brackets "[]" replaced with your own identifying information. (Don't include the brackets!)  The text should be enclosed in the appropriate comment syntax for the file format. We also recommend that a file or class name and description of purpose be included on the same "printed page" as the copyright notice for easier identification within third-party archives.</w:t>
      </w:r>
    </w:p>
    <w:p w14:paraId="195EA22B">
      <w:pPr>
        <w:spacing w:after="60" w:line="264" w:lineRule="auto"/>
        <w:ind w:firstLine="0"/>
      </w:pPr>
      <w:r>
        <w:rPr>
          <w:sz w:val="18"/>
        </w:rPr>
        <w:t>Copyright [yyyy] [name of copyright owner]</w:t>
      </w:r>
    </w:p>
    <w:p w14:paraId="5E800397">
      <w:pPr>
        <w:spacing w:after="60" w:line="264" w:lineRule="auto"/>
        <w:ind w:firstLine="0"/>
      </w:pPr>
      <w:r>
        <w:rPr>
          <w:sz w:val="18"/>
        </w:rPr>
        <w:t>Licensed under the Apache License, Version 2.0 (the "License"); you may not use this file except in compliance with the License. You may obtain a copy of the License at</w:t>
      </w:r>
    </w:p>
    <w:p w14:paraId="7016ABFE">
      <w:pPr>
        <w:spacing w:after="60" w:line="264" w:lineRule="auto"/>
        <w:ind w:firstLine="0"/>
      </w:pPr>
      <w:r>
        <w:rPr>
          <w:sz w:val="18"/>
        </w:rPr>
        <w:t>http://www.apache.org/licenses/LICENSE-2.0</w:t>
      </w:r>
    </w:p>
    <w:p w14:paraId="30D11DF2">
      <w:pPr>
        <w:spacing w:after="60" w:line="264" w:lineRule="auto"/>
        <w:ind w:firstLine="0"/>
      </w:pPr>
      <w:r>
        <w:rPr>
          <w:sz w:val="18"/>
        </w:rPr>
        <w:t>Unless required by applicable law or agreed to in writing, software distributed under the License is distributed on an "AS IS" BASIS, WITHOUT WARRANTIES OR CONDITIONS OF ANY KIND, either express or implied. See the License for the specific language governing permissions and limitations under the License.</w:t>
      </w:r>
    </w:p>
    <w:p w14:paraId="61768B54">
      <w:pPr>
        <w:pStyle w:val="2"/>
      </w:pPr>
      <w:bookmarkStart w:id="98" w:name="_Toc243339278"/>
      <w:r>
        <w:t>附录C 待补信息索引</w:t>
      </w:r>
      <w:bookmarkEnd w:id="98"/>
    </w:p>
    <w:p w14:paraId="1BCBFB1F">
      <w:r>
        <w:t>红色条目对应正文中的留空或待核位置。先补齐已有配置文件、原始记录和材料来源，再判断是否确有必要补做实验。待核数值不进入摘要与确定性结论。</w:t>
      </w:r>
    </w:p>
    <w:p w14:paraId="7B6D936C">
      <w:pPr>
        <w:pStyle w:val="79"/>
        <w:keepNext/>
      </w:pPr>
      <w:r>
        <w:t>表C-1 待补与待核信息汇总</w:t>
      </w:r>
    </w:p>
    <w:tbl>
      <w:tblPr>
        <w:tblStyle w:val="28"/>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75" w:type="dxa"/>
          <w:bottom w:w="65" w:type="dxa"/>
          <w:right w:w="75" w:type="dxa"/>
        </w:tblCellMar>
      </w:tblPr>
      <w:tblGrid>
        <w:gridCol w:w="1077"/>
        <w:gridCol w:w="2494"/>
        <w:gridCol w:w="5499"/>
      </w:tblGrid>
      <w:tr w14:paraId="6B0D3C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tblHeader/>
          <w:jc w:val="center"/>
        </w:trPr>
        <w:tc>
          <w:tcPr>
            <w:tcW w:w="1077" w:type="dxa"/>
            <w:shd w:val="clear" w:color="auto" w:fill="F2F2F2"/>
            <w:vAlign w:val="center"/>
          </w:tcPr>
          <w:p w14:paraId="35BD9B28">
            <w:pPr>
              <w:spacing w:before="40" w:after="40" w:line="276" w:lineRule="auto"/>
              <w:ind w:firstLine="0"/>
              <w:jc w:val="center"/>
            </w:pPr>
            <w:r>
              <w:rPr>
                <w:b/>
                <w:sz w:val="20"/>
              </w:rPr>
              <w:t>编号</w:t>
            </w:r>
          </w:p>
        </w:tc>
        <w:tc>
          <w:tcPr>
            <w:tcW w:w="2494" w:type="dxa"/>
            <w:shd w:val="clear" w:color="auto" w:fill="F2F2F2"/>
            <w:vAlign w:val="center"/>
          </w:tcPr>
          <w:p w14:paraId="45F6305D">
            <w:pPr>
              <w:spacing w:before="40" w:after="40" w:line="276" w:lineRule="auto"/>
              <w:ind w:firstLine="0"/>
              <w:jc w:val="center"/>
            </w:pPr>
            <w:r>
              <w:rPr>
                <w:b/>
                <w:sz w:val="20"/>
              </w:rPr>
              <w:t>位置</w:t>
            </w:r>
          </w:p>
        </w:tc>
        <w:tc>
          <w:tcPr>
            <w:tcW w:w="5499" w:type="dxa"/>
            <w:shd w:val="clear" w:color="auto" w:fill="F2F2F2"/>
            <w:vAlign w:val="center"/>
          </w:tcPr>
          <w:p w14:paraId="10AA29AB">
            <w:pPr>
              <w:spacing w:before="40" w:after="40" w:line="276" w:lineRule="auto"/>
              <w:ind w:firstLine="0"/>
              <w:jc w:val="center"/>
            </w:pPr>
            <w:r>
              <w:rPr>
                <w:b/>
                <w:sz w:val="20"/>
              </w:rPr>
              <w:t>需要的材料</w:t>
            </w:r>
          </w:p>
        </w:tc>
      </w:tr>
      <w:tr w14:paraId="5AF202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75D0D0C9">
            <w:pPr>
              <w:spacing w:before="40" w:after="40" w:line="276" w:lineRule="auto"/>
              <w:ind w:firstLine="0"/>
              <w:jc w:val="center"/>
            </w:pPr>
            <w:r>
              <w:rPr>
                <w:color w:val="C00000"/>
                <w:sz w:val="20"/>
              </w:rPr>
              <w:t>待补D00</w:t>
            </w:r>
          </w:p>
        </w:tc>
        <w:tc>
          <w:tcPr>
            <w:tcW w:w="2494" w:type="dxa"/>
            <w:vAlign w:val="center"/>
          </w:tcPr>
          <w:p w14:paraId="66E6A089">
            <w:pPr>
              <w:spacing w:before="40" w:after="40" w:line="276" w:lineRule="auto"/>
              <w:ind w:firstLine="0"/>
              <w:jc w:val="center"/>
            </w:pPr>
            <w:r>
              <w:rPr>
                <w:color w:val="C00000"/>
                <w:sz w:val="20"/>
              </w:rPr>
              <w:t>封面</w:t>
            </w:r>
          </w:p>
        </w:tc>
        <w:tc>
          <w:tcPr>
            <w:tcW w:w="5499" w:type="dxa"/>
            <w:vAlign w:val="center"/>
          </w:tcPr>
          <w:p w14:paraId="38A988CD">
            <w:pPr>
              <w:spacing w:before="40" w:after="40" w:line="276" w:lineRule="auto"/>
              <w:ind w:firstLine="0"/>
              <w:jc w:val="left"/>
            </w:pPr>
            <w:r>
              <w:rPr>
                <w:color w:val="C00000"/>
                <w:sz w:val="20"/>
              </w:rPr>
              <w:t>学号、研究方向、学位类别、正式提交日期及学校最新封面与声明页要求；相应位置：________。</w:t>
            </w:r>
          </w:p>
        </w:tc>
      </w:tr>
      <w:tr w14:paraId="27D899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116731DD">
            <w:pPr>
              <w:spacing w:before="40" w:after="40" w:line="276" w:lineRule="auto"/>
              <w:ind w:firstLine="0"/>
              <w:jc w:val="center"/>
            </w:pPr>
            <w:r>
              <w:rPr>
                <w:color w:val="C00000"/>
                <w:sz w:val="20"/>
              </w:rPr>
              <w:t>待补D01</w:t>
            </w:r>
          </w:p>
        </w:tc>
        <w:tc>
          <w:tcPr>
            <w:tcW w:w="2494" w:type="dxa"/>
            <w:vAlign w:val="center"/>
          </w:tcPr>
          <w:p w14:paraId="3EF0B71D">
            <w:pPr>
              <w:spacing w:before="40" w:after="40" w:line="276" w:lineRule="auto"/>
              <w:ind w:firstLine="0"/>
              <w:jc w:val="center"/>
            </w:pPr>
            <w:r>
              <w:rPr>
                <w:color w:val="C00000"/>
                <w:sz w:val="20"/>
              </w:rPr>
              <w:t>2.2.1 机械臂结构与连杆坐标系</w:t>
            </w:r>
          </w:p>
        </w:tc>
        <w:tc>
          <w:tcPr>
            <w:tcW w:w="5499" w:type="dxa"/>
            <w:vAlign w:val="center"/>
          </w:tcPr>
          <w:p w14:paraId="33ADA67B">
            <w:pPr>
              <w:spacing w:before="40" w:after="40" w:line="276" w:lineRule="auto"/>
              <w:ind w:firstLine="0"/>
              <w:jc w:val="left"/>
            </w:pPr>
            <w:r>
              <w:rPr>
                <w:color w:val="C00000"/>
                <w:sz w:val="20"/>
              </w:rPr>
              <w:t>实机AUBO-i10硬件版本、对应URDF或厂家运动学参数、关节零位与正方向、D-H约定；表2-2数值留空，随后据此补绘与参数一致的连杆坐标图。</w:t>
            </w:r>
          </w:p>
        </w:tc>
      </w:tr>
      <w:tr w14:paraId="72F7EB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3B837F4F">
            <w:pPr>
              <w:spacing w:before="40" w:after="40" w:line="276" w:lineRule="auto"/>
              <w:ind w:firstLine="0"/>
              <w:jc w:val="center"/>
            </w:pPr>
            <w:r>
              <w:rPr>
                <w:color w:val="C00000"/>
                <w:sz w:val="20"/>
              </w:rPr>
              <w:t>待补D02</w:t>
            </w:r>
          </w:p>
        </w:tc>
        <w:tc>
          <w:tcPr>
            <w:tcW w:w="2494" w:type="dxa"/>
            <w:vAlign w:val="center"/>
          </w:tcPr>
          <w:p w14:paraId="3EB7CBD2">
            <w:pPr>
              <w:spacing w:before="40" w:after="40" w:line="276" w:lineRule="auto"/>
              <w:ind w:firstLine="0"/>
              <w:jc w:val="center"/>
            </w:pPr>
            <w:r>
              <w:rPr>
                <w:color w:val="C00000"/>
                <w:sz w:val="20"/>
              </w:rPr>
              <w:t>2.3.2 逆运动学求解</w:t>
            </w:r>
          </w:p>
        </w:tc>
        <w:tc>
          <w:tcPr>
            <w:tcW w:w="5499" w:type="dxa"/>
            <w:vAlign w:val="center"/>
          </w:tcPr>
          <w:p w14:paraId="2C131420">
            <w:pPr>
              <w:spacing w:before="40" w:after="40" w:line="276" w:lineRule="auto"/>
              <w:ind w:firstLine="0"/>
              <w:jc w:val="left"/>
            </w:pPr>
            <w:r>
              <w:rPr>
                <w:color w:val="C00000"/>
                <w:sz w:val="20"/>
              </w:rPr>
              <w:t>实机逆解接口名称、库或控制器版本、关节种子与选解方式、返回码解释，以及工具位姿和法兰位姿的接口约定。</w:t>
            </w:r>
          </w:p>
        </w:tc>
      </w:tr>
      <w:tr w14:paraId="6F45EA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2C11E869">
            <w:pPr>
              <w:spacing w:before="40" w:after="40" w:line="276" w:lineRule="auto"/>
              <w:ind w:firstLine="0"/>
              <w:jc w:val="center"/>
            </w:pPr>
            <w:r>
              <w:rPr>
                <w:color w:val="C00000"/>
                <w:sz w:val="20"/>
              </w:rPr>
              <w:t>待补D03</w:t>
            </w:r>
          </w:p>
        </w:tc>
        <w:tc>
          <w:tcPr>
            <w:tcW w:w="2494" w:type="dxa"/>
            <w:vAlign w:val="center"/>
          </w:tcPr>
          <w:p w14:paraId="460DE16E">
            <w:pPr>
              <w:spacing w:before="40" w:after="40" w:line="276" w:lineRule="auto"/>
              <w:ind w:firstLine="0"/>
              <w:jc w:val="center"/>
            </w:pPr>
            <w:r>
              <w:rPr>
                <w:color w:val="C00000"/>
                <w:sz w:val="20"/>
              </w:rPr>
              <w:t>2.3.3 运动学模型验证</w:t>
            </w:r>
          </w:p>
        </w:tc>
        <w:tc>
          <w:tcPr>
            <w:tcW w:w="5499" w:type="dxa"/>
            <w:vAlign w:val="center"/>
          </w:tcPr>
          <w:p w14:paraId="1D8E1846">
            <w:pPr>
              <w:spacing w:before="40" w:after="40" w:line="276" w:lineRule="auto"/>
              <w:ind w:firstLine="0"/>
              <w:jc w:val="left"/>
            </w:pPr>
            <w:r>
              <w:rPr>
                <w:color w:val="C00000"/>
                <w:sz w:val="20"/>
              </w:rPr>
              <w:t>可复用的关节角与法兰或TCP参考位姿记录、对应工具配置、正逆解回代结果及误差统计；位置误差________，姿态误差________。</w:t>
            </w:r>
          </w:p>
        </w:tc>
      </w:tr>
      <w:tr w14:paraId="65BDD0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6849DAD9">
            <w:pPr>
              <w:spacing w:before="40" w:after="40" w:line="276" w:lineRule="auto"/>
              <w:ind w:firstLine="0"/>
              <w:jc w:val="center"/>
            </w:pPr>
            <w:r>
              <w:rPr>
                <w:color w:val="C00000"/>
                <w:sz w:val="20"/>
              </w:rPr>
              <w:t>待补D04</w:t>
            </w:r>
          </w:p>
        </w:tc>
        <w:tc>
          <w:tcPr>
            <w:tcW w:w="2494" w:type="dxa"/>
            <w:vAlign w:val="center"/>
          </w:tcPr>
          <w:p w14:paraId="745DA08E">
            <w:pPr>
              <w:spacing w:before="40" w:after="40" w:line="276" w:lineRule="auto"/>
              <w:ind w:firstLine="0"/>
              <w:jc w:val="center"/>
            </w:pPr>
            <w:r>
              <w:rPr>
                <w:color w:val="C00000"/>
                <w:sz w:val="20"/>
              </w:rPr>
              <w:t>2.4.1 工作空间分析</w:t>
            </w:r>
          </w:p>
        </w:tc>
        <w:tc>
          <w:tcPr>
            <w:tcW w:w="5499" w:type="dxa"/>
            <w:vAlign w:val="center"/>
          </w:tcPr>
          <w:p w14:paraId="46E54CBD">
            <w:pPr>
              <w:spacing w:before="40" w:after="40" w:line="276" w:lineRule="auto"/>
              <w:ind w:firstLine="0"/>
              <w:jc w:val="left"/>
            </w:pPr>
            <w:r>
              <w:rPr>
                <w:color w:val="C00000"/>
                <w:sz w:val="20"/>
              </w:rPr>
              <w:t>实际关节上下限、工具配置和已有工作空间采样结果；如尚无结果，补齐模型后执行一次离线采样核查并填写采样数量及图2-1工作空间分布。</w:t>
            </w:r>
          </w:p>
        </w:tc>
      </w:tr>
      <w:tr w14:paraId="424EB8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3E0399B0">
            <w:pPr>
              <w:spacing w:before="40" w:after="40" w:line="276" w:lineRule="auto"/>
              <w:ind w:firstLine="0"/>
              <w:jc w:val="center"/>
            </w:pPr>
            <w:r>
              <w:rPr>
                <w:color w:val="C00000"/>
                <w:sz w:val="20"/>
              </w:rPr>
              <w:t>待核D05</w:t>
            </w:r>
          </w:p>
        </w:tc>
        <w:tc>
          <w:tcPr>
            <w:tcW w:w="2494" w:type="dxa"/>
            <w:vAlign w:val="center"/>
          </w:tcPr>
          <w:p w14:paraId="2B2BCD21">
            <w:pPr>
              <w:spacing w:before="40" w:after="40" w:line="276" w:lineRule="auto"/>
              <w:ind w:firstLine="0"/>
              <w:jc w:val="center"/>
            </w:pPr>
            <w:r>
              <w:rPr>
                <w:color w:val="C00000"/>
                <w:sz w:val="20"/>
              </w:rPr>
              <w:t>3.2.1 数据采集、标注与数据集划分</w:t>
            </w:r>
          </w:p>
        </w:tc>
        <w:tc>
          <w:tcPr>
            <w:tcW w:w="5499" w:type="dxa"/>
            <w:vAlign w:val="center"/>
          </w:tcPr>
          <w:p w14:paraId="4A693CCF">
            <w:pPr>
              <w:spacing w:before="40" w:after="40" w:line="276" w:lineRule="auto"/>
              <w:ind w:firstLine="0"/>
              <w:jc w:val="left"/>
            </w:pPr>
            <w:r>
              <w:rPr>
                <w:color w:val="C00000"/>
                <w:sz w:val="20"/>
              </w:rPr>
              <w:t>颈、脐、膝数据集的原始图片及标注清单、来源与使用条件、去重结果、人物或采集批次标识、训练/验证/测试划分。旧稿673、1225、1092为实例统计口径，独立人数与有效图像数量仍需确认。</w:t>
            </w:r>
          </w:p>
        </w:tc>
      </w:tr>
      <w:tr w14:paraId="68B666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6109D906">
            <w:pPr>
              <w:spacing w:before="40" w:after="40" w:line="276" w:lineRule="auto"/>
              <w:ind w:firstLine="0"/>
              <w:jc w:val="center"/>
            </w:pPr>
            <w:r>
              <w:rPr>
                <w:color w:val="C00000"/>
                <w:sz w:val="20"/>
              </w:rPr>
              <w:t>待补D06</w:t>
            </w:r>
          </w:p>
        </w:tc>
        <w:tc>
          <w:tcPr>
            <w:tcW w:w="2494" w:type="dxa"/>
            <w:vAlign w:val="center"/>
          </w:tcPr>
          <w:p w14:paraId="51D7AE0B">
            <w:pPr>
              <w:spacing w:before="40" w:after="40" w:line="276" w:lineRule="auto"/>
              <w:ind w:firstLine="0"/>
              <w:jc w:val="left"/>
            </w:pPr>
            <w:r>
              <w:rPr>
                <w:color w:val="C00000"/>
                <w:sz w:val="20"/>
              </w:rPr>
              <w:t>3.2.2 YOLO11-Pose基础模型与训练配置</w:t>
            </w:r>
          </w:p>
        </w:tc>
        <w:tc>
          <w:tcPr>
            <w:tcW w:w="5499" w:type="dxa"/>
            <w:vAlign w:val="center"/>
          </w:tcPr>
          <w:p w14:paraId="5A3CC74B">
            <w:pPr>
              <w:spacing w:before="40" w:after="40" w:line="276" w:lineRule="auto"/>
              <w:ind w:firstLine="0"/>
              <w:jc w:val="left"/>
            </w:pPr>
            <w:r>
              <w:rPr>
                <w:color w:val="C00000"/>
                <w:sz w:val="20"/>
              </w:rPr>
              <w:t>训练硬件与软件版本、三个数据集配置文件、最终采用best或last权重的依据，以及训练权重到OpenVINO/RKNN部署文件的对应关系和校验值。</w:t>
            </w:r>
          </w:p>
        </w:tc>
      </w:tr>
      <w:tr w14:paraId="4FA059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387EB06C">
            <w:pPr>
              <w:spacing w:before="40" w:after="40" w:line="276" w:lineRule="auto"/>
              <w:ind w:firstLine="0"/>
              <w:jc w:val="center"/>
            </w:pPr>
            <w:r>
              <w:rPr>
                <w:color w:val="C00000"/>
                <w:sz w:val="20"/>
              </w:rPr>
              <w:t>待核D07</w:t>
            </w:r>
          </w:p>
        </w:tc>
        <w:tc>
          <w:tcPr>
            <w:tcW w:w="2494" w:type="dxa"/>
            <w:vAlign w:val="center"/>
          </w:tcPr>
          <w:p w14:paraId="6F42F806">
            <w:pPr>
              <w:spacing w:before="40" w:after="40" w:line="276" w:lineRule="auto"/>
              <w:ind w:firstLine="0"/>
              <w:jc w:val="center"/>
            </w:pPr>
            <w:r>
              <w:rPr>
                <w:color w:val="C00000"/>
                <w:sz w:val="20"/>
              </w:rPr>
              <w:t>3.4.2 穴位位置计算与规则库构建</w:t>
            </w:r>
          </w:p>
        </w:tc>
        <w:tc>
          <w:tcPr>
            <w:tcW w:w="5499" w:type="dxa"/>
            <w:vAlign w:val="center"/>
          </w:tcPr>
          <w:p w14:paraId="7731E162">
            <w:pPr>
              <w:spacing w:before="40" w:after="40" w:line="276" w:lineRule="auto"/>
              <w:ind w:firstLine="0"/>
              <w:jc w:val="left"/>
            </w:pPr>
            <w:r>
              <w:rPr>
                <w:color w:val="C00000"/>
                <w:sz w:val="20"/>
              </w:rPr>
              <w:t>规则库中各穴位的解剖依据、所用标准版本、锚点定义与代码符号约定，尤其是纵向22寸、横向8.5/6寸常数及局部补偿的适用条件；需逐项核对后的规则表。</w:t>
            </w:r>
          </w:p>
        </w:tc>
      </w:tr>
      <w:tr w14:paraId="46C599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558F8E35">
            <w:pPr>
              <w:spacing w:before="40" w:after="40" w:line="276" w:lineRule="auto"/>
              <w:ind w:firstLine="0"/>
              <w:jc w:val="center"/>
            </w:pPr>
            <w:r>
              <w:rPr>
                <w:color w:val="C00000"/>
                <w:sz w:val="20"/>
              </w:rPr>
              <w:t>待核D08</w:t>
            </w:r>
          </w:p>
        </w:tc>
        <w:tc>
          <w:tcPr>
            <w:tcW w:w="2494" w:type="dxa"/>
            <w:vAlign w:val="center"/>
          </w:tcPr>
          <w:p w14:paraId="7F4F64E9">
            <w:pPr>
              <w:spacing w:before="40" w:after="40" w:line="276" w:lineRule="auto"/>
              <w:ind w:firstLine="0"/>
              <w:jc w:val="center"/>
            </w:pPr>
            <w:r>
              <w:rPr>
                <w:color w:val="C00000"/>
                <w:sz w:val="20"/>
              </w:rPr>
              <w:t>3.5.3 穴位定位对比与消融分析</w:t>
            </w:r>
          </w:p>
        </w:tc>
        <w:tc>
          <w:tcPr>
            <w:tcW w:w="5499" w:type="dxa"/>
            <w:vAlign w:val="center"/>
          </w:tcPr>
          <w:p w14:paraId="23DF40CC">
            <w:pPr>
              <w:spacing w:before="40" w:after="40" w:line="276" w:lineRule="auto"/>
              <w:ind w:firstLine="0"/>
              <w:jc w:val="left"/>
            </w:pPr>
            <w:r>
              <w:rPr>
                <w:color w:val="C00000"/>
                <w:sz w:val="20"/>
              </w:rPr>
              <w:t>旧稿19.3 mm与9.6 mm、PCK0.05=0.912及各消融百分比对应的逐样本预测、参考真值、尺度定义、样本数和计算脚本；未核实前，穴位定位平均误差________、PCK________、消融改善________。</w:t>
            </w:r>
          </w:p>
        </w:tc>
      </w:tr>
      <w:tr w14:paraId="36B222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2593BB48">
            <w:pPr>
              <w:spacing w:before="40" w:after="40" w:line="276" w:lineRule="auto"/>
              <w:ind w:firstLine="0"/>
              <w:jc w:val="center"/>
            </w:pPr>
            <w:r>
              <w:rPr>
                <w:color w:val="C00000"/>
                <w:sz w:val="20"/>
              </w:rPr>
              <w:t>待核D09</w:t>
            </w:r>
          </w:p>
        </w:tc>
        <w:tc>
          <w:tcPr>
            <w:tcW w:w="2494" w:type="dxa"/>
            <w:vAlign w:val="center"/>
          </w:tcPr>
          <w:p w14:paraId="2F848D01">
            <w:pPr>
              <w:spacing w:before="40" w:after="40" w:line="276" w:lineRule="auto"/>
              <w:ind w:firstLine="0"/>
              <w:jc w:val="center"/>
            </w:pPr>
            <w:r>
              <w:rPr>
                <w:color w:val="C00000"/>
                <w:sz w:val="20"/>
              </w:rPr>
              <w:t>3.5.4 推理效率与方法局限</w:t>
            </w:r>
          </w:p>
        </w:tc>
        <w:tc>
          <w:tcPr>
            <w:tcW w:w="5499" w:type="dxa"/>
            <w:vAlign w:val="center"/>
          </w:tcPr>
          <w:p w14:paraId="0B221CA8">
            <w:pPr>
              <w:spacing w:before="40" w:after="40" w:line="276" w:lineRule="auto"/>
              <w:ind w:firstLine="0"/>
              <w:jc w:val="left"/>
            </w:pPr>
            <w:r>
              <w:rPr>
                <w:color w:val="C00000"/>
                <w:sz w:val="20"/>
              </w:rPr>
              <w:t>实际部署设备、模型格式、输入分辨率、预热方式、重复次数及分阶段时间日志；旧稿186±22 ms的计时范围和原始记录，实际推理耗时________。</w:t>
            </w:r>
          </w:p>
        </w:tc>
      </w:tr>
      <w:tr w14:paraId="233666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6AEF425B">
            <w:pPr>
              <w:spacing w:before="40" w:after="40" w:line="276" w:lineRule="auto"/>
              <w:ind w:firstLine="0"/>
              <w:jc w:val="center"/>
            </w:pPr>
            <w:r>
              <w:rPr>
                <w:color w:val="C00000"/>
                <w:sz w:val="20"/>
              </w:rPr>
              <w:t>待补D10</w:t>
            </w:r>
          </w:p>
        </w:tc>
        <w:tc>
          <w:tcPr>
            <w:tcW w:w="2494" w:type="dxa"/>
            <w:vAlign w:val="center"/>
          </w:tcPr>
          <w:p w14:paraId="77D19C5C">
            <w:pPr>
              <w:spacing w:before="40" w:after="40" w:line="276" w:lineRule="auto"/>
              <w:ind w:firstLine="0"/>
              <w:jc w:val="center"/>
            </w:pPr>
            <w:r>
              <w:rPr>
                <w:color w:val="C00000"/>
                <w:sz w:val="20"/>
              </w:rPr>
              <w:t>5.1.1 机械臂、RGB-D相机与工具配置</w:t>
            </w:r>
          </w:p>
        </w:tc>
        <w:tc>
          <w:tcPr>
            <w:tcW w:w="5499" w:type="dxa"/>
            <w:vAlign w:val="center"/>
          </w:tcPr>
          <w:p w14:paraId="3F6866A4">
            <w:pPr>
              <w:spacing w:before="40" w:after="40" w:line="276" w:lineRule="auto"/>
              <w:ind w:firstLine="0"/>
              <w:jc w:val="left"/>
            </w:pPr>
            <w:r>
              <w:rPr>
                <w:color w:val="C00000"/>
                <w:sz w:val="20"/>
              </w:rPr>
              <w:t>实际RGB-D相机准确子型号、分辨率与SDK版本、计算平台及ROS 2发行版、机械臂控制器版本；表5-1按最终实验批次补齐。</w:t>
            </w:r>
          </w:p>
        </w:tc>
      </w:tr>
      <w:tr w14:paraId="50F1CC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79102D3C">
            <w:pPr>
              <w:spacing w:before="40" w:after="40" w:line="276" w:lineRule="auto"/>
              <w:ind w:firstLine="0"/>
              <w:jc w:val="center"/>
            </w:pPr>
            <w:r>
              <w:rPr>
                <w:color w:val="C00000"/>
                <w:sz w:val="20"/>
              </w:rPr>
              <w:t>待补D11</w:t>
            </w:r>
          </w:p>
        </w:tc>
        <w:tc>
          <w:tcPr>
            <w:tcW w:w="2494" w:type="dxa"/>
            <w:vAlign w:val="center"/>
          </w:tcPr>
          <w:p w14:paraId="7CA4490F">
            <w:pPr>
              <w:spacing w:before="40" w:after="40" w:line="276" w:lineRule="auto"/>
              <w:ind w:firstLine="0"/>
              <w:jc w:val="center"/>
            </w:pPr>
            <w:r>
              <w:rPr>
                <w:color w:val="C00000"/>
                <w:sz w:val="20"/>
              </w:rPr>
              <w:t>5.1.1 机械臂、RGB-D相机与工具配置</w:t>
            </w:r>
          </w:p>
        </w:tc>
        <w:tc>
          <w:tcPr>
            <w:tcW w:w="5499" w:type="dxa"/>
            <w:vAlign w:val="center"/>
          </w:tcPr>
          <w:p w14:paraId="4593C4CD">
            <w:pPr>
              <w:spacing w:before="40" w:after="40" w:line="276" w:lineRule="auto"/>
              <w:ind w:firstLine="0"/>
              <w:jc w:val="left"/>
            </w:pPr>
            <w:r>
              <w:rPr>
                <w:color w:val="C00000"/>
                <w:sz w:val="20"/>
              </w:rPr>
              <w:t>图5-2实际相机安装局部照片，标出相机光学轴、法兰与工具方向；同时提供当前工具编号、安装尺寸及照片对应日期或实验批次。</w:t>
            </w:r>
          </w:p>
        </w:tc>
      </w:tr>
      <w:tr w14:paraId="738304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6731F2A5">
            <w:pPr>
              <w:spacing w:before="40" w:after="40" w:line="276" w:lineRule="auto"/>
              <w:ind w:firstLine="0"/>
              <w:jc w:val="center"/>
            </w:pPr>
            <w:r>
              <w:rPr>
                <w:color w:val="C00000"/>
                <w:sz w:val="20"/>
              </w:rPr>
              <w:t>待核D12</w:t>
            </w:r>
          </w:p>
        </w:tc>
        <w:tc>
          <w:tcPr>
            <w:tcW w:w="2494" w:type="dxa"/>
            <w:vAlign w:val="center"/>
          </w:tcPr>
          <w:p w14:paraId="0236952A">
            <w:pPr>
              <w:spacing w:before="40" w:after="40" w:line="276" w:lineRule="auto"/>
              <w:ind w:firstLine="0"/>
              <w:jc w:val="center"/>
            </w:pPr>
            <w:r>
              <w:rPr>
                <w:color w:val="C00000"/>
                <w:sz w:val="20"/>
              </w:rPr>
              <w:t>5.1.2 视觉推理与规划模块部署</w:t>
            </w:r>
          </w:p>
        </w:tc>
        <w:tc>
          <w:tcPr>
            <w:tcW w:w="5499" w:type="dxa"/>
            <w:vAlign w:val="center"/>
          </w:tcPr>
          <w:p w14:paraId="03050AFC">
            <w:pPr>
              <w:spacing w:before="40" w:after="40" w:line="276" w:lineRule="auto"/>
              <w:ind w:firstLine="0"/>
              <w:jc w:val="left"/>
            </w:pPr>
            <w:r>
              <w:rPr>
                <w:color w:val="C00000"/>
                <w:sz w:val="20"/>
              </w:rPr>
              <w:t>生产视觉、点云、规划与执行模块的实际源码版本或提交号、启动配置、TF树与同次任务日志；当前衔接报告描述需与最终部署版本逐项对应。</w:t>
            </w:r>
          </w:p>
        </w:tc>
      </w:tr>
      <w:tr w14:paraId="4972A0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045BC6C6">
            <w:pPr>
              <w:spacing w:before="40" w:after="40" w:line="276" w:lineRule="auto"/>
              <w:ind w:firstLine="0"/>
              <w:jc w:val="center"/>
            </w:pPr>
            <w:r>
              <w:rPr>
                <w:color w:val="C00000"/>
                <w:sz w:val="20"/>
              </w:rPr>
              <w:t>待补D13</w:t>
            </w:r>
          </w:p>
        </w:tc>
        <w:tc>
          <w:tcPr>
            <w:tcW w:w="2494" w:type="dxa"/>
            <w:vAlign w:val="center"/>
          </w:tcPr>
          <w:p w14:paraId="4FE53C79">
            <w:pPr>
              <w:spacing w:before="40" w:after="40" w:line="276" w:lineRule="auto"/>
              <w:ind w:firstLine="0"/>
              <w:jc w:val="center"/>
            </w:pPr>
            <w:r>
              <w:rPr>
                <w:color w:val="C00000"/>
                <w:sz w:val="20"/>
              </w:rPr>
              <w:t>5.2.1 相机模型与内参标定</w:t>
            </w:r>
          </w:p>
        </w:tc>
        <w:tc>
          <w:tcPr>
            <w:tcW w:w="5499" w:type="dxa"/>
            <w:vAlign w:val="center"/>
          </w:tcPr>
          <w:p w14:paraId="284DBDAF">
            <w:pPr>
              <w:spacing w:before="40" w:after="40" w:line="276" w:lineRule="auto"/>
              <w:ind w:firstLine="0"/>
              <w:jc w:val="left"/>
            </w:pPr>
            <w:r>
              <w:rPr>
                <w:color w:val="C00000"/>
                <w:sz w:val="20"/>
              </w:rPr>
              <w:t>相机内参矩阵K、畸变系数D、对应彩色与深度分辨率、深度单位和SDK对齐方式；注明出厂参数或独立标定来源。K=________，D=________。</w:t>
            </w:r>
          </w:p>
        </w:tc>
      </w:tr>
      <w:tr w14:paraId="36D274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4D7A30CE">
            <w:pPr>
              <w:spacing w:before="40" w:after="40" w:line="276" w:lineRule="auto"/>
              <w:ind w:firstLine="0"/>
              <w:jc w:val="center"/>
            </w:pPr>
            <w:r>
              <w:rPr>
                <w:color w:val="C00000"/>
                <w:sz w:val="20"/>
              </w:rPr>
              <w:t>待核D14</w:t>
            </w:r>
          </w:p>
        </w:tc>
        <w:tc>
          <w:tcPr>
            <w:tcW w:w="2494" w:type="dxa"/>
            <w:vAlign w:val="center"/>
          </w:tcPr>
          <w:p w14:paraId="63AF3736">
            <w:pPr>
              <w:spacing w:before="40" w:after="40" w:line="276" w:lineRule="auto"/>
              <w:ind w:firstLine="0"/>
              <w:jc w:val="center"/>
            </w:pPr>
            <w:r>
              <w:rPr>
                <w:color w:val="C00000"/>
                <w:sz w:val="20"/>
              </w:rPr>
              <w:t>5.2.1 相机模型与内参标定</w:t>
            </w:r>
          </w:p>
        </w:tc>
        <w:tc>
          <w:tcPr>
            <w:tcW w:w="5499" w:type="dxa"/>
            <w:vAlign w:val="center"/>
          </w:tcPr>
          <w:p w14:paraId="53E5ED6E">
            <w:pPr>
              <w:spacing w:before="40" w:after="40" w:line="276" w:lineRule="auto"/>
              <w:ind w:firstLine="0"/>
              <w:jc w:val="left"/>
            </w:pPr>
            <w:r>
              <w:rPr>
                <w:color w:val="C00000"/>
                <w:sz w:val="20"/>
              </w:rPr>
              <w:t>原始图像与去畸变图像的实际数据流、SDK是否已校正及软件是否重复去畸变；如已有独立标定，提供标定板尺寸、角点图、图像数量和重投影残差记录。</w:t>
            </w:r>
          </w:p>
        </w:tc>
      </w:tr>
      <w:tr w14:paraId="7C952F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42CBF651">
            <w:pPr>
              <w:spacing w:before="40" w:after="40" w:line="276" w:lineRule="auto"/>
              <w:ind w:firstLine="0"/>
              <w:jc w:val="center"/>
            </w:pPr>
            <w:r>
              <w:rPr>
                <w:color w:val="C00000"/>
                <w:sz w:val="20"/>
              </w:rPr>
              <w:t>待补D15</w:t>
            </w:r>
          </w:p>
        </w:tc>
        <w:tc>
          <w:tcPr>
            <w:tcW w:w="2494" w:type="dxa"/>
            <w:vAlign w:val="center"/>
          </w:tcPr>
          <w:p w14:paraId="25B55486">
            <w:pPr>
              <w:spacing w:before="40" w:after="40" w:line="276" w:lineRule="auto"/>
              <w:ind w:firstLine="0"/>
              <w:jc w:val="center"/>
            </w:pPr>
            <w:r>
              <w:rPr>
                <w:color w:val="C00000"/>
                <w:sz w:val="20"/>
              </w:rPr>
              <w:t>5.2.2 手眼外参与工具坐标确定</w:t>
            </w:r>
          </w:p>
        </w:tc>
        <w:tc>
          <w:tcPr>
            <w:tcW w:w="5499" w:type="dxa"/>
            <w:vAlign w:val="center"/>
          </w:tcPr>
          <w:p w14:paraId="38785D04">
            <w:pPr>
              <w:spacing w:before="40" w:after="40" w:line="276" w:lineRule="auto"/>
              <w:ind w:firstLine="0"/>
              <w:jc w:val="left"/>
            </w:pPr>
            <w:r>
              <w:rPr>
                <w:color w:val="C00000"/>
                <w:sz w:val="20"/>
              </w:rPr>
              <w:t>实际T_FC手眼外参矩阵及方向定义、安装系到光学系关系、参数确定方式；若进行手眼标定，提供图像与机器人位姿配对、方法及独立验证残差。T_FC=________。</w:t>
            </w:r>
          </w:p>
        </w:tc>
      </w:tr>
      <w:tr w14:paraId="66458E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023CF1AF">
            <w:pPr>
              <w:spacing w:before="40" w:after="40" w:line="276" w:lineRule="auto"/>
              <w:ind w:firstLine="0"/>
              <w:jc w:val="center"/>
            </w:pPr>
            <w:r>
              <w:rPr>
                <w:color w:val="C00000"/>
                <w:sz w:val="20"/>
              </w:rPr>
              <w:t>待补D16</w:t>
            </w:r>
          </w:p>
        </w:tc>
        <w:tc>
          <w:tcPr>
            <w:tcW w:w="2494" w:type="dxa"/>
            <w:vAlign w:val="center"/>
          </w:tcPr>
          <w:p w14:paraId="77107627">
            <w:pPr>
              <w:spacing w:before="40" w:after="40" w:line="276" w:lineRule="auto"/>
              <w:ind w:firstLine="0"/>
              <w:jc w:val="center"/>
            </w:pPr>
            <w:r>
              <w:rPr>
                <w:color w:val="C00000"/>
                <w:sz w:val="20"/>
              </w:rPr>
              <w:t>5.2.2 手眼外参与工具坐标确定</w:t>
            </w:r>
          </w:p>
        </w:tc>
        <w:tc>
          <w:tcPr>
            <w:tcW w:w="5499" w:type="dxa"/>
            <w:vAlign w:val="center"/>
          </w:tcPr>
          <w:p w14:paraId="4D919D1F">
            <w:pPr>
              <w:spacing w:before="40" w:after="40" w:line="276" w:lineRule="auto"/>
              <w:ind w:firstLine="0"/>
              <w:jc w:val="left"/>
            </w:pPr>
            <w:r>
              <w:rPr>
                <w:color w:val="C00000"/>
                <w:sz w:val="20"/>
              </w:rPr>
              <w:t>最终使用工具的T_FT或控制器TCP参数、工具编号、单位和轴向定义，以及是否由控制器自动补偿。T_FT=________；工具长度________。</w:t>
            </w:r>
          </w:p>
        </w:tc>
      </w:tr>
      <w:tr w14:paraId="6DA699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1585D37B">
            <w:pPr>
              <w:spacing w:before="40" w:after="40" w:line="276" w:lineRule="auto"/>
              <w:ind w:firstLine="0"/>
              <w:jc w:val="center"/>
            </w:pPr>
            <w:r>
              <w:rPr>
                <w:color w:val="C00000"/>
                <w:sz w:val="20"/>
              </w:rPr>
              <w:t>待核D17</w:t>
            </w:r>
          </w:p>
        </w:tc>
        <w:tc>
          <w:tcPr>
            <w:tcW w:w="2494" w:type="dxa"/>
            <w:vAlign w:val="center"/>
          </w:tcPr>
          <w:p w14:paraId="4A0ED573">
            <w:pPr>
              <w:spacing w:before="40" w:after="40" w:line="276" w:lineRule="auto"/>
              <w:ind w:firstLine="0"/>
              <w:jc w:val="center"/>
            </w:pPr>
            <w:r>
              <w:rPr>
                <w:color w:val="C00000"/>
                <w:sz w:val="20"/>
              </w:rPr>
              <w:t>5.2.3 目标三维映射与表面法向估计</w:t>
            </w:r>
          </w:p>
        </w:tc>
        <w:tc>
          <w:tcPr>
            <w:tcW w:w="5499" w:type="dxa"/>
            <w:vAlign w:val="center"/>
          </w:tcPr>
          <w:p w14:paraId="361F665C">
            <w:pPr>
              <w:spacing w:before="40" w:after="40" w:line="276" w:lineRule="auto"/>
              <w:ind w:firstLine="0"/>
              <w:jc w:val="left"/>
            </w:pPr>
            <w:r>
              <w:rPr>
                <w:color w:val="C00000"/>
                <w:sz w:val="20"/>
              </w:rPr>
              <w:t>最终点云与法向分支、参数配置、无效深度处理、近邻替换距离及异常返回行为；提供同次原图、对齐深度和点云以核对投影一致性。</w:t>
            </w:r>
          </w:p>
        </w:tc>
      </w:tr>
      <w:tr w14:paraId="724E16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2B4D92A8">
            <w:pPr>
              <w:spacing w:before="40" w:after="40" w:line="276" w:lineRule="auto"/>
              <w:ind w:firstLine="0"/>
              <w:jc w:val="center"/>
            </w:pPr>
            <w:r>
              <w:rPr>
                <w:color w:val="C00000"/>
                <w:sz w:val="20"/>
              </w:rPr>
              <w:t>待核D18</w:t>
            </w:r>
          </w:p>
        </w:tc>
        <w:tc>
          <w:tcPr>
            <w:tcW w:w="2494" w:type="dxa"/>
            <w:vAlign w:val="center"/>
          </w:tcPr>
          <w:p w14:paraId="5A0000AF">
            <w:pPr>
              <w:spacing w:before="40" w:after="40" w:line="276" w:lineRule="auto"/>
              <w:ind w:firstLine="0"/>
              <w:jc w:val="center"/>
            </w:pPr>
            <w:r>
              <w:rPr>
                <w:color w:val="C00000"/>
                <w:sz w:val="20"/>
              </w:rPr>
              <w:t>5.2.4 工具姿态构造与坐标转换</w:t>
            </w:r>
          </w:p>
        </w:tc>
        <w:tc>
          <w:tcPr>
            <w:tcW w:w="5499" w:type="dxa"/>
            <w:vAlign w:val="center"/>
          </w:tcPr>
          <w:p w14:paraId="4D27289E">
            <w:pPr>
              <w:spacing w:before="40" w:after="40" w:line="276" w:lineRule="auto"/>
              <w:ind w:firstLine="0"/>
              <w:jc w:val="left"/>
            </w:pPr>
            <w:r>
              <w:rPr>
                <w:color w:val="C00000"/>
                <w:sz w:val="20"/>
              </w:rPr>
              <w:t>图像、深度、点云与TF的实际时间戳对应；最终工具参考轴、法向符号及姿态转换约定，快照过期后是否阻止执行。</w:t>
            </w:r>
          </w:p>
        </w:tc>
      </w:tr>
      <w:tr w14:paraId="21E2BC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38C51C29">
            <w:pPr>
              <w:spacing w:before="40" w:after="40" w:line="276" w:lineRule="auto"/>
              <w:ind w:firstLine="0"/>
              <w:jc w:val="center"/>
            </w:pPr>
            <w:r>
              <w:rPr>
                <w:color w:val="C00000"/>
                <w:sz w:val="20"/>
              </w:rPr>
              <w:t>待补D19</w:t>
            </w:r>
          </w:p>
        </w:tc>
        <w:tc>
          <w:tcPr>
            <w:tcW w:w="2494" w:type="dxa"/>
            <w:vAlign w:val="center"/>
          </w:tcPr>
          <w:p w14:paraId="7CD6160D">
            <w:pPr>
              <w:spacing w:before="40" w:after="40" w:line="276" w:lineRule="auto"/>
              <w:ind w:firstLine="0"/>
              <w:jc w:val="center"/>
            </w:pPr>
            <w:r>
              <w:rPr>
                <w:color w:val="C00000"/>
                <w:sz w:val="20"/>
              </w:rPr>
              <w:t>5.3.2 目标序列与规划场景构建</w:t>
            </w:r>
          </w:p>
        </w:tc>
        <w:tc>
          <w:tcPr>
            <w:tcW w:w="5499" w:type="dxa"/>
            <w:vAlign w:val="center"/>
          </w:tcPr>
          <w:p w14:paraId="3C18E3AA">
            <w:pPr>
              <w:spacing w:before="40" w:after="40" w:line="276" w:lineRule="auto"/>
              <w:ind w:firstLine="0"/>
              <w:jc w:val="left"/>
            </w:pPr>
            <w:r>
              <w:rPr>
                <w:color w:val="C00000"/>
                <w:sz w:val="20"/>
              </w:rPr>
              <w:t>同次任务的目标顺序、起终点、障碍球或包围盒配置、坐标系与单位、规划器版本、随机种子及逐段返回状态；确认实际是否使用工具或连杆包络。</w:t>
            </w:r>
          </w:p>
        </w:tc>
      </w:tr>
      <w:tr w14:paraId="3E0478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1272390E">
            <w:pPr>
              <w:spacing w:before="40" w:after="40" w:line="276" w:lineRule="auto"/>
              <w:ind w:firstLine="0"/>
              <w:jc w:val="center"/>
            </w:pPr>
            <w:r>
              <w:rPr>
                <w:color w:val="C00000"/>
                <w:sz w:val="20"/>
              </w:rPr>
              <w:t>待核D20</w:t>
            </w:r>
          </w:p>
        </w:tc>
        <w:tc>
          <w:tcPr>
            <w:tcW w:w="2494" w:type="dxa"/>
            <w:vAlign w:val="center"/>
          </w:tcPr>
          <w:p w14:paraId="4303781F">
            <w:pPr>
              <w:spacing w:before="40" w:after="40" w:line="276" w:lineRule="auto"/>
              <w:ind w:firstLine="0"/>
              <w:jc w:val="center"/>
            </w:pPr>
            <w:r>
              <w:rPr>
                <w:color w:val="C00000"/>
                <w:sz w:val="20"/>
              </w:rPr>
              <w:t>5.3.3 几何路径、姿态配置与执行路点转换</w:t>
            </w:r>
          </w:p>
        </w:tc>
        <w:tc>
          <w:tcPr>
            <w:tcW w:w="5499" w:type="dxa"/>
            <w:vAlign w:val="center"/>
          </w:tcPr>
          <w:p w14:paraId="77241347">
            <w:pPr>
              <w:spacing w:before="40" w:after="40" w:line="276" w:lineRule="auto"/>
              <w:ind w:firstLine="0"/>
              <w:jc w:val="left"/>
            </w:pPr>
            <w:r>
              <w:rPr>
                <w:color w:val="C00000"/>
                <w:sz w:val="20"/>
              </w:rPr>
              <w:t>SC-RRT输出到实际控制器之间的姿态配置、插值、平滑及单位转换代码，实际moveLine参数与返回码；确认平滑后是否重做碰撞或表面检查。</w:t>
            </w:r>
          </w:p>
        </w:tc>
      </w:tr>
      <w:tr w14:paraId="0F556C2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4C97C9F0">
            <w:pPr>
              <w:spacing w:before="40" w:after="40" w:line="276" w:lineRule="auto"/>
              <w:ind w:firstLine="0"/>
              <w:jc w:val="center"/>
            </w:pPr>
            <w:r>
              <w:rPr>
                <w:color w:val="C00000"/>
                <w:sz w:val="20"/>
              </w:rPr>
              <w:t>待核D21</w:t>
            </w:r>
          </w:p>
        </w:tc>
        <w:tc>
          <w:tcPr>
            <w:tcW w:w="2494" w:type="dxa"/>
            <w:vAlign w:val="center"/>
          </w:tcPr>
          <w:p w14:paraId="762AE4A2">
            <w:pPr>
              <w:spacing w:before="40" w:after="40" w:line="276" w:lineRule="auto"/>
              <w:ind w:firstLine="0"/>
              <w:jc w:val="center"/>
            </w:pPr>
            <w:r>
              <w:rPr>
                <w:color w:val="C00000"/>
                <w:sz w:val="20"/>
              </w:rPr>
              <w:t>5.3.4 执行前运动学约束检查</w:t>
            </w:r>
          </w:p>
        </w:tc>
        <w:tc>
          <w:tcPr>
            <w:tcW w:w="5499" w:type="dxa"/>
            <w:vAlign w:val="center"/>
          </w:tcPr>
          <w:p w14:paraId="669222FF">
            <w:pPr>
              <w:spacing w:before="40" w:after="40" w:line="276" w:lineRule="auto"/>
              <w:ind w:firstLine="0"/>
              <w:jc w:val="left"/>
            </w:pPr>
            <w:r>
              <w:rPr>
                <w:color w:val="C00000"/>
                <w:sz w:val="20"/>
              </w:rPr>
              <w:t>实际检查覆盖范围：仅端点、全部离散路点还是插值后的轨迹；逐点逆解与关节结果、越限或奇异报警、碰撞模型及控制器拒绝日志。已有记录可复用，不默认新增专项实验。</w:t>
            </w:r>
          </w:p>
        </w:tc>
      </w:tr>
      <w:tr w14:paraId="10F9D4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5B21D925">
            <w:pPr>
              <w:spacing w:before="40" w:after="40" w:line="276" w:lineRule="auto"/>
              <w:ind w:firstLine="0"/>
              <w:jc w:val="center"/>
            </w:pPr>
            <w:r>
              <w:rPr>
                <w:color w:val="C00000"/>
                <w:sz w:val="20"/>
              </w:rPr>
              <w:t>待补D22</w:t>
            </w:r>
          </w:p>
        </w:tc>
        <w:tc>
          <w:tcPr>
            <w:tcW w:w="2494" w:type="dxa"/>
            <w:vAlign w:val="center"/>
          </w:tcPr>
          <w:p w14:paraId="3C945242">
            <w:pPr>
              <w:spacing w:before="40" w:after="40" w:line="276" w:lineRule="auto"/>
              <w:ind w:firstLine="0"/>
              <w:jc w:val="center"/>
            </w:pPr>
            <w:r>
              <w:rPr>
                <w:color w:val="C00000"/>
                <w:sz w:val="20"/>
              </w:rPr>
              <w:t>5.4.2 视觉引导的目标定位与路径生成</w:t>
            </w:r>
          </w:p>
        </w:tc>
        <w:tc>
          <w:tcPr>
            <w:tcW w:w="5499" w:type="dxa"/>
            <w:vAlign w:val="center"/>
          </w:tcPr>
          <w:p w14:paraId="21248472">
            <w:pPr>
              <w:spacing w:before="40" w:after="40" w:line="276" w:lineRule="auto"/>
              <w:ind w:firstLine="0"/>
              <w:jc w:val="left"/>
            </w:pPr>
            <w:r>
              <w:rPr>
                <w:color w:val="C00000"/>
                <w:sz w:val="20"/>
              </w:rPr>
              <w:t>一个已完成任务的成套记录：原始与确认后的目标像素、同次RGB-D及点云、T_BF/T_FC/T_FT、目标与接近点、SC-RRT路径和执行日志；提供采集编号或文件对应清单。</w:t>
            </w:r>
          </w:p>
        </w:tc>
      </w:tr>
      <w:tr w14:paraId="06FF6A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5B56DFE4">
            <w:pPr>
              <w:spacing w:before="40" w:after="40" w:line="276" w:lineRule="auto"/>
              <w:ind w:firstLine="0"/>
              <w:jc w:val="center"/>
            </w:pPr>
            <w:r>
              <w:rPr>
                <w:color w:val="C00000"/>
                <w:sz w:val="20"/>
              </w:rPr>
              <w:t>待核D23</w:t>
            </w:r>
          </w:p>
        </w:tc>
        <w:tc>
          <w:tcPr>
            <w:tcW w:w="2494" w:type="dxa"/>
            <w:vAlign w:val="center"/>
          </w:tcPr>
          <w:p w14:paraId="2ED8118F">
            <w:pPr>
              <w:spacing w:before="40" w:after="40" w:line="276" w:lineRule="auto"/>
              <w:ind w:firstLine="0"/>
              <w:jc w:val="center"/>
            </w:pPr>
            <w:r>
              <w:rPr>
                <w:color w:val="C00000"/>
                <w:sz w:val="20"/>
              </w:rPr>
              <w:t>5.4.3 机械臂执行结果与分析</w:t>
            </w:r>
          </w:p>
        </w:tc>
        <w:tc>
          <w:tcPr>
            <w:tcW w:w="5499" w:type="dxa"/>
            <w:vAlign w:val="center"/>
          </w:tcPr>
          <w:p w14:paraId="32266BB9">
            <w:pPr>
              <w:spacing w:before="40" w:after="40" w:line="276" w:lineRule="auto"/>
              <w:ind w:firstLine="0"/>
              <w:jc w:val="left"/>
            </w:pPr>
            <w:r>
              <w:rPr>
                <w:color w:val="C00000"/>
                <w:sz w:val="20"/>
              </w:rPr>
              <w:t>原SC-RRT实物稿中规划3.249 m、实际3.245 m、长度差0.12%、平均TCP误差1.98 mm及最大3.09 mm所对应的原始轨迹、真值来源、配准/时间匹配与计算方法；核实后填写执行偏差________。</w:t>
            </w:r>
          </w:p>
        </w:tc>
      </w:tr>
      <w:tr w14:paraId="7BB0CC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0FAD54B5">
            <w:pPr>
              <w:spacing w:before="40" w:after="40" w:line="276" w:lineRule="auto"/>
              <w:ind w:firstLine="0"/>
              <w:jc w:val="center"/>
            </w:pPr>
            <w:r>
              <w:rPr>
                <w:color w:val="C00000"/>
                <w:sz w:val="20"/>
              </w:rPr>
              <w:t>待核D24</w:t>
            </w:r>
          </w:p>
        </w:tc>
        <w:tc>
          <w:tcPr>
            <w:tcW w:w="2494" w:type="dxa"/>
            <w:vAlign w:val="center"/>
          </w:tcPr>
          <w:p w14:paraId="07976B04">
            <w:pPr>
              <w:spacing w:before="40" w:after="40" w:line="276" w:lineRule="auto"/>
              <w:ind w:firstLine="0"/>
              <w:jc w:val="center"/>
            </w:pPr>
            <w:r>
              <w:rPr>
                <w:color w:val="C00000"/>
                <w:sz w:val="20"/>
              </w:rPr>
              <w:t>5.4.3 机械臂执行结果与分析</w:t>
            </w:r>
          </w:p>
        </w:tc>
        <w:tc>
          <w:tcPr>
            <w:tcW w:w="5499" w:type="dxa"/>
            <w:vAlign w:val="center"/>
          </w:tcPr>
          <w:p w14:paraId="56F121F6">
            <w:pPr>
              <w:spacing w:before="40" w:after="40" w:line="276" w:lineRule="auto"/>
              <w:ind w:firstLine="0"/>
              <w:jc w:val="left"/>
            </w:pPr>
            <w:r>
              <w:rPr>
                <w:color w:val="C00000"/>
                <w:sz w:val="20"/>
              </w:rPr>
              <w:t>视觉旧稿中法向角误差4.2°±1.6°及分部位三维误差的逐样本记录、测量方法和失败样本；缺少独立方向真值时仅保留工具朝向可视化，不报告精度数值。</w:t>
            </w:r>
          </w:p>
        </w:tc>
      </w:tr>
      <w:tr w14:paraId="2387A5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489BBD48">
            <w:pPr>
              <w:spacing w:before="40" w:after="40" w:line="276" w:lineRule="auto"/>
              <w:ind w:firstLine="0"/>
              <w:jc w:val="center"/>
            </w:pPr>
            <w:r>
              <w:rPr>
                <w:color w:val="C00000"/>
                <w:sz w:val="20"/>
              </w:rPr>
              <w:t>待补D25</w:t>
            </w:r>
          </w:p>
        </w:tc>
        <w:tc>
          <w:tcPr>
            <w:tcW w:w="2494" w:type="dxa"/>
            <w:vAlign w:val="center"/>
          </w:tcPr>
          <w:p w14:paraId="19B95C49">
            <w:pPr>
              <w:spacing w:before="40" w:after="40" w:line="276" w:lineRule="auto"/>
              <w:ind w:firstLine="0"/>
              <w:jc w:val="center"/>
            </w:pPr>
            <w:r>
              <w:rPr>
                <w:color w:val="C00000"/>
                <w:sz w:val="20"/>
              </w:rPr>
              <w:t>5.4.3 机械臂执行结果与分析</w:t>
            </w:r>
          </w:p>
        </w:tc>
        <w:tc>
          <w:tcPr>
            <w:tcW w:w="5499" w:type="dxa"/>
            <w:vAlign w:val="center"/>
          </w:tcPr>
          <w:p w14:paraId="771609EC">
            <w:pPr>
              <w:spacing w:before="40" w:after="40" w:line="276" w:lineRule="auto"/>
              <w:ind w:firstLine="0"/>
              <w:jc w:val="left"/>
            </w:pPr>
            <w:r>
              <w:rPr>
                <w:color w:val="C00000"/>
                <w:sz w:val="20"/>
              </w:rPr>
              <w:t>表5-3对应的同次任务记录；如无独立位置真值，删除到位精度主张并保留流程可行性结论。若需保留视觉到执行的定量结论，才补一组具有独立参考的最小联动验证。</w:t>
            </w:r>
          </w:p>
        </w:tc>
      </w:tr>
      <w:tr w14:paraId="09CB2C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25EFDE06">
            <w:pPr>
              <w:spacing w:before="40" w:after="40" w:line="276" w:lineRule="auto"/>
              <w:ind w:firstLine="0"/>
              <w:jc w:val="center"/>
            </w:pPr>
            <w:r>
              <w:rPr>
                <w:color w:val="C00000"/>
                <w:sz w:val="20"/>
              </w:rPr>
              <w:t>待补D26</w:t>
            </w:r>
          </w:p>
        </w:tc>
        <w:tc>
          <w:tcPr>
            <w:tcW w:w="2494" w:type="dxa"/>
            <w:vAlign w:val="center"/>
          </w:tcPr>
          <w:p w14:paraId="7E254306">
            <w:pPr>
              <w:spacing w:before="40" w:after="40" w:line="276" w:lineRule="auto"/>
              <w:ind w:firstLine="0"/>
              <w:jc w:val="center"/>
            </w:pPr>
            <w:r>
              <w:rPr>
                <w:color w:val="C00000"/>
                <w:sz w:val="20"/>
              </w:rPr>
              <w:t>附录A 主要材料与正文对应关系</w:t>
            </w:r>
          </w:p>
        </w:tc>
        <w:tc>
          <w:tcPr>
            <w:tcW w:w="5499" w:type="dxa"/>
            <w:vAlign w:val="center"/>
          </w:tcPr>
          <w:p w14:paraId="76893BE1">
            <w:pPr>
              <w:spacing w:before="40" w:after="40" w:line="276" w:lineRule="auto"/>
              <w:ind w:firstLine="0"/>
              <w:jc w:val="left"/>
            </w:pPr>
            <w:r>
              <w:rPr>
                <w:color w:val="C00000"/>
                <w:sz w:val="20"/>
              </w:rPr>
              <w:t>如需采用另一个优化版PPT中的新增结果，请提供其准确本地路径及对应数据来源；当前采用视觉汇报.pptx，不影响已核实正文。</w:t>
            </w:r>
          </w:p>
        </w:tc>
      </w:tr>
      <w:tr w14:paraId="6009AE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cantSplit/>
          <w:jc w:val="center"/>
        </w:trPr>
        <w:tc>
          <w:tcPr>
            <w:tcW w:w="1077" w:type="dxa"/>
            <w:vAlign w:val="center"/>
          </w:tcPr>
          <w:p w14:paraId="5287B2F3">
            <w:pPr>
              <w:spacing w:before="40" w:after="40" w:line="276" w:lineRule="auto"/>
              <w:ind w:firstLine="0"/>
              <w:jc w:val="center"/>
            </w:pPr>
            <w:r>
              <w:rPr>
                <w:color w:val="C00000"/>
                <w:sz w:val="20"/>
              </w:rPr>
              <w:t>待核D27</w:t>
            </w:r>
          </w:p>
        </w:tc>
        <w:tc>
          <w:tcPr>
            <w:tcW w:w="2494" w:type="dxa"/>
            <w:vAlign w:val="center"/>
          </w:tcPr>
          <w:p w14:paraId="3AE90439">
            <w:pPr>
              <w:spacing w:before="40" w:after="40" w:line="276" w:lineRule="auto"/>
              <w:ind w:firstLine="0"/>
              <w:jc w:val="center"/>
            </w:pPr>
            <w:r>
              <w:rPr>
                <w:color w:val="C00000"/>
                <w:sz w:val="20"/>
              </w:rPr>
              <w:t>附录B 图片来源与复用说明</w:t>
            </w:r>
          </w:p>
        </w:tc>
        <w:tc>
          <w:tcPr>
            <w:tcW w:w="5499" w:type="dxa"/>
            <w:vAlign w:val="center"/>
          </w:tcPr>
          <w:p w14:paraId="1853C06C">
            <w:pPr>
              <w:spacing w:before="40" w:after="40" w:line="276" w:lineRule="auto"/>
              <w:ind w:firstLine="0"/>
              <w:jc w:val="left"/>
            </w:pPr>
            <w:r>
              <w:rPr>
                <w:color w:val="C00000"/>
                <w:sz w:val="20"/>
              </w:rPr>
              <w:t>现有实物照片和人体示意素材的作者、拍摄或绘图来源及正式论文使用范围；如需提交参与者或机构相关声明，按实际材料补入，不能由图片推断已完成审批。</w:t>
            </w:r>
          </w:p>
        </w:tc>
      </w:tr>
      <w:tr w14:paraId="208FD6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jc w:val="center"/>
        </w:trPr>
        <w:tc>
          <w:tcPr>
            <w:tcW w:w="1077" w:type="dxa"/>
          </w:tcPr>
          <w:p w14:paraId="6E6BBE00">
            <w:pPr>
              <w:spacing w:line="276" w:lineRule="auto"/>
              <w:ind w:firstLine="0"/>
            </w:pPr>
            <w:r>
              <w:rPr>
                <w:color w:val="C00000"/>
                <w:sz w:val="20"/>
              </w:rPr>
              <w:t>待补D40</w:t>
            </w:r>
          </w:p>
        </w:tc>
        <w:tc>
          <w:tcPr>
            <w:tcW w:w="2494" w:type="dxa"/>
          </w:tcPr>
          <w:p w14:paraId="3664F50B">
            <w:pPr>
              <w:spacing w:line="276" w:lineRule="auto"/>
              <w:ind w:firstLine="0"/>
            </w:pPr>
            <w:r>
              <w:rPr>
                <w:color w:val="C00000"/>
                <w:sz w:val="20"/>
              </w:rPr>
              <w:t>攻读学位期间的研究成果</w:t>
            </w:r>
          </w:p>
        </w:tc>
        <w:tc>
          <w:tcPr>
            <w:tcW w:w="5499" w:type="dxa"/>
          </w:tcPr>
          <w:p w14:paraId="5A198854">
            <w:pPr>
              <w:spacing w:line="276" w:lineRule="auto"/>
              <w:ind w:firstLine="0"/>
            </w:pPr>
            <w:r>
              <w:rPr>
                <w:color w:val="C00000"/>
                <w:sz w:val="20"/>
              </w:rPr>
              <w:t>已发表、已录用或投稿论文的准确题名、作者顺序、期刊或会议、状态及证明；专利等成果如无则删除对应类别。</w:t>
            </w:r>
          </w:p>
        </w:tc>
      </w:tr>
      <w:tr w14:paraId="30FB85C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75" w:type="dxa"/>
            <w:bottom w:w="65" w:type="dxa"/>
            <w:right w:w="75" w:type="dxa"/>
          </w:tblCellMar>
        </w:tblPrEx>
        <w:trPr>
          <w:jc w:val="center"/>
        </w:trPr>
        <w:tc>
          <w:tcPr>
            <w:tcW w:w="1077" w:type="dxa"/>
          </w:tcPr>
          <w:p w14:paraId="49240FF7">
            <w:pPr>
              <w:spacing w:line="276" w:lineRule="auto"/>
              <w:ind w:firstLine="0"/>
            </w:pPr>
            <w:r>
              <w:rPr>
                <w:color w:val="C00000"/>
                <w:sz w:val="20"/>
              </w:rPr>
              <w:t>待补D41</w:t>
            </w:r>
          </w:p>
        </w:tc>
        <w:tc>
          <w:tcPr>
            <w:tcW w:w="2494" w:type="dxa"/>
          </w:tcPr>
          <w:p w14:paraId="0785440F">
            <w:pPr>
              <w:spacing w:line="276" w:lineRule="auto"/>
              <w:ind w:firstLine="0"/>
            </w:pPr>
            <w:r>
              <w:rPr>
                <w:color w:val="C00000"/>
                <w:sz w:val="20"/>
              </w:rPr>
              <w:t>致谢</w:t>
            </w:r>
          </w:p>
        </w:tc>
        <w:tc>
          <w:tcPr>
            <w:tcW w:w="5499" w:type="dxa"/>
          </w:tcPr>
          <w:p w14:paraId="1E90B850">
            <w:pPr>
              <w:spacing w:line="276" w:lineRule="auto"/>
              <w:ind w:firstLine="0"/>
            </w:pPr>
            <w:r>
              <w:rPr>
                <w:color w:val="C00000"/>
                <w:sz w:val="20"/>
              </w:rPr>
              <w:t>请作者提供希望致谢的导师、合作人员及具体帮助，核实后用本人语气补写。</w:t>
            </w:r>
          </w:p>
        </w:tc>
      </w:tr>
    </w:tbl>
    <w:p w14:paraId="3C478C97"/>
    <w:p w14:paraId="1FE95546">
      <w:pPr>
        <w:pStyle w:val="2"/>
      </w:pPr>
      <w:bookmarkStart w:id="99" w:name="_Toc243339279"/>
      <w:r>
        <w:t>攻读学位期间的研究成果</w:t>
      </w:r>
      <w:bookmarkEnd w:id="99"/>
    </w:p>
    <w:p w14:paraId="55791ECB">
      <w:r>
        <w:rPr>
          <w:color w:val="C00000"/>
          <w:sz w:val="22"/>
        </w:rPr>
        <w:t>【待补D40：已发表、已录用或投稿论文的准确题名、作者顺序、期刊或会议、状态及证明；专利等成果如无则删除对应类别。】</w:t>
      </w:r>
    </w:p>
    <w:p w14:paraId="229F2CB6">
      <w:pPr>
        <w:pStyle w:val="2"/>
      </w:pPr>
      <w:bookmarkStart w:id="100" w:name="_Toc243339280"/>
      <w:r>
        <w:t>致谢</w:t>
      </w:r>
      <w:bookmarkEnd w:id="100"/>
    </w:p>
    <w:p w14:paraId="4F830939">
      <w:r>
        <w:rPr>
          <w:color w:val="C00000"/>
          <w:sz w:val="22"/>
        </w:rPr>
        <w:t>【待补D41：请作者提供希望致谢的导师、合作人员及具体帮助，核实后用本人语气补写。】</w:t>
      </w:r>
    </w:p>
    <w:sectPr>
      <w:headerReference r:id="rId7" w:type="default"/>
      <w:footerReference r:id="rId8" w:type="default"/>
      <w:pgSz w:w="11906" w:h="16838"/>
      <w:pgMar w:top="1587" w:right="1417" w:bottom="1134" w:left="1417" w:header="964" w:footer="68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ACC38A">
    <w:pPr>
      <w:ind w:firstLine="0"/>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DF4087">
    <w:pPr>
      <w:ind w:firstLine="0"/>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60A88">
    <w:pPr>
      <w:ind w:firstLine="0"/>
      <w:jc w:val="center"/>
    </w:pPr>
    <w:r>
      <w:t>上海应用技术大学  硕士学位论文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E93267">
    <w:pPr>
      <w:ind w:firstLine="0"/>
      <w:jc w:val="center"/>
    </w:pPr>
    <w:r>
      <w:t>上海应用技术大学  硕士学位论文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44F1140"/>
    <w:multiLevelType w:val="multilevel"/>
    <w:tmpl w:val="244F1140"/>
    <w:lvl w:ilvl="0" w:tentative="0">
      <w:start w:val="1"/>
      <w:numFmt w:val="decimal"/>
      <w:lvlText w:val="%1"/>
      <w:lvlJc w:val="left"/>
      <w:pPr>
        <w:ind w:left="420" w:hanging="420"/>
      </w:pPr>
      <w:rPr>
        <w:rFonts w:hint="default"/>
      </w:rPr>
    </w:lvl>
    <w:lvl w:ilvl="1" w:tentative="0">
      <w:start w:val="1"/>
      <w:numFmt w:val="decimal"/>
      <w:pStyle w:val="71"/>
      <w:lvlText w:val="%1.%2"/>
      <w:lvlJc w:val="left"/>
      <w:pPr>
        <w:ind w:left="420" w:hanging="4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1">
    <w:nsid w:val="6D3C789B"/>
    <w:multiLevelType w:val="multilevel"/>
    <w:tmpl w:val="6D3C789B"/>
    <w:lvl w:ilvl="0" w:tentative="0">
      <w:start w:val="1"/>
      <w:numFmt w:val="decimal"/>
      <w:pStyle w:val="74"/>
      <w:lvlText w:val="[%1]"/>
      <w:lvlJc w:val="left"/>
      <w:pPr>
        <w:ind w:left="860" w:hanging="440"/>
      </w:pPr>
      <w:rPr>
        <w:rFonts w:hint="eastAsia"/>
        <w:b w:val="0"/>
        <w:bCs w:val="0"/>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420"/>
  <w:characterSpacingControl w:val="doNotCompress"/>
  <w:footnotePr>
    <w:footnote w:id="0"/>
    <w:footnote w:id="1"/>
  </w:footnotePr>
  <w:endnotePr>
    <w:endnote w:id="0"/>
    <w:endnote w:id="1"/>
  </w:endnotePr>
  <w:compat>
    <w:useFELayout/>
    <w:compatSetting w:name="compatibilityMode" w:uri="http://schemas.microsoft.com/office/word" w:val="12"/>
  </w:compat>
  <w:docVars>
    <w:docVar w:name="commondata" w:val="eyJoZGlkIjoiMTFhNjdkNGE0OGJiZGY4Yzc5N2VhNGQyNjU3M2Y4ZjMifQ=="/>
    <w:docVar w:name="EN.InstantFormat" w:val="&lt;ENInstantFormat&gt;&lt;Enabled&gt;1&lt;/Enabled&gt;&lt;ScanUnformatted&gt;1&lt;/ScanUnformatted&gt;&lt;ScanChanges&gt;1&lt;/ScanChanges&gt;&lt;Suspended&gt;1&lt;/Suspended&gt;&lt;/ENInstantFormat&gt;"/>
    <w:docVar w:name="EN.Layout" w:val="&lt;ENLayout&gt;&lt;Style&gt;Chinese Std GBT7714 (numeric)&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0dv5ae02sxw2dne0rzmxfz5ntt0250rwff2a&quot;&gt;My EndNote Library&lt;record-ids&gt;&lt;item&gt;2&lt;/item&gt;&lt;item&gt;3&lt;/item&gt;&lt;item&gt;4&lt;/item&gt;&lt;item&gt;5&lt;/item&gt;&lt;item&gt;6&lt;/item&gt;&lt;item&gt;7&lt;/item&gt;&lt;item&gt;8&lt;/item&gt;&lt;item&gt;9&lt;/item&gt;&lt;item&gt;10&lt;/item&gt;&lt;item&gt;11&lt;/item&gt;&lt;item&gt;12&lt;/item&gt;&lt;item&gt;13&lt;/item&gt;&lt;item&gt;14&lt;/item&gt;&lt;item&gt;15&lt;/item&gt;&lt;item&gt;16&lt;/item&gt;&lt;item&gt;18&lt;/item&gt;&lt;item&gt;19&lt;/item&gt;&lt;item&gt;20&lt;/item&gt;&lt;item&gt;21&lt;/item&gt;&lt;item&gt;22&lt;/item&gt;&lt;item&gt;23&lt;/item&gt;&lt;item&gt;24&lt;/item&gt;&lt;item&gt;25&lt;/item&gt;&lt;item&gt;26&lt;/item&gt;&lt;item&gt;28&lt;/item&gt;&lt;item&gt;29&lt;/item&gt;&lt;item&gt;30&lt;/item&gt;&lt;item&gt;31&lt;/item&gt;&lt;item&gt;32&lt;/item&gt;&lt;item&gt;33&lt;/item&gt;&lt;item&gt;34&lt;/item&gt;&lt;item&gt;35&lt;/item&gt;&lt;item&gt;36&lt;/item&gt;&lt;item&gt;37&lt;/item&gt;&lt;item&gt;38&lt;/item&gt;&lt;item&gt;39&lt;/item&gt;&lt;item&gt;40&lt;/item&gt;&lt;item&gt;41&lt;/item&gt;&lt;item&gt;42&lt;/item&gt;&lt;item&gt;43&lt;/item&gt;&lt;item&gt;44&lt;/item&gt;&lt;item&gt;45&lt;/item&gt;&lt;item&gt;46&lt;/item&gt;&lt;item&gt;47&lt;/item&gt;&lt;item&gt;48&lt;/item&gt;&lt;item&gt;50&lt;/item&gt;&lt;item&gt;51&lt;/item&gt;&lt;item&gt;52&lt;/item&gt;&lt;item&gt;53&lt;/item&gt;&lt;item&gt;55&lt;/item&gt;&lt;item&gt;56&lt;/item&gt;&lt;item&gt;58&lt;/item&gt;&lt;item&gt;59&lt;/item&gt;&lt;item&gt;60&lt;/item&gt;&lt;item&gt;61&lt;/item&gt;&lt;item&gt;62&lt;/item&gt;&lt;item&gt;63&lt;/item&gt;&lt;item&gt;64&lt;/item&gt;&lt;item&gt;65&lt;/item&gt;&lt;item&gt;66&lt;/item&gt;&lt;item&gt;67&lt;/item&gt;&lt;item&gt;68&lt;/item&gt;&lt;item&gt;69&lt;/item&gt;&lt;item&gt;70&lt;/item&gt;&lt;item&gt;71&lt;/item&gt;&lt;item&gt;72&lt;/item&gt;&lt;item&gt;73&lt;/item&gt;&lt;item&gt;74&lt;/item&gt;&lt;item&gt;75&lt;/item&gt;&lt;item&gt;76&lt;/item&gt;&lt;item&gt;77&lt;/item&gt;&lt;item&gt;78&lt;/item&gt;&lt;item&gt;79&lt;/item&gt;&lt;item&gt;80&lt;/item&gt;&lt;item&gt;81&lt;/item&gt;&lt;item&gt;82&lt;/item&gt;&lt;item&gt;84&lt;/item&gt;&lt;item&gt;85&lt;/item&gt;&lt;item&gt;86&lt;/item&gt;&lt;item&gt;87&lt;/item&gt;&lt;item&gt;88&lt;/item&gt;&lt;item&gt;89&lt;/item&gt;&lt;item&gt;90&lt;/item&gt;&lt;item&gt;91&lt;/item&gt;&lt;item&gt;92&lt;/item&gt;&lt;item&gt;93&lt;/item&gt;&lt;item&gt;94&lt;/item&gt;&lt;item&gt;95&lt;/item&gt;&lt;/record-ids&gt;&lt;/item&gt;&lt;/Libraries&gt;"/>
    <w:docVar w:name="KSO_WPS_MARK_KEY" w:val="f90090f7-611d-47f2-8502-5ecc883e3e55"/>
  </w:docVars>
  <w:rsids>
    <w:rsidRoot w:val="00172A27"/>
    <w:rsid w:val="000008F3"/>
    <w:rsid w:val="00003059"/>
    <w:rsid w:val="00004BD4"/>
    <w:rsid w:val="00006AA7"/>
    <w:rsid w:val="00006B4E"/>
    <w:rsid w:val="00010533"/>
    <w:rsid w:val="00012D66"/>
    <w:rsid w:val="00015394"/>
    <w:rsid w:val="000158F0"/>
    <w:rsid w:val="00015916"/>
    <w:rsid w:val="00020B02"/>
    <w:rsid w:val="00021B0E"/>
    <w:rsid w:val="00026498"/>
    <w:rsid w:val="0002780F"/>
    <w:rsid w:val="000279D3"/>
    <w:rsid w:val="0003055A"/>
    <w:rsid w:val="00036210"/>
    <w:rsid w:val="0003758D"/>
    <w:rsid w:val="00037FEF"/>
    <w:rsid w:val="00040672"/>
    <w:rsid w:val="0004422F"/>
    <w:rsid w:val="00050037"/>
    <w:rsid w:val="00053968"/>
    <w:rsid w:val="0005607F"/>
    <w:rsid w:val="0006439B"/>
    <w:rsid w:val="00065410"/>
    <w:rsid w:val="00065D89"/>
    <w:rsid w:val="000677D1"/>
    <w:rsid w:val="000716FB"/>
    <w:rsid w:val="00072A7F"/>
    <w:rsid w:val="000741C3"/>
    <w:rsid w:val="0008019A"/>
    <w:rsid w:val="0008202E"/>
    <w:rsid w:val="00083592"/>
    <w:rsid w:val="00084FD5"/>
    <w:rsid w:val="00085E83"/>
    <w:rsid w:val="00087DF5"/>
    <w:rsid w:val="000918E2"/>
    <w:rsid w:val="00092E38"/>
    <w:rsid w:val="00093E01"/>
    <w:rsid w:val="00095EA7"/>
    <w:rsid w:val="000962F9"/>
    <w:rsid w:val="00096D98"/>
    <w:rsid w:val="00096F15"/>
    <w:rsid w:val="00097D17"/>
    <w:rsid w:val="000A053D"/>
    <w:rsid w:val="000A19F9"/>
    <w:rsid w:val="000A1DCA"/>
    <w:rsid w:val="000A41CE"/>
    <w:rsid w:val="000A6446"/>
    <w:rsid w:val="000A673B"/>
    <w:rsid w:val="000B4846"/>
    <w:rsid w:val="000B6008"/>
    <w:rsid w:val="000B6490"/>
    <w:rsid w:val="000B64D4"/>
    <w:rsid w:val="000B69F1"/>
    <w:rsid w:val="000B6A71"/>
    <w:rsid w:val="000C01AB"/>
    <w:rsid w:val="000C05BF"/>
    <w:rsid w:val="000C0FB8"/>
    <w:rsid w:val="000C124A"/>
    <w:rsid w:val="000C5B72"/>
    <w:rsid w:val="000C6F9A"/>
    <w:rsid w:val="000C7113"/>
    <w:rsid w:val="000D0F5C"/>
    <w:rsid w:val="000D2AA6"/>
    <w:rsid w:val="000D498E"/>
    <w:rsid w:val="000D4F86"/>
    <w:rsid w:val="000D630D"/>
    <w:rsid w:val="000D6A8B"/>
    <w:rsid w:val="000E081E"/>
    <w:rsid w:val="000E3262"/>
    <w:rsid w:val="000E7B1F"/>
    <w:rsid w:val="000F0876"/>
    <w:rsid w:val="000F2272"/>
    <w:rsid w:val="000F47C7"/>
    <w:rsid w:val="000F63B7"/>
    <w:rsid w:val="000F70E8"/>
    <w:rsid w:val="000F7C2C"/>
    <w:rsid w:val="00101FE7"/>
    <w:rsid w:val="00104697"/>
    <w:rsid w:val="00104825"/>
    <w:rsid w:val="00110488"/>
    <w:rsid w:val="00111968"/>
    <w:rsid w:val="00113DD1"/>
    <w:rsid w:val="00116CBB"/>
    <w:rsid w:val="00120788"/>
    <w:rsid w:val="001220C4"/>
    <w:rsid w:val="00122728"/>
    <w:rsid w:val="00127433"/>
    <w:rsid w:val="00127F28"/>
    <w:rsid w:val="001312CE"/>
    <w:rsid w:val="001338C5"/>
    <w:rsid w:val="00134460"/>
    <w:rsid w:val="00136317"/>
    <w:rsid w:val="00143BF2"/>
    <w:rsid w:val="00145F9D"/>
    <w:rsid w:val="00147F8A"/>
    <w:rsid w:val="0015022B"/>
    <w:rsid w:val="001540A4"/>
    <w:rsid w:val="00154D9A"/>
    <w:rsid w:val="001563F8"/>
    <w:rsid w:val="001615BA"/>
    <w:rsid w:val="00162805"/>
    <w:rsid w:val="00162BE8"/>
    <w:rsid w:val="00166D73"/>
    <w:rsid w:val="00170F0D"/>
    <w:rsid w:val="00172A27"/>
    <w:rsid w:val="001733AA"/>
    <w:rsid w:val="0017373F"/>
    <w:rsid w:val="001753DF"/>
    <w:rsid w:val="00183246"/>
    <w:rsid w:val="001909D4"/>
    <w:rsid w:val="00190A50"/>
    <w:rsid w:val="00191FBF"/>
    <w:rsid w:val="00193B7F"/>
    <w:rsid w:val="00195C6B"/>
    <w:rsid w:val="00196F1E"/>
    <w:rsid w:val="00197264"/>
    <w:rsid w:val="001A19B5"/>
    <w:rsid w:val="001A3DC5"/>
    <w:rsid w:val="001A49BD"/>
    <w:rsid w:val="001A5DA9"/>
    <w:rsid w:val="001B0B8B"/>
    <w:rsid w:val="001B0E66"/>
    <w:rsid w:val="001B6A7F"/>
    <w:rsid w:val="001B7ABD"/>
    <w:rsid w:val="001C03FA"/>
    <w:rsid w:val="001C2987"/>
    <w:rsid w:val="001C3032"/>
    <w:rsid w:val="001C4B74"/>
    <w:rsid w:val="001C4DBF"/>
    <w:rsid w:val="001C5BC7"/>
    <w:rsid w:val="001C7935"/>
    <w:rsid w:val="001D0265"/>
    <w:rsid w:val="001D109C"/>
    <w:rsid w:val="001D3A5C"/>
    <w:rsid w:val="001D3E3C"/>
    <w:rsid w:val="001D58B7"/>
    <w:rsid w:val="001D5F1B"/>
    <w:rsid w:val="001D629C"/>
    <w:rsid w:val="001D70FD"/>
    <w:rsid w:val="001D7D47"/>
    <w:rsid w:val="001E1F88"/>
    <w:rsid w:val="001E26E7"/>
    <w:rsid w:val="001E3A25"/>
    <w:rsid w:val="001E3E39"/>
    <w:rsid w:val="001E4BAC"/>
    <w:rsid w:val="001E5134"/>
    <w:rsid w:val="001F0354"/>
    <w:rsid w:val="001F061A"/>
    <w:rsid w:val="00201794"/>
    <w:rsid w:val="002018CD"/>
    <w:rsid w:val="00201E9F"/>
    <w:rsid w:val="002043BE"/>
    <w:rsid w:val="002070C9"/>
    <w:rsid w:val="0020738E"/>
    <w:rsid w:val="00207AD4"/>
    <w:rsid w:val="00211CC1"/>
    <w:rsid w:val="00212176"/>
    <w:rsid w:val="00212865"/>
    <w:rsid w:val="0021486E"/>
    <w:rsid w:val="0022339E"/>
    <w:rsid w:val="00224B4E"/>
    <w:rsid w:val="00225E73"/>
    <w:rsid w:val="00227462"/>
    <w:rsid w:val="00233484"/>
    <w:rsid w:val="00233761"/>
    <w:rsid w:val="00237E11"/>
    <w:rsid w:val="00237F49"/>
    <w:rsid w:val="002413F6"/>
    <w:rsid w:val="00241609"/>
    <w:rsid w:val="00241FCF"/>
    <w:rsid w:val="00242EB7"/>
    <w:rsid w:val="002441F1"/>
    <w:rsid w:val="00244A43"/>
    <w:rsid w:val="00244FE1"/>
    <w:rsid w:val="002461F4"/>
    <w:rsid w:val="00251A5E"/>
    <w:rsid w:val="0025441D"/>
    <w:rsid w:val="0025579F"/>
    <w:rsid w:val="00255BB5"/>
    <w:rsid w:val="00255F24"/>
    <w:rsid w:val="00257869"/>
    <w:rsid w:val="00260032"/>
    <w:rsid w:val="002602C1"/>
    <w:rsid w:val="00260AC5"/>
    <w:rsid w:val="0026224A"/>
    <w:rsid w:val="0026514E"/>
    <w:rsid w:val="00266B49"/>
    <w:rsid w:val="00271479"/>
    <w:rsid w:val="002721B8"/>
    <w:rsid w:val="00272BD0"/>
    <w:rsid w:val="0027655E"/>
    <w:rsid w:val="002765AC"/>
    <w:rsid w:val="0028538B"/>
    <w:rsid w:val="00287646"/>
    <w:rsid w:val="0029240F"/>
    <w:rsid w:val="00292D60"/>
    <w:rsid w:val="00292F51"/>
    <w:rsid w:val="00294959"/>
    <w:rsid w:val="002A0AA2"/>
    <w:rsid w:val="002A1DD3"/>
    <w:rsid w:val="002A419A"/>
    <w:rsid w:val="002A4732"/>
    <w:rsid w:val="002A58AD"/>
    <w:rsid w:val="002A6246"/>
    <w:rsid w:val="002B21E6"/>
    <w:rsid w:val="002B4840"/>
    <w:rsid w:val="002B4C28"/>
    <w:rsid w:val="002B6AEE"/>
    <w:rsid w:val="002B6FA8"/>
    <w:rsid w:val="002B799E"/>
    <w:rsid w:val="002B7C17"/>
    <w:rsid w:val="002C025D"/>
    <w:rsid w:val="002C46C9"/>
    <w:rsid w:val="002D181D"/>
    <w:rsid w:val="002D3457"/>
    <w:rsid w:val="002D43C0"/>
    <w:rsid w:val="002D4448"/>
    <w:rsid w:val="002D5619"/>
    <w:rsid w:val="002D5969"/>
    <w:rsid w:val="002E16F2"/>
    <w:rsid w:val="002E2590"/>
    <w:rsid w:val="002E2D16"/>
    <w:rsid w:val="002E3B34"/>
    <w:rsid w:val="002E471E"/>
    <w:rsid w:val="002E560A"/>
    <w:rsid w:val="002E596E"/>
    <w:rsid w:val="002E683B"/>
    <w:rsid w:val="002E733A"/>
    <w:rsid w:val="002E7433"/>
    <w:rsid w:val="002F5BF7"/>
    <w:rsid w:val="00302D88"/>
    <w:rsid w:val="00302FF1"/>
    <w:rsid w:val="00305B48"/>
    <w:rsid w:val="00306052"/>
    <w:rsid w:val="003076B9"/>
    <w:rsid w:val="00311578"/>
    <w:rsid w:val="003158D7"/>
    <w:rsid w:val="00316DEF"/>
    <w:rsid w:val="00321CCC"/>
    <w:rsid w:val="00322BD6"/>
    <w:rsid w:val="003231D2"/>
    <w:rsid w:val="0032405B"/>
    <w:rsid w:val="00330D3C"/>
    <w:rsid w:val="00332EC1"/>
    <w:rsid w:val="00335CBE"/>
    <w:rsid w:val="00336D14"/>
    <w:rsid w:val="00336EF8"/>
    <w:rsid w:val="003374AE"/>
    <w:rsid w:val="00341846"/>
    <w:rsid w:val="00341870"/>
    <w:rsid w:val="003448FB"/>
    <w:rsid w:val="003450B6"/>
    <w:rsid w:val="0034715D"/>
    <w:rsid w:val="00350B8B"/>
    <w:rsid w:val="00351D6E"/>
    <w:rsid w:val="00354DF2"/>
    <w:rsid w:val="0035622B"/>
    <w:rsid w:val="0035690F"/>
    <w:rsid w:val="0035710F"/>
    <w:rsid w:val="003579DA"/>
    <w:rsid w:val="00360A81"/>
    <w:rsid w:val="00362D11"/>
    <w:rsid w:val="00362D89"/>
    <w:rsid w:val="00363D4E"/>
    <w:rsid w:val="00363DA7"/>
    <w:rsid w:val="00367CE2"/>
    <w:rsid w:val="00374C65"/>
    <w:rsid w:val="00375098"/>
    <w:rsid w:val="00380A41"/>
    <w:rsid w:val="00381DCA"/>
    <w:rsid w:val="003825B7"/>
    <w:rsid w:val="003838D7"/>
    <w:rsid w:val="003848D4"/>
    <w:rsid w:val="00384CEF"/>
    <w:rsid w:val="0038655F"/>
    <w:rsid w:val="00386E32"/>
    <w:rsid w:val="00390665"/>
    <w:rsid w:val="003909D6"/>
    <w:rsid w:val="003922D4"/>
    <w:rsid w:val="003A2763"/>
    <w:rsid w:val="003A57C6"/>
    <w:rsid w:val="003A721E"/>
    <w:rsid w:val="003A7BFC"/>
    <w:rsid w:val="003B1732"/>
    <w:rsid w:val="003B1EDD"/>
    <w:rsid w:val="003B3E17"/>
    <w:rsid w:val="003B7293"/>
    <w:rsid w:val="003C5D87"/>
    <w:rsid w:val="003C5E79"/>
    <w:rsid w:val="003C79B3"/>
    <w:rsid w:val="003C7FF2"/>
    <w:rsid w:val="003D2471"/>
    <w:rsid w:val="003D2A2E"/>
    <w:rsid w:val="003D2C42"/>
    <w:rsid w:val="003D4CE1"/>
    <w:rsid w:val="003D7564"/>
    <w:rsid w:val="003E1E95"/>
    <w:rsid w:val="003E533D"/>
    <w:rsid w:val="003E64CD"/>
    <w:rsid w:val="003E783A"/>
    <w:rsid w:val="003F3581"/>
    <w:rsid w:val="003F7AB2"/>
    <w:rsid w:val="00402639"/>
    <w:rsid w:val="00403563"/>
    <w:rsid w:val="00404C4F"/>
    <w:rsid w:val="0040678D"/>
    <w:rsid w:val="0040690A"/>
    <w:rsid w:val="004101ED"/>
    <w:rsid w:val="00411D92"/>
    <w:rsid w:val="004160D4"/>
    <w:rsid w:val="00416656"/>
    <w:rsid w:val="00421967"/>
    <w:rsid w:val="00421DB0"/>
    <w:rsid w:val="00422A48"/>
    <w:rsid w:val="004249E3"/>
    <w:rsid w:val="00424BBE"/>
    <w:rsid w:val="00425463"/>
    <w:rsid w:val="00425935"/>
    <w:rsid w:val="00426B50"/>
    <w:rsid w:val="00426C96"/>
    <w:rsid w:val="00430221"/>
    <w:rsid w:val="00432ECE"/>
    <w:rsid w:val="00434C8D"/>
    <w:rsid w:val="0043749C"/>
    <w:rsid w:val="0044239C"/>
    <w:rsid w:val="00442EF8"/>
    <w:rsid w:val="00446A4E"/>
    <w:rsid w:val="0045412E"/>
    <w:rsid w:val="0045434A"/>
    <w:rsid w:val="004555E5"/>
    <w:rsid w:val="004559B6"/>
    <w:rsid w:val="00455C7D"/>
    <w:rsid w:val="00457840"/>
    <w:rsid w:val="004613DB"/>
    <w:rsid w:val="0046245F"/>
    <w:rsid w:val="00465A24"/>
    <w:rsid w:val="00465FF9"/>
    <w:rsid w:val="004667F5"/>
    <w:rsid w:val="00470713"/>
    <w:rsid w:val="004713C8"/>
    <w:rsid w:val="004724B2"/>
    <w:rsid w:val="00476AB3"/>
    <w:rsid w:val="004817B1"/>
    <w:rsid w:val="00481CFA"/>
    <w:rsid w:val="00485CA7"/>
    <w:rsid w:val="00486318"/>
    <w:rsid w:val="00493169"/>
    <w:rsid w:val="0049384B"/>
    <w:rsid w:val="0049410D"/>
    <w:rsid w:val="0049421D"/>
    <w:rsid w:val="0049517B"/>
    <w:rsid w:val="004953C5"/>
    <w:rsid w:val="004A0E31"/>
    <w:rsid w:val="004A1B6B"/>
    <w:rsid w:val="004A2FE1"/>
    <w:rsid w:val="004A3B4E"/>
    <w:rsid w:val="004A411C"/>
    <w:rsid w:val="004A4957"/>
    <w:rsid w:val="004A5DBB"/>
    <w:rsid w:val="004A68F1"/>
    <w:rsid w:val="004A7862"/>
    <w:rsid w:val="004A7DAB"/>
    <w:rsid w:val="004B0350"/>
    <w:rsid w:val="004B0D73"/>
    <w:rsid w:val="004B0E2D"/>
    <w:rsid w:val="004B6723"/>
    <w:rsid w:val="004C193F"/>
    <w:rsid w:val="004C1FF8"/>
    <w:rsid w:val="004C29E1"/>
    <w:rsid w:val="004C4494"/>
    <w:rsid w:val="004C6464"/>
    <w:rsid w:val="004C6DFE"/>
    <w:rsid w:val="004C7A70"/>
    <w:rsid w:val="004D0048"/>
    <w:rsid w:val="004D02A4"/>
    <w:rsid w:val="004D14F5"/>
    <w:rsid w:val="004D1B80"/>
    <w:rsid w:val="004D363A"/>
    <w:rsid w:val="004D47DA"/>
    <w:rsid w:val="004D624D"/>
    <w:rsid w:val="004E016C"/>
    <w:rsid w:val="004E0EF3"/>
    <w:rsid w:val="004E15B5"/>
    <w:rsid w:val="004E2529"/>
    <w:rsid w:val="004E6797"/>
    <w:rsid w:val="004E7E32"/>
    <w:rsid w:val="004E7EB0"/>
    <w:rsid w:val="004F11EF"/>
    <w:rsid w:val="004F2BAC"/>
    <w:rsid w:val="004F3A1F"/>
    <w:rsid w:val="0050123A"/>
    <w:rsid w:val="0050297B"/>
    <w:rsid w:val="0050377E"/>
    <w:rsid w:val="00503B5C"/>
    <w:rsid w:val="00507C3F"/>
    <w:rsid w:val="00507CC6"/>
    <w:rsid w:val="005104E4"/>
    <w:rsid w:val="00512237"/>
    <w:rsid w:val="00512C10"/>
    <w:rsid w:val="00513D1D"/>
    <w:rsid w:val="0052137E"/>
    <w:rsid w:val="005219AA"/>
    <w:rsid w:val="005224E6"/>
    <w:rsid w:val="00524EA5"/>
    <w:rsid w:val="00526A04"/>
    <w:rsid w:val="00527C91"/>
    <w:rsid w:val="00533736"/>
    <w:rsid w:val="005351A3"/>
    <w:rsid w:val="00541537"/>
    <w:rsid w:val="00542534"/>
    <w:rsid w:val="0054463A"/>
    <w:rsid w:val="005524A4"/>
    <w:rsid w:val="0055329D"/>
    <w:rsid w:val="005534BB"/>
    <w:rsid w:val="00560744"/>
    <w:rsid w:val="005618BD"/>
    <w:rsid w:val="0056471F"/>
    <w:rsid w:val="00564F1B"/>
    <w:rsid w:val="00565FB9"/>
    <w:rsid w:val="005669B8"/>
    <w:rsid w:val="00570910"/>
    <w:rsid w:val="005714BE"/>
    <w:rsid w:val="00571560"/>
    <w:rsid w:val="00572D73"/>
    <w:rsid w:val="00573362"/>
    <w:rsid w:val="0057609B"/>
    <w:rsid w:val="0058007B"/>
    <w:rsid w:val="00580DF6"/>
    <w:rsid w:val="00581126"/>
    <w:rsid w:val="00581AF4"/>
    <w:rsid w:val="005842C1"/>
    <w:rsid w:val="005843D8"/>
    <w:rsid w:val="0058708B"/>
    <w:rsid w:val="00591563"/>
    <w:rsid w:val="00592C95"/>
    <w:rsid w:val="00597AD5"/>
    <w:rsid w:val="005A0FFA"/>
    <w:rsid w:val="005A11EF"/>
    <w:rsid w:val="005A3A0C"/>
    <w:rsid w:val="005A5FCA"/>
    <w:rsid w:val="005A710D"/>
    <w:rsid w:val="005B26EC"/>
    <w:rsid w:val="005B2FD1"/>
    <w:rsid w:val="005B5AFE"/>
    <w:rsid w:val="005B6925"/>
    <w:rsid w:val="005B6E27"/>
    <w:rsid w:val="005C113C"/>
    <w:rsid w:val="005C2213"/>
    <w:rsid w:val="005D206B"/>
    <w:rsid w:val="005D3DED"/>
    <w:rsid w:val="005E1DE3"/>
    <w:rsid w:val="005E23BF"/>
    <w:rsid w:val="005E25C4"/>
    <w:rsid w:val="005E359F"/>
    <w:rsid w:val="005E7247"/>
    <w:rsid w:val="005E742B"/>
    <w:rsid w:val="005F0553"/>
    <w:rsid w:val="005F4CC1"/>
    <w:rsid w:val="005F57E2"/>
    <w:rsid w:val="005F68A1"/>
    <w:rsid w:val="00616267"/>
    <w:rsid w:val="00617963"/>
    <w:rsid w:val="00617CA2"/>
    <w:rsid w:val="00617CE7"/>
    <w:rsid w:val="00620EE9"/>
    <w:rsid w:val="0062283E"/>
    <w:rsid w:val="006236C4"/>
    <w:rsid w:val="00626509"/>
    <w:rsid w:val="006269E3"/>
    <w:rsid w:val="006277D8"/>
    <w:rsid w:val="00632174"/>
    <w:rsid w:val="00632D3C"/>
    <w:rsid w:val="006355CE"/>
    <w:rsid w:val="00636700"/>
    <w:rsid w:val="00636B43"/>
    <w:rsid w:val="00637FFB"/>
    <w:rsid w:val="00640016"/>
    <w:rsid w:val="006421F6"/>
    <w:rsid w:val="00653CD5"/>
    <w:rsid w:val="00654977"/>
    <w:rsid w:val="00654A1E"/>
    <w:rsid w:val="00656FB3"/>
    <w:rsid w:val="00660284"/>
    <w:rsid w:val="00661E5C"/>
    <w:rsid w:val="006632A7"/>
    <w:rsid w:val="0066620E"/>
    <w:rsid w:val="00670342"/>
    <w:rsid w:val="00670DB7"/>
    <w:rsid w:val="00670FDD"/>
    <w:rsid w:val="006715B8"/>
    <w:rsid w:val="00672DF7"/>
    <w:rsid w:val="00673D7A"/>
    <w:rsid w:val="006773EB"/>
    <w:rsid w:val="0068152D"/>
    <w:rsid w:val="0068402E"/>
    <w:rsid w:val="00690B05"/>
    <w:rsid w:val="00695602"/>
    <w:rsid w:val="006959D5"/>
    <w:rsid w:val="00696A40"/>
    <w:rsid w:val="00697161"/>
    <w:rsid w:val="006A0E20"/>
    <w:rsid w:val="006A2349"/>
    <w:rsid w:val="006A26D9"/>
    <w:rsid w:val="006A2AD4"/>
    <w:rsid w:val="006A4B81"/>
    <w:rsid w:val="006A536E"/>
    <w:rsid w:val="006B193C"/>
    <w:rsid w:val="006B1A1B"/>
    <w:rsid w:val="006B3EFF"/>
    <w:rsid w:val="006C05C0"/>
    <w:rsid w:val="006C0C73"/>
    <w:rsid w:val="006C0CF9"/>
    <w:rsid w:val="006C12C5"/>
    <w:rsid w:val="006C1694"/>
    <w:rsid w:val="006C4F01"/>
    <w:rsid w:val="006C54A8"/>
    <w:rsid w:val="006C61CA"/>
    <w:rsid w:val="006C6AC8"/>
    <w:rsid w:val="006D1B8B"/>
    <w:rsid w:val="006D60D7"/>
    <w:rsid w:val="006D6E8D"/>
    <w:rsid w:val="006D71C4"/>
    <w:rsid w:val="006D790D"/>
    <w:rsid w:val="006E3795"/>
    <w:rsid w:val="006E54AA"/>
    <w:rsid w:val="006E55B2"/>
    <w:rsid w:val="006E5ED3"/>
    <w:rsid w:val="006E7F2A"/>
    <w:rsid w:val="006F0F6B"/>
    <w:rsid w:val="006F372E"/>
    <w:rsid w:val="00704128"/>
    <w:rsid w:val="007046AD"/>
    <w:rsid w:val="007061A5"/>
    <w:rsid w:val="00710A46"/>
    <w:rsid w:val="007127A6"/>
    <w:rsid w:val="00714928"/>
    <w:rsid w:val="00716475"/>
    <w:rsid w:val="00716A97"/>
    <w:rsid w:val="007201DC"/>
    <w:rsid w:val="0072171A"/>
    <w:rsid w:val="00721BBB"/>
    <w:rsid w:val="00722B3E"/>
    <w:rsid w:val="00724975"/>
    <w:rsid w:val="00724BE5"/>
    <w:rsid w:val="00724CAA"/>
    <w:rsid w:val="00725556"/>
    <w:rsid w:val="007301FD"/>
    <w:rsid w:val="00731CE6"/>
    <w:rsid w:val="00731EB1"/>
    <w:rsid w:val="00734468"/>
    <w:rsid w:val="007345B9"/>
    <w:rsid w:val="00736B1D"/>
    <w:rsid w:val="007374B1"/>
    <w:rsid w:val="00743B34"/>
    <w:rsid w:val="00744D42"/>
    <w:rsid w:val="00752488"/>
    <w:rsid w:val="00753ADC"/>
    <w:rsid w:val="00753CE8"/>
    <w:rsid w:val="00754701"/>
    <w:rsid w:val="00754E74"/>
    <w:rsid w:val="00755DCD"/>
    <w:rsid w:val="0076061A"/>
    <w:rsid w:val="007609D1"/>
    <w:rsid w:val="0076303A"/>
    <w:rsid w:val="007645CA"/>
    <w:rsid w:val="00764B2B"/>
    <w:rsid w:val="007650F3"/>
    <w:rsid w:val="00765100"/>
    <w:rsid w:val="00766EF6"/>
    <w:rsid w:val="00767542"/>
    <w:rsid w:val="007678B6"/>
    <w:rsid w:val="00773AAB"/>
    <w:rsid w:val="007763E0"/>
    <w:rsid w:val="007809AD"/>
    <w:rsid w:val="00785399"/>
    <w:rsid w:val="007855A5"/>
    <w:rsid w:val="007873A8"/>
    <w:rsid w:val="00791FC3"/>
    <w:rsid w:val="007A0B46"/>
    <w:rsid w:val="007A14FB"/>
    <w:rsid w:val="007A1683"/>
    <w:rsid w:val="007A341A"/>
    <w:rsid w:val="007A6048"/>
    <w:rsid w:val="007B0AE9"/>
    <w:rsid w:val="007B29BA"/>
    <w:rsid w:val="007B4853"/>
    <w:rsid w:val="007B63BD"/>
    <w:rsid w:val="007B6EA1"/>
    <w:rsid w:val="007C2358"/>
    <w:rsid w:val="007C260B"/>
    <w:rsid w:val="007C2A66"/>
    <w:rsid w:val="007C713D"/>
    <w:rsid w:val="007D1974"/>
    <w:rsid w:val="007D1C0C"/>
    <w:rsid w:val="007D2601"/>
    <w:rsid w:val="007D2657"/>
    <w:rsid w:val="007D3D6E"/>
    <w:rsid w:val="007D5D5A"/>
    <w:rsid w:val="007D74E6"/>
    <w:rsid w:val="007D7C11"/>
    <w:rsid w:val="007E05F7"/>
    <w:rsid w:val="007E2FDE"/>
    <w:rsid w:val="007E3297"/>
    <w:rsid w:val="007E3576"/>
    <w:rsid w:val="007E4158"/>
    <w:rsid w:val="007E55F7"/>
    <w:rsid w:val="007E5C1F"/>
    <w:rsid w:val="007E7B1D"/>
    <w:rsid w:val="007E7D25"/>
    <w:rsid w:val="007F18D6"/>
    <w:rsid w:val="007F235B"/>
    <w:rsid w:val="007F5B58"/>
    <w:rsid w:val="007F627C"/>
    <w:rsid w:val="007F6B30"/>
    <w:rsid w:val="007F6D74"/>
    <w:rsid w:val="00800B46"/>
    <w:rsid w:val="00800C3A"/>
    <w:rsid w:val="008032AF"/>
    <w:rsid w:val="0080334D"/>
    <w:rsid w:val="00806159"/>
    <w:rsid w:val="00806DA6"/>
    <w:rsid w:val="008131F1"/>
    <w:rsid w:val="00814F5B"/>
    <w:rsid w:val="00816B98"/>
    <w:rsid w:val="0082037D"/>
    <w:rsid w:val="00821024"/>
    <w:rsid w:val="008226B8"/>
    <w:rsid w:val="0082303E"/>
    <w:rsid w:val="008243E8"/>
    <w:rsid w:val="00824E0A"/>
    <w:rsid w:val="0083051B"/>
    <w:rsid w:val="00833296"/>
    <w:rsid w:val="0083380A"/>
    <w:rsid w:val="00836913"/>
    <w:rsid w:val="00836F8F"/>
    <w:rsid w:val="00840810"/>
    <w:rsid w:val="00847F9D"/>
    <w:rsid w:val="00853FC0"/>
    <w:rsid w:val="008624D1"/>
    <w:rsid w:val="008635A2"/>
    <w:rsid w:val="00863E22"/>
    <w:rsid w:val="00864FAF"/>
    <w:rsid w:val="008663C2"/>
    <w:rsid w:val="00866DFA"/>
    <w:rsid w:val="0086703C"/>
    <w:rsid w:val="00867ADE"/>
    <w:rsid w:val="00871A8C"/>
    <w:rsid w:val="008726EF"/>
    <w:rsid w:val="00872D6B"/>
    <w:rsid w:val="00880315"/>
    <w:rsid w:val="00883581"/>
    <w:rsid w:val="00885D8A"/>
    <w:rsid w:val="00885E99"/>
    <w:rsid w:val="00886333"/>
    <w:rsid w:val="008868EF"/>
    <w:rsid w:val="00887C57"/>
    <w:rsid w:val="00890457"/>
    <w:rsid w:val="00890DFD"/>
    <w:rsid w:val="0089411D"/>
    <w:rsid w:val="008949FD"/>
    <w:rsid w:val="00897B88"/>
    <w:rsid w:val="00897F80"/>
    <w:rsid w:val="008A06F5"/>
    <w:rsid w:val="008A0E92"/>
    <w:rsid w:val="008A25A3"/>
    <w:rsid w:val="008A36F9"/>
    <w:rsid w:val="008A4CD5"/>
    <w:rsid w:val="008A4E00"/>
    <w:rsid w:val="008A55A8"/>
    <w:rsid w:val="008A6953"/>
    <w:rsid w:val="008B0CB9"/>
    <w:rsid w:val="008B1278"/>
    <w:rsid w:val="008B1E39"/>
    <w:rsid w:val="008B27A8"/>
    <w:rsid w:val="008B30AA"/>
    <w:rsid w:val="008B3B3B"/>
    <w:rsid w:val="008B5427"/>
    <w:rsid w:val="008B6F58"/>
    <w:rsid w:val="008C04F1"/>
    <w:rsid w:val="008C140F"/>
    <w:rsid w:val="008C4764"/>
    <w:rsid w:val="008C4EB7"/>
    <w:rsid w:val="008C5B68"/>
    <w:rsid w:val="008C6CEE"/>
    <w:rsid w:val="008C74FD"/>
    <w:rsid w:val="008C7539"/>
    <w:rsid w:val="008D0E09"/>
    <w:rsid w:val="008D13B2"/>
    <w:rsid w:val="008D21DD"/>
    <w:rsid w:val="008D27AE"/>
    <w:rsid w:val="008D414C"/>
    <w:rsid w:val="008D5953"/>
    <w:rsid w:val="008D7AFD"/>
    <w:rsid w:val="008D7E3D"/>
    <w:rsid w:val="008E0E96"/>
    <w:rsid w:val="008E2460"/>
    <w:rsid w:val="008E2990"/>
    <w:rsid w:val="008E335D"/>
    <w:rsid w:val="008E4C19"/>
    <w:rsid w:val="008E6343"/>
    <w:rsid w:val="008F0DA6"/>
    <w:rsid w:val="008F17A5"/>
    <w:rsid w:val="008F4A11"/>
    <w:rsid w:val="008F556C"/>
    <w:rsid w:val="008F7A28"/>
    <w:rsid w:val="009001D5"/>
    <w:rsid w:val="009021B2"/>
    <w:rsid w:val="00902FDA"/>
    <w:rsid w:val="00910F4E"/>
    <w:rsid w:val="00913733"/>
    <w:rsid w:val="0091620A"/>
    <w:rsid w:val="00917F2F"/>
    <w:rsid w:val="00921832"/>
    <w:rsid w:val="00922358"/>
    <w:rsid w:val="00925B4A"/>
    <w:rsid w:val="00925FD8"/>
    <w:rsid w:val="009267E4"/>
    <w:rsid w:val="00927C81"/>
    <w:rsid w:val="00933D2B"/>
    <w:rsid w:val="0093488E"/>
    <w:rsid w:val="009349DE"/>
    <w:rsid w:val="0093546D"/>
    <w:rsid w:val="009356C2"/>
    <w:rsid w:val="00936294"/>
    <w:rsid w:val="00936653"/>
    <w:rsid w:val="00941444"/>
    <w:rsid w:val="00943236"/>
    <w:rsid w:val="00943876"/>
    <w:rsid w:val="00945A92"/>
    <w:rsid w:val="00947BDB"/>
    <w:rsid w:val="00951170"/>
    <w:rsid w:val="009513DF"/>
    <w:rsid w:val="00951D51"/>
    <w:rsid w:val="0095256A"/>
    <w:rsid w:val="00953B5F"/>
    <w:rsid w:val="00954BA9"/>
    <w:rsid w:val="00956487"/>
    <w:rsid w:val="00960393"/>
    <w:rsid w:val="00960A54"/>
    <w:rsid w:val="00960C70"/>
    <w:rsid w:val="00961153"/>
    <w:rsid w:val="009654E6"/>
    <w:rsid w:val="00966263"/>
    <w:rsid w:val="0096739C"/>
    <w:rsid w:val="0096790D"/>
    <w:rsid w:val="00970B9A"/>
    <w:rsid w:val="009723A2"/>
    <w:rsid w:val="009743EF"/>
    <w:rsid w:val="009769CA"/>
    <w:rsid w:val="00980825"/>
    <w:rsid w:val="00983BF3"/>
    <w:rsid w:val="00985F66"/>
    <w:rsid w:val="00986125"/>
    <w:rsid w:val="009871CB"/>
    <w:rsid w:val="00987F04"/>
    <w:rsid w:val="0099508E"/>
    <w:rsid w:val="009A2A6F"/>
    <w:rsid w:val="009A38D1"/>
    <w:rsid w:val="009A3BC1"/>
    <w:rsid w:val="009A51EA"/>
    <w:rsid w:val="009B16D6"/>
    <w:rsid w:val="009B414A"/>
    <w:rsid w:val="009B41BE"/>
    <w:rsid w:val="009B50B5"/>
    <w:rsid w:val="009B5D79"/>
    <w:rsid w:val="009B5FBC"/>
    <w:rsid w:val="009B6515"/>
    <w:rsid w:val="009B6A0C"/>
    <w:rsid w:val="009B6E2F"/>
    <w:rsid w:val="009C1197"/>
    <w:rsid w:val="009C31B3"/>
    <w:rsid w:val="009C37E5"/>
    <w:rsid w:val="009C4419"/>
    <w:rsid w:val="009C512B"/>
    <w:rsid w:val="009C6120"/>
    <w:rsid w:val="009D19B7"/>
    <w:rsid w:val="009D311D"/>
    <w:rsid w:val="009D5665"/>
    <w:rsid w:val="009D69A5"/>
    <w:rsid w:val="009E3AD0"/>
    <w:rsid w:val="009E5115"/>
    <w:rsid w:val="009E5D18"/>
    <w:rsid w:val="009E68B1"/>
    <w:rsid w:val="009F1D93"/>
    <w:rsid w:val="009F6D23"/>
    <w:rsid w:val="00A00604"/>
    <w:rsid w:val="00A02454"/>
    <w:rsid w:val="00A024E2"/>
    <w:rsid w:val="00A032BD"/>
    <w:rsid w:val="00A0788D"/>
    <w:rsid w:val="00A116C5"/>
    <w:rsid w:val="00A11F48"/>
    <w:rsid w:val="00A13FEA"/>
    <w:rsid w:val="00A1608D"/>
    <w:rsid w:val="00A17575"/>
    <w:rsid w:val="00A17648"/>
    <w:rsid w:val="00A20131"/>
    <w:rsid w:val="00A20BCC"/>
    <w:rsid w:val="00A21D6C"/>
    <w:rsid w:val="00A24541"/>
    <w:rsid w:val="00A2499F"/>
    <w:rsid w:val="00A25EF0"/>
    <w:rsid w:val="00A26E1B"/>
    <w:rsid w:val="00A30489"/>
    <w:rsid w:val="00A308E1"/>
    <w:rsid w:val="00A32FB9"/>
    <w:rsid w:val="00A330BC"/>
    <w:rsid w:val="00A355A0"/>
    <w:rsid w:val="00A36D56"/>
    <w:rsid w:val="00A46122"/>
    <w:rsid w:val="00A507E5"/>
    <w:rsid w:val="00A50C85"/>
    <w:rsid w:val="00A50EE0"/>
    <w:rsid w:val="00A5538D"/>
    <w:rsid w:val="00A55D9F"/>
    <w:rsid w:val="00A55F8F"/>
    <w:rsid w:val="00A5755A"/>
    <w:rsid w:val="00A57B9E"/>
    <w:rsid w:val="00A600E5"/>
    <w:rsid w:val="00A61E3F"/>
    <w:rsid w:val="00A63CE9"/>
    <w:rsid w:val="00A6472B"/>
    <w:rsid w:val="00A6516F"/>
    <w:rsid w:val="00A70157"/>
    <w:rsid w:val="00A71D1A"/>
    <w:rsid w:val="00A73D6E"/>
    <w:rsid w:val="00A74DD4"/>
    <w:rsid w:val="00A757CB"/>
    <w:rsid w:val="00A75D34"/>
    <w:rsid w:val="00A76DB2"/>
    <w:rsid w:val="00A8171A"/>
    <w:rsid w:val="00A8177E"/>
    <w:rsid w:val="00A821D8"/>
    <w:rsid w:val="00A825C8"/>
    <w:rsid w:val="00A843E3"/>
    <w:rsid w:val="00A8674D"/>
    <w:rsid w:val="00A87ECB"/>
    <w:rsid w:val="00A90254"/>
    <w:rsid w:val="00A90788"/>
    <w:rsid w:val="00A91D2B"/>
    <w:rsid w:val="00A94501"/>
    <w:rsid w:val="00A94A14"/>
    <w:rsid w:val="00A95B25"/>
    <w:rsid w:val="00A96771"/>
    <w:rsid w:val="00A9701A"/>
    <w:rsid w:val="00A974F2"/>
    <w:rsid w:val="00AA06E7"/>
    <w:rsid w:val="00AA0749"/>
    <w:rsid w:val="00AA40CB"/>
    <w:rsid w:val="00AA4A16"/>
    <w:rsid w:val="00AA7B19"/>
    <w:rsid w:val="00AB17EE"/>
    <w:rsid w:val="00AB1FAD"/>
    <w:rsid w:val="00AB257D"/>
    <w:rsid w:val="00AB3BD7"/>
    <w:rsid w:val="00AB40F5"/>
    <w:rsid w:val="00AB42E4"/>
    <w:rsid w:val="00AB4AA9"/>
    <w:rsid w:val="00AB4CDE"/>
    <w:rsid w:val="00AB5128"/>
    <w:rsid w:val="00AC13AA"/>
    <w:rsid w:val="00AC155F"/>
    <w:rsid w:val="00AC1BD3"/>
    <w:rsid w:val="00AC41B0"/>
    <w:rsid w:val="00AC44F7"/>
    <w:rsid w:val="00AD08FE"/>
    <w:rsid w:val="00AD0BF6"/>
    <w:rsid w:val="00AD4336"/>
    <w:rsid w:val="00AD4670"/>
    <w:rsid w:val="00AE00DB"/>
    <w:rsid w:val="00AE2B71"/>
    <w:rsid w:val="00AE2C9B"/>
    <w:rsid w:val="00AE30CB"/>
    <w:rsid w:val="00AE32D0"/>
    <w:rsid w:val="00AE3752"/>
    <w:rsid w:val="00AE647A"/>
    <w:rsid w:val="00AE66C4"/>
    <w:rsid w:val="00AE7526"/>
    <w:rsid w:val="00AF25A6"/>
    <w:rsid w:val="00AF2DB0"/>
    <w:rsid w:val="00AF3826"/>
    <w:rsid w:val="00AF56DD"/>
    <w:rsid w:val="00B01A73"/>
    <w:rsid w:val="00B04344"/>
    <w:rsid w:val="00B05818"/>
    <w:rsid w:val="00B06CE1"/>
    <w:rsid w:val="00B07955"/>
    <w:rsid w:val="00B104B8"/>
    <w:rsid w:val="00B11D69"/>
    <w:rsid w:val="00B11FC1"/>
    <w:rsid w:val="00B132F9"/>
    <w:rsid w:val="00B13CA6"/>
    <w:rsid w:val="00B13E67"/>
    <w:rsid w:val="00B143AB"/>
    <w:rsid w:val="00B14F7B"/>
    <w:rsid w:val="00B160A2"/>
    <w:rsid w:val="00B167DF"/>
    <w:rsid w:val="00B20AA4"/>
    <w:rsid w:val="00B21D34"/>
    <w:rsid w:val="00B227FB"/>
    <w:rsid w:val="00B27D29"/>
    <w:rsid w:val="00B30D25"/>
    <w:rsid w:val="00B3106C"/>
    <w:rsid w:val="00B33AE3"/>
    <w:rsid w:val="00B35D1E"/>
    <w:rsid w:val="00B3634E"/>
    <w:rsid w:val="00B40527"/>
    <w:rsid w:val="00B424F1"/>
    <w:rsid w:val="00B42911"/>
    <w:rsid w:val="00B44F47"/>
    <w:rsid w:val="00B451D3"/>
    <w:rsid w:val="00B4563C"/>
    <w:rsid w:val="00B47DDC"/>
    <w:rsid w:val="00B537E7"/>
    <w:rsid w:val="00B53EDC"/>
    <w:rsid w:val="00B56A13"/>
    <w:rsid w:val="00B60552"/>
    <w:rsid w:val="00B60E73"/>
    <w:rsid w:val="00B60E8D"/>
    <w:rsid w:val="00B61229"/>
    <w:rsid w:val="00B65F0A"/>
    <w:rsid w:val="00B670F7"/>
    <w:rsid w:val="00B67E5C"/>
    <w:rsid w:val="00B72517"/>
    <w:rsid w:val="00B73896"/>
    <w:rsid w:val="00B73D8F"/>
    <w:rsid w:val="00B744FD"/>
    <w:rsid w:val="00B75BBC"/>
    <w:rsid w:val="00B768AF"/>
    <w:rsid w:val="00B77DE0"/>
    <w:rsid w:val="00B8160F"/>
    <w:rsid w:val="00B8184E"/>
    <w:rsid w:val="00B81A1C"/>
    <w:rsid w:val="00B8362F"/>
    <w:rsid w:val="00B87E10"/>
    <w:rsid w:val="00B90D68"/>
    <w:rsid w:val="00B90FBF"/>
    <w:rsid w:val="00B91849"/>
    <w:rsid w:val="00BA0089"/>
    <w:rsid w:val="00BA3FE1"/>
    <w:rsid w:val="00BA4AB7"/>
    <w:rsid w:val="00BA54E9"/>
    <w:rsid w:val="00BA5869"/>
    <w:rsid w:val="00BA5BED"/>
    <w:rsid w:val="00BB1A32"/>
    <w:rsid w:val="00BB1D93"/>
    <w:rsid w:val="00BB312A"/>
    <w:rsid w:val="00BB379B"/>
    <w:rsid w:val="00BB722C"/>
    <w:rsid w:val="00BB786F"/>
    <w:rsid w:val="00BC24A1"/>
    <w:rsid w:val="00BC2CFA"/>
    <w:rsid w:val="00BC3AD4"/>
    <w:rsid w:val="00BC3E92"/>
    <w:rsid w:val="00BC6348"/>
    <w:rsid w:val="00BC681C"/>
    <w:rsid w:val="00BD324E"/>
    <w:rsid w:val="00BD5EF8"/>
    <w:rsid w:val="00BD5FAC"/>
    <w:rsid w:val="00BD6169"/>
    <w:rsid w:val="00BE1D64"/>
    <w:rsid w:val="00BE1F53"/>
    <w:rsid w:val="00BE5D53"/>
    <w:rsid w:val="00BE777C"/>
    <w:rsid w:val="00BE7D55"/>
    <w:rsid w:val="00BF199E"/>
    <w:rsid w:val="00BF343A"/>
    <w:rsid w:val="00BF3E5A"/>
    <w:rsid w:val="00BF4349"/>
    <w:rsid w:val="00BF5107"/>
    <w:rsid w:val="00BF5479"/>
    <w:rsid w:val="00BF6BAA"/>
    <w:rsid w:val="00C02DB9"/>
    <w:rsid w:val="00C06E38"/>
    <w:rsid w:val="00C10564"/>
    <w:rsid w:val="00C11C6B"/>
    <w:rsid w:val="00C12394"/>
    <w:rsid w:val="00C12CDD"/>
    <w:rsid w:val="00C16FD8"/>
    <w:rsid w:val="00C2073E"/>
    <w:rsid w:val="00C2155A"/>
    <w:rsid w:val="00C21807"/>
    <w:rsid w:val="00C22958"/>
    <w:rsid w:val="00C23EE0"/>
    <w:rsid w:val="00C252B9"/>
    <w:rsid w:val="00C25308"/>
    <w:rsid w:val="00C256DA"/>
    <w:rsid w:val="00C35AB4"/>
    <w:rsid w:val="00C375AF"/>
    <w:rsid w:val="00C4076E"/>
    <w:rsid w:val="00C423A9"/>
    <w:rsid w:val="00C4531B"/>
    <w:rsid w:val="00C4571A"/>
    <w:rsid w:val="00C51AA9"/>
    <w:rsid w:val="00C520EB"/>
    <w:rsid w:val="00C52770"/>
    <w:rsid w:val="00C55392"/>
    <w:rsid w:val="00C55401"/>
    <w:rsid w:val="00C55D58"/>
    <w:rsid w:val="00C56318"/>
    <w:rsid w:val="00C56959"/>
    <w:rsid w:val="00C57185"/>
    <w:rsid w:val="00C63E05"/>
    <w:rsid w:val="00C70B4E"/>
    <w:rsid w:val="00C71069"/>
    <w:rsid w:val="00C717DB"/>
    <w:rsid w:val="00C72E35"/>
    <w:rsid w:val="00C77A3E"/>
    <w:rsid w:val="00C84230"/>
    <w:rsid w:val="00C907F6"/>
    <w:rsid w:val="00C90B36"/>
    <w:rsid w:val="00C93D88"/>
    <w:rsid w:val="00C94A33"/>
    <w:rsid w:val="00C978FD"/>
    <w:rsid w:val="00CA02FE"/>
    <w:rsid w:val="00CA166C"/>
    <w:rsid w:val="00CA46A3"/>
    <w:rsid w:val="00CA66B2"/>
    <w:rsid w:val="00CA7E2B"/>
    <w:rsid w:val="00CB0291"/>
    <w:rsid w:val="00CB29BD"/>
    <w:rsid w:val="00CB2A8B"/>
    <w:rsid w:val="00CB3585"/>
    <w:rsid w:val="00CB4285"/>
    <w:rsid w:val="00CB5A25"/>
    <w:rsid w:val="00CB658E"/>
    <w:rsid w:val="00CC43C5"/>
    <w:rsid w:val="00CC6408"/>
    <w:rsid w:val="00CC7E68"/>
    <w:rsid w:val="00CD2CAD"/>
    <w:rsid w:val="00CD43A0"/>
    <w:rsid w:val="00CD50AB"/>
    <w:rsid w:val="00CE43A4"/>
    <w:rsid w:val="00CE4416"/>
    <w:rsid w:val="00CE49AA"/>
    <w:rsid w:val="00CE6434"/>
    <w:rsid w:val="00CF0182"/>
    <w:rsid w:val="00CF033F"/>
    <w:rsid w:val="00CF1D87"/>
    <w:rsid w:val="00CF2F3A"/>
    <w:rsid w:val="00CF39FA"/>
    <w:rsid w:val="00CF51DF"/>
    <w:rsid w:val="00CF7431"/>
    <w:rsid w:val="00D039E6"/>
    <w:rsid w:val="00D03FC9"/>
    <w:rsid w:val="00D04D78"/>
    <w:rsid w:val="00D11BA1"/>
    <w:rsid w:val="00D12FE9"/>
    <w:rsid w:val="00D1531A"/>
    <w:rsid w:val="00D2014F"/>
    <w:rsid w:val="00D20456"/>
    <w:rsid w:val="00D20CD6"/>
    <w:rsid w:val="00D21EF3"/>
    <w:rsid w:val="00D2758E"/>
    <w:rsid w:val="00D32C21"/>
    <w:rsid w:val="00D33EA7"/>
    <w:rsid w:val="00D345A7"/>
    <w:rsid w:val="00D34924"/>
    <w:rsid w:val="00D349CD"/>
    <w:rsid w:val="00D36811"/>
    <w:rsid w:val="00D377DE"/>
    <w:rsid w:val="00D402D0"/>
    <w:rsid w:val="00D404B7"/>
    <w:rsid w:val="00D40FE9"/>
    <w:rsid w:val="00D410AD"/>
    <w:rsid w:val="00D41AFD"/>
    <w:rsid w:val="00D427C8"/>
    <w:rsid w:val="00D43376"/>
    <w:rsid w:val="00D44D99"/>
    <w:rsid w:val="00D4656F"/>
    <w:rsid w:val="00D47041"/>
    <w:rsid w:val="00D4722B"/>
    <w:rsid w:val="00D47AEA"/>
    <w:rsid w:val="00D47C97"/>
    <w:rsid w:val="00D50F96"/>
    <w:rsid w:val="00D52DFD"/>
    <w:rsid w:val="00D541E4"/>
    <w:rsid w:val="00D544A8"/>
    <w:rsid w:val="00D55F15"/>
    <w:rsid w:val="00D56F33"/>
    <w:rsid w:val="00D62344"/>
    <w:rsid w:val="00D6357D"/>
    <w:rsid w:val="00D71AAA"/>
    <w:rsid w:val="00D72A5C"/>
    <w:rsid w:val="00D735D6"/>
    <w:rsid w:val="00D7361C"/>
    <w:rsid w:val="00D74897"/>
    <w:rsid w:val="00D755F9"/>
    <w:rsid w:val="00D764E5"/>
    <w:rsid w:val="00D7704B"/>
    <w:rsid w:val="00D77C47"/>
    <w:rsid w:val="00D8164A"/>
    <w:rsid w:val="00D82936"/>
    <w:rsid w:val="00D83B92"/>
    <w:rsid w:val="00D86ABC"/>
    <w:rsid w:val="00D87702"/>
    <w:rsid w:val="00D93260"/>
    <w:rsid w:val="00D93DF9"/>
    <w:rsid w:val="00D959D4"/>
    <w:rsid w:val="00DA08E0"/>
    <w:rsid w:val="00DA2271"/>
    <w:rsid w:val="00DA2A33"/>
    <w:rsid w:val="00DA3730"/>
    <w:rsid w:val="00DA6CF8"/>
    <w:rsid w:val="00DB1194"/>
    <w:rsid w:val="00DB5E5D"/>
    <w:rsid w:val="00DB74D9"/>
    <w:rsid w:val="00DB7C9F"/>
    <w:rsid w:val="00DC109D"/>
    <w:rsid w:val="00DC2BD9"/>
    <w:rsid w:val="00DC5165"/>
    <w:rsid w:val="00DD0B48"/>
    <w:rsid w:val="00DD0F2E"/>
    <w:rsid w:val="00DD1315"/>
    <w:rsid w:val="00DD4E31"/>
    <w:rsid w:val="00DE297F"/>
    <w:rsid w:val="00DE60EE"/>
    <w:rsid w:val="00DE6181"/>
    <w:rsid w:val="00DE69F9"/>
    <w:rsid w:val="00DE6DE8"/>
    <w:rsid w:val="00DE7209"/>
    <w:rsid w:val="00DF174B"/>
    <w:rsid w:val="00DF381F"/>
    <w:rsid w:val="00DF3C86"/>
    <w:rsid w:val="00DF5682"/>
    <w:rsid w:val="00E0223F"/>
    <w:rsid w:val="00E0437A"/>
    <w:rsid w:val="00E05DDC"/>
    <w:rsid w:val="00E06137"/>
    <w:rsid w:val="00E126F5"/>
    <w:rsid w:val="00E1504F"/>
    <w:rsid w:val="00E15906"/>
    <w:rsid w:val="00E15C30"/>
    <w:rsid w:val="00E2160B"/>
    <w:rsid w:val="00E21877"/>
    <w:rsid w:val="00E21DD1"/>
    <w:rsid w:val="00E24896"/>
    <w:rsid w:val="00E345BA"/>
    <w:rsid w:val="00E3564D"/>
    <w:rsid w:val="00E35A27"/>
    <w:rsid w:val="00E36B5F"/>
    <w:rsid w:val="00E440A1"/>
    <w:rsid w:val="00E44201"/>
    <w:rsid w:val="00E45167"/>
    <w:rsid w:val="00E45684"/>
    <w:rsid w:val="00E502A0"/>
    <w:rsid w:val="00E51B0B"/>
    <w:rsid w:val="00E5475E"/>
    <w:rsid w:val="00E60A84"/>
    <w:rsid w:val="00E615EE"/>
    <w:rsid w:val="00E645F8"/>
    <w:rsid w:val="00E64840"/>
    <w:rsid w:val="00E67B9D"/>
    <w:rsid w:val="00E7483C"/>
    <w:rsid w:val="00E75D87"/>
    <w:rsid w:val="00E76282"/>
    <w:rsid w:val="00E76EDF"/>
    <w:rsid w:val="00E8022C"/>
    <w:rsid w:val="00E8129C"/>
    <w:rsid w:val="00E8684D"/>
    <w:rsid w:val="00E86FFF"/>
    <w:rsid w:val="00E875E3"/>
    <w:rsid w:val="00E87965"/>
    <w:rsid w:val="00E909E3"/>
    <w:rsid w:val="00E90B9F"/>
    <w:rsid w:val="00E911CA"/>
    <w:rsid w:val="00E93AB1"/>
    <w:rsid w:val="00E94F2A"/>
    <w:rsid w:val="00E96335"/>
    <w:rsid w:val="00E96EC0"/>
    <w:rsid w:val="00E971B0"/>
    <w:rsid w:val="00E97B70"/>
    <w:rsid w:val="00EA1D86"/>
    <w:rsid w:val="00EA48C9"/>
    <w:rsid w:val="00EA516D"/>
    <w:rsid w:val="00EA62D4"/>
    <w:rsid w:val="00EB032D"/>
    <w:rsid w:val="00EB0767"/>
    <w:rsid w:val="00EB1C0D"/>
    <w:rsid w:val="00EB3DDA"/>
    <w:rsid w:val="00EB3EAD"/>
    <w:rsid w:val="00EB6C0A"/>
    <w:rsid w:val="00EB7131"/>
    <w:rsid w:val="00EB7983"/>
    <w:rsid w:val="00EC0957"/>
    <w:rsid w:val="00EC2152"/>
    <w:rsid w:val="00EC5713"/>
    <w:rsid w:val="00EC5E73"/>
    <w:rsid w:val="00EC5ED6"/>
    <w:rsid w:val="00EC5F15"/>
    <w:rsid w:val="00EC7F6C"/>
    <w:rsid w:val="00ED0A5B"/>
    <w:rsid w:val="00ED0FB9"/>
    <w:rsid w:val="00ED16F6"/>
    <w:rsid w:val="00ED2331"/>
    <w:rsid w:val="00ED5649"/>
    <w:rsid w:val="00ED5C30"/>
    <w:rsid w:val="00EE45DD"/>
    <w:rsid w:val="00EE6239"/>
    <w:rsid w:val="00EF121B"/>
    <w:rsid w:val="00EF1246"/>
    <w:rsid w:val="00EF3697"/>
    <w:rsid w:val="00EF36BA"/>
    <w:rsid w:val="00F009A0"/>
    <w:rsid w:val="00F00F7B"/>
    <w:rsid w:val="00F02153"/>
    <w:rsid w:val="00F02CB6"/>
    <w:rsid w:val="00F02D02"/>
    <w:rsid w:val="00F03786"/>
    <w:rsid w:val="00F03E83"/>
    <w:rsid w:val="00F05AFC"/>
    <w:rsid w:val="00F07CF1"/>
    <w:rsid w:val="00F1089D"/>
    <w:rsid w:val="00F11AA3"/>
    <w:rsid w:val="00F13035"/>
    <w:rsid w:val="00F13CF0"/>
    <w:rsid w:val="00F15D4F"/>
    <w:rsid w:val="00F20C50"/>
    <w:rsid w:val="00F21450"/>
    <w:rsid w:val="00F23C49"/>
    <w:rsid w:val="00F25543"/>
    <w:rsid w:val="00F26497"/>
    <w:rsid w:val="00F2653A"/>
    <w:rsid w:val="00F30A51"/>
    <w:rsid w:val="00F31457"/>
    <w:rsid w:val="00F34D0A"/>
    <w:rsid w:val="00F422EB"/>
    <w:rsid w:val="00F44BCE"/>
    <w:rsid w:val="00F44CEE"/>
    <w:rsid w:val="00F454CD"/>
    <w:rsid w:val="00F45959"/>
    <w:rsid w:val="00F46CA6"/>
    <w:rsid w:val="00F47FB3"/>
    <w:rsid w:val="00F52F80"/>
    <w:rsid w:val="00F55E93"/>
    <w:rsid w:val="00F56056"/>
    <w:rsid w:val="00F6076E"/>
    <w:rsid w:val="00F6172D"/>
    <w:rsid w:val="00F62578"/>
    <w:rsid w:val="00F64933"/>
    <w:rsid w:val="00F67FB4"/>
    <w:rsid w:val="00F70945"/>
    <w:rsid w:val="00F712FA"/>
    <w:rsid w:val="00F72581"/>
    <w:rsid w:val="00F7597B"/>
    <w:rsid w:val="00F7789F"/>
    <w:rsid w:val="00F859EB"/>
    <w:rsid w:val="00F8613F"/>
    <w:rsid w:val="00F96681"/>
    <w:rsid w:val="00F971A6"/>
    <w:rsid w:val="00F97311"/>
    <w:rsid w:val="00FA0040"/>
    <w:rsid w:val="00FA49CB"/>
    <w:rsid w:val="00FA62DA"/>
    <w:rsid w:val="00FA6C75"/>
    <w:rsid w:val="00FA6D58"/>
    <w:rsid w:val="00FB1E3D"/>
    <w:rsid w:val="00FB45F5"/>
    <w:rsid w:val="00FB5DB9"/>
    <w:rsid w:val="00FC05B3"/>
    <w:rsid w:val="00FC57EF"/>
    <w:rsid w:val="00FC6B5C"/>
    <w:rsid w:val="00FD162B"/>
    <w:rsid w:val="00FD6ABC"/>
    <w:rsid w:val="00FD722A"/>
    <w:rsid w:val="00FE5CFB"/>
    <w:rsid w:val="00FF1269"/>
    <w:rsid w:val="00FF6373"/>
    <w:rsid w:val="00FF7BE7"/>
    <w:rsid w:val="016144DA"/>
    <w:rsid w:val="01894F4B"/>
    <w:rsid w:val="01C664A0"/>
    <w:rsid w:val="01E903FC"/>
    <w:rsid w:val="02004099"/>
    <w:rsid w:val="02076F1C"/>
    <w:rsid w:val="024E68F9"/>
    <w:rsid w:val="02503B81"/>
    <w:rsid w:val="025D08EA"/>
    <w:rsid w:val="02682609"/>
    <w:rsid w:val="02847B9A"/>
    <w:rsid w:val="02A91D81"/>
    <w:rsid w:val="02B53517"/>
    <w:rsid w:val="02C10294"/>
    <w:rsid w:val="02E33E61"/>
    <w:rsid w:val="02E713E5"/>
    <w:rsid w:val="02FE20CD"/>
    <w:rsid w:val="031A4A2D"/>
    <w:rsid w:val="033D6FFA"/>
    <w:rsid w:val="03471947"/>
    <w:rsid w:val="037321AE"/>
    <w:rsid w:val="03BA3660"/>
    <w:rsid w:val="03C10461"/>
    <w:rsid w:val="03DD1CE2"/>
    <w:rsid w:val="04404E04"/>
    <w:rsid w:val="04730898"/>
    <w:rsid w:val="049668EE"/>
    <w:rsid w:val="04BF763A"/>
    <w:rsid w:val="04C31B17"/>
    <w:rsid w:val="04CD69E4"/>
    <w:rsid w:val="04DC16F0"/>
    <w:rsid w:val="051C5016"/>
    <w:rsid w:val="05320450"/>
    <w:rsid w:val="05333FD7"/>
    <w:rsid w:val="053C08D2"/>
    <w:rsid w:val="054631F9"/>
    <w:rsid w:val="056C37DE"/>
    <w:rsid w:val="05960784"/>
    <w:rsid w:val="05E57FA2"/>
    <w:rsid w:val="05F52254"/>
    <w:rsid w:val="061B11E8"/>
    <w:rsid w:val="061B6DF8"/>
    <w:rsid w:val="061D0ABC"/>
    <w:rsid w:val="0624355C"/>
    <w:rsid w:val="062D4B80"/>
    <w:rsid w:val="066F6449"/>
    <w:rsid w:val="069B5E85"/>
    <w:rsid w:val="06BE132A"/>
    <w:rsid w:val="06C278B5"/>
    <w:rsid w:val="06D45AB9"/>
    <w:rsid w:val="06F2046F"/>
    <w:rsid w:val="072F3D57"/>
    <w:rsid w:val="073A0ECF"/>
    <w:rsid w:val="073A3015"/>
    <w:rsid w:val="074712D2"/>
    <w:rsid w:val="074B7895"/>
    <w:rsid w:val="076F4DF8"/>
    <w:rsid w:val="07A013EF"/>
    <w:rsid w:val="07C405FB"/>
    <w:rsid w:val="07DB295C"/>
    <w:rsid w:val="07F30B12"/>
    <w:rsid w:val="07F872F0"/>
    <w:rsid w:val="07FF5390"/>
    <w:rsid w:val="082544C5"/>
    <w:rsid w:val="082A30C9"/>
    <w:rsid w:val="0866608B"/>
    <w:rsid w:val="08803584"/>
    <w:rsid w:val="089A6ED3"/>
    <w:rsid w:val="08AA59AE"/>
    <w:rsid w:val="08B53939"/>
    <w:rsid w:val="08BA27C3"/>
    <w:rsid w:val="08F024B8"/>
    <w:rsid w:val="091A7B04"/>
    <w:rsid w:val="096C49E2"/>
    <w:rsid w:val="096C5E0D"/>
    <w:rsid w:val="098350DA"/>
    <w:rsid w:val="09D8550A"/>
    <w:rsid w:val="0A581A46"/>
    <w:rsid w:val="0A5C6369"/>
    <w:rsid w:val="0A9C6679"/>
    <w:rsid w:val="0AB203CF"/>
    <w:rsid w:val="0AD9483D"/>
    <w:rsid w:val="0B3D5567"/>
    <w:rsid w:val="0B7E2866"/>
    <w:rsid w:val="0B9D2915"/>
    <w:rsid w:val="0C290818"/>
    <w:rsid w:val="0C3101D7"/>
    <w:rsid w:val="0C4309F3"/>
    <w:rsid w:val="0C811679"/>
    <w:rsid w:val="0C8B60A0"/>
    <w:rsid w:val="0CDD2D53"/>
    <w:rsid w:val="0CE26C2D"/>
    <w:rsid w:val="0CFD1647"/>
    <w:rsid w:val="0DA339D1"/>
    <w:rsid w:val="0DB60228"/>
    <w:rsid w:val="0DCA6429"/>
    <w:rsid w:val="0DDF1849"/>
    <w:rsid w:val="0DED045F"/>
    <w:rsid w:val="0DEF3128"/>
    <w:rsid w:val="0DFB0094"/>
    <w:rsid w:val="0E107158"/>
    <w:rsid w:val="0E245572"/>
    <w:rsid w:val="0E344BF5"/>
    <w:rsid w:val="0E6059EA"/>
    <w:rsid w:val="0E933910"/>
    <w:rsid w:val="0EA479D2"/>
    <w:rsid w:val="0EAC1885"/>
    <w:rsid w:val="0EE3790F"/>
    <w:rsid w:val="0F0C746F"/>
    <w:rsid w:val="0F2F1860"/>
    <w:rsid w:val="0F402EEB"/>
    <w:rsid w:val="0F6110DA"/>
    <w:rsid w:val="0F995834"/>
    <w:rsid w:val="0FC1559D"/>
    <w:rsid w:val="0FD61921"/>
    <w:rsid w:val="0FF17932"/>
    <w:rsid w:val="0FF7237E"/>
    <w:rsid w:val="10245CC6"/>
    <w:rsid w:val="10397751"/>
    <w:rsid w:val="10843731"/>
    <w:rsid w:val="108B7BA7"/>
    <w:rsid w:val="10A5513D"/>
    <w:rsid w:val="10BB5445"/>
    <w:rsid w:val="10BD35C7"/>
    <w:rsid w:val="1123749A"/>
    <w:rsid w:val="11567E35"/>
    <w:rsid w:val="119C142F"/>
    <w:rsid w:val="11B35CF5"/>
    <w:rsid w:val="11EF4ACC"/>
    <w:rsid w:val="11F918EF"/>
    <w:rsid w:val="12067743"/>
    <w:rsid w:val="121A4308"/>
    <w:rsid w:val="122B4F0C"/>
    <w:rsid w:val="12B674BC"/>
    <w:rsid w:val="12BF1067"/>
    <w:rsid w:val="12E707C2"/>
    <w:rsid w:val="12ED079F"/>
    <w:rsid w:val="12FA1C05"/>
    <w:rsid w:val="12FC32D8"/>
    <w:rsid w:val="131575DA"/>
    <w:rsid w:val="13413278"/>
    <w:rsid w:val="134625A4"/>
    <w:rsid w:val="138D1D0B"/>
    <w:rsid w:val="139B74C4"/>
    <w:rsid w:val="13AC16D1"/>
    <w:rsid w:val="13CC4EA6"/>
    <w:rsid w:val="13DA7FEC"/>
    <w:rsid w:val="13EC420A"/>
    <w:rsid w:val="14275237"/>
    <w:rsid w:val="146A7846"/>
    <w:rsid w:val="14D07641"/>
    <w:rsid w:val="14D94748"/>
    <w:rsid w:val="14DF0D4A"/>
    <w:rsid w:val="14F823CA"/>
    <w:rsid w:val="154C179A"/>
    <w:rsid w:val="155E27C4"/>
    <w:rsid w:val="156F5830"/>
    <w:rsid w:val="15876309"/>
    <w:rsid w:val="158A3C8C"/>
    <w:rsid w:val="15B66837"/>
    <w:rsid w:val="15C04E27"/>
    <w:rsid w:val="15C94153"/>
    <w:rsid w:val="15CE7D7E"/>
    <w:rsid w:val="15DE1CED"/>
    <w:rsid w:val="16046587"/>
    <w:rsid w:val="161730DE"/>
    <w:rsid w:val="1675720A"/>
    <w:rsid w:val="16783AEC"/>
    <w:rsid w:val="168E3310"/>
    <w:rsid w:val="16934EC2"/>
    <w:rsid w:val="16C15595"/>
    <w:rsid w:val="16C95F1F"/>
    <w:rsid w:val="172D2B29"/>
    <w:rsid w:val="1731694B"/>
    <w:rsid w:val="174340FA"/>
    <w:rsid w:val="176B7FE9"/>
    <w:rsid w:val="17710C68"/>
    <w:rsid w:val="1777416B"/>
    <w:rsid w:val="17A13033"/>
    <w:rsid w:val="17B3359A"/>
    <w:rsid w:val="17C214C3"/>
    <w:rsid w:val="18095344"/>
    <w:rsid w:val="181178ED"/>
    <w:rsid w:val="181C2DAE"/>
    <w:rsid w:val="185A5BA0"/>
    <w:rsid w:val="18922A2E"/>
    <w:rsid w:val="18952D43"/>
    <w:rsid w:val="18B51028"/>
    <w:rsid w:val="18B74E5C"/>
    <w:rsid w:val="191E1859"/>
    <w:rsid w:val="195C0B3C"/>
    <w:rsid w:val="196547FC"/>
    <w:rsid w:val="197B520E"/>
    <w:rsid w:val="19AD3158"/>
    <w:rsid w:val="19C40A96"/>
    <w:rsid w:val="19E066C6"/>
    <w:rsid w:val="19E5458E"/>
    <w:rsid w:val="1A27385F"/>
    <w:rsid w:val="1A290EC2"/>
    <w:rsid w:val="1A3A17E5"/>
    <w:rsid w:val="1A580B86"/>
    <w:rsid w:val="1A78049F"/>
    <w:rsid w:val="1A8E4578"/>
    <w:rsid w:val="1AE12AAC"/>
    <w:rsid w:val="1AF711EB"/>
    <w:rsid w:val="1B2B3823"/>
    <w:rsid w:val="1B3C1E16"/>
    <w:rsid w:val="1B3E1A11"/>
    <w:rsid w:val="1B5A4898"/>
    <w:rsid w:val="1B8076CB"/>
    <w:rsid w:val="1B9C202B"/>
    <w:rsid w:val="1BCA3AE8"/>
    <w:rsid w:val="1BFB4A4F"/>
    <w:rsid w:val="1C641588"/>
    <w:rsid w:val="1C6C7C4F"/>
    <w:rsid w:val="1C9158BA"/>
    <w:rsid w:val="1CB35D5F"/>
    <w:rsid w:val="1CB8135B"/>
    <w:rsid w:val="1CC06310"/>
    <w:rsid w:val="1CC233B3"/>
    <w:rsid w:val="1CC45974"/>
    <w:rsid w:val="1D143DE7"/>
    <w:rsid w:val="1D6B43AB"/>
    <w:rsid w:val="1D6B5950"/>
    <w:rsid w:val="1D976F4E"/>
    <w:rsid w:val="1DCF66E8"/>
    <w:rsid w:val="1E403247"/>
    <w:rsid w:val="1E544E3F"/>
    <w:rsid w:val="1E546B1F"/>
    <w:rsid w:val="1E6D231E"/>
    <w:rsid w:val="1E83028C"/>
    <w:rsid w:val="1E9869EA"/>
    <w:rsid w:val="1EB6637B"/>
    <w:rsid w:val="1EE06F84"/>
    <w:rsid w:val="1EE937D9"/>
    <w:rsid w:val="1F2179B5"/>
    <w:rsid w:val="1F3D59DB"/>
    <w:rsid w:val="1F3F6707"/>
    <w:rsid w:val="1F550A31"/>
    <w:rsid w:val="1F7D3F22"/>
    <w:rsid w:val="1FC9690C"/>
    <w:rsid w:val="1FED72F9"/>
    <w:rsid w:val="200D7972"/>
    <w:rsid w:val="205E1FA5"/>
    <w:rsid w:val="206D5F6F"/>
    <w:rsid w:val="209F1746"/>
    <w:rsid w:val="20A71A16"/>
    <w:rsid w:val="20A7394C"/>
    <w:rsid w:val="20AB2B78"/>
    <w:rsid w:val="20BD4ABF"/>
    <w:rsid w:val="20D858B3"/>
    <w:rsid w:val="20EF0E4F"/>
    <w:rsid w:val="210963B5"/>
    <w:rsid w:val="21107154"/>
    <w:rsid w:val="21507CAE"/>
    <w:rsid w:val="21862702"/>
    <w:rsid w:val="21B52099"/>
    <w:rsid w:val="21C351A1"/>
    <w:rsid w:val="22364C67"/>
    <w:rsid w:val="227619B0"/>
    <w:rsid w:val="22851A6B"/>
    <w:rsid w:val="22994601"/>
    <w:rsid w:val="229D75A0"/>
    <w:rsid w:val="22BF54B4"/>
    <w:rsid w:val="2302652C"/>
    <w:rsid w:val="232B0BC0"/>
    <w:rsid w:val="232C644F"/>
    <w:rsid w:val="23453EFB"/>
    <w:rsid w:val="235D4796"/>
    <w:rsid w:val="2369138D"/>
    <w:rsid w:val="23AE0B4E"/>
    <w:rsid w:val="23B26890"/>
    <w:rsid w:val="23F314B9"/>
    <w:rsid w:val="2406098A"/>
    <w:rsid w:val="24282D76"/>
    <w:rsid w:val="243C084F"/>
    <w:rsid w:val="2474252B"/>
    <w:rsid w:val="248C4FC4"/>
    <w:rsid w:val="249800E6"/>
    <w:rsid w:val="24AB04CD"/>
    <w:rsid w:val="24AF4B7D"/>
    <w:rsid w:val="24F947E7"/>
    <w:rsid w:val="25090731"/>
    <w:rsid w:val="254554E2"/>
    <w:rsid w:val="254C4AC2"/>
    <w:rsid w:val="256B7502"/>
    <w:rsid w:val="25861F5E"/>
    <w:rsid w:val="25DF6DAE"/>
    <w:rsid w:val="25E538FC"/>
    <w:rsid w:val="26062A67"/>
    <w:rsid w:val="26470B9D"/>
    <w:rsid w:val="264C606E"/>
    <w:rsid w:val="266324A5"/>
    <w:rsid w:val="26736128"/>
    <w:rsid w:val="267442D0"/>
    <w:rsid w:val="267D7D8B"/>
    <w:rsid w:val="26A06E73"/>
    <w:rsid w:val="26C42559"/>
    <w:rsid w:val="26D626CB"/>
    <w:rsid w:val="26F947D6"/>
    <w:rsid w:val="271F04AB"/>
    <w:rsid w:val="2751589F"/>
    <w:rsid w:val="27922E7B"/>
    <w:rsid w:val="27A32F8C"/>
    <w:rsid w:val="27D029A4"/>
    <w:rsid w:val="27DE4E3D"/>
    <w:rsid w:val="28472C7A"/>
    <w:rsid w:val="2855790B"/>
    <w:rsid w:val="28FE3994"/>
    <w:rsid w:val="290B2C3A"/>
    <w:rsid w:val="29342822"/>
    <w:rsid w:val="296C4A19"/>
    <w:rsid w:val="29726ADE"/>
    <w:rsid w:val="29752839"/>
    <w:rsid w:val="29D532D8"/>
    <w:rsid w:val="29EC084B"/>
    <w:rsid w:val="2A365503"/>
    <w:rsid w:val="2A634FF1"/>
    <w:rsid w:val="2A6C4C5D"/>
    <w:rsid w:val="2AA22934"/>
    <w:rsid w:val="2AA57018"/>
    <w:rsid w:val="2AA77F38"/>
    <w:rsid w:val="2AAB4E76"/>
    <w:rsid w:val="2AE627DE"/>
    <w:rsid w:val="2AFA2E96"/>
    <w:rsid w:val="2B18644D"/>
    <w:rsid w:val="2B285189"/>
    <w:rsid w:val="2B2A7653"/>
    <w:rsid w:val="2B5F051B"/>
    <w:rsid w:val="2B915249"/>
    <w:rsid w:val="2BA75366"/>
    <w:rsid w:val="2BB654EA"/>
    <w:rsid w:val="2BC77FAF"/>
    <w:rsid w:val="2BD43BD7"/>
    <w:rsid w:val="2BD85E26"/>
    <w:rsid w:val="2BE1386C"/>
    <w:rsid w:val="2BF112A9"/>
    <w:rsid w:val="2BFF463C"/>
    <w:rsid w:val="2C1B0D4A"/>
    <w:rsid w:val="2C267E1B"/>
    <w:rsid w:val="2C3035D7"/>
    <w:rsid w:val="2C60493C"/>
    <w:rsid w:val="2C66290D"/>
    <w:rsid w:val="2CC55886"/>
    <w:rsid w:val="2CD32333"/>
    <w:rsid w:val="2CD90B61"/>
    <w:rsid w:val="2D0637A8"/>
    <w:rsid w:val="2D1F7029"/>
    <w:rsid w:val="2D3D4257"/>
    <w:rsid w:val="2D430587"/>
    <w:rsid w:val="2D80355B"/>
    <w:rsid w:val="2DAA3582"/>
    <w:rsid w:val="2DC72F08"/>
    <w:rsid w:val="2DD90350"/>
    <w:rsid w:val="2DF608EF"/>
    <w:rsid w:val="2E100D83"/>
    <w:rsid w:val="2E1B3283"/>
    <w:rsid w:val="2E262492"/>
    <w:rsid w:val="2E790263"/>
    <w:rsid w:val="2EB02FCB"/>
    <w:rsid w:val="2EBF78EF"/>
    <w:rsid w:val="2EDC02CD"/>
    <w:rsid w:val="2EEB438F"/>
    <w:rsid w:val="2F2A6C7E"/>
    <w:rsid w:val="2F310A59"/>
    <w:rsid w:val="2F736521"/>
    <w:rsid w:val="2F890C73"/>
    <w:rsid w:val="2FAA537B"/>
    <w:rsid w:val="2FD12C2F"/>
    <w:rsid w:val="2FE43E43"/>
    <w:rsid w:val="2FE90198"/>
    <w:rsid w:val="2FEA13B9"/>
    <w:rsid w:val="2FF70158"/>
    <w:rsid w:val="30185086"/>
    <w:rsid w:val="304545E8"/>
    <w:rsid w:val="3055233E"/>
    <w:rsid w:val="309623E3"/>
    <w:rsid w:val="30A7021F"/>
    <w:rsid w:val="30BE3003"/>
    <w:rsid w:val="30C10490"/>
    <w:rsid w:val="30E12105"/>
    <w:rsid w:val="31AA3866"/>
    <w:rsid w:val="31B31539"/>
    <w:rsid w:val="31BA38C4"/>
    <w:rsid w:val="31CE6DEF"/>
    <w:rsid w:val="323F1C36"/>
    <w:rsid w:val="32476D3D"/>
    <w:rsid w:val="32640AB0"/>
    <w:rsid w:val="327D1E15"/>
    <w:rsid w:val="328529C5"/>
    <w:rsid w:val="32C24B89"/>
    <w:rsid w:val="32C34253"/>
    <w:rsid w:val="330662B0"/>
    <w:rsid w:val="332246C2"/>
    <w:rsid w:val="3332764E"/>
    <w:rsid w:val="333C0D6B"/>
    <w:rsid w:val="33513F47"/>
    <w:rsid w:val="33596D28"/>
    <w:rsid w:val="33667CEE"/>
    <w:rsid w:val="33E57C8F"/>
    <w:rsid w:val="33F16F60"/>
    <w:rsid w:val="33F3714D"/>
    <w:rsid w:val="34525283"/>
    <w:rsid w:val="347159DC"/>
    <w:rsid w:val="349A6906"/>
    <w:rsid w:val="34A07611"/>
    <w:rsid w:val="34A915E9"/>
    <w:rsid w:val="34BE410B"/>
    <w:rsid w:val="352B0250"/>
    <w:rsid w:val="352D221A"/>
    <w:rsid w:val="35410CCD"/>
    <w:rsid w:val="355818BA"/>
    <w:rsid w:val="356319B9"/>
    <w:rsid w:val="358C4065"/>
    <w:rsid w:val="358D0F0B"/>
    <w:rsid w:val="359718C7"/>
    <w:rsid w:val="35A00F74"/>
    <w:rsid w:val="35CD57AB"/>
    <w:rsid w:val="35DE3514"/>
    <w:rsid w:val="35FB77CA"/>
    <w:rsid w:val="35FF348B"/>
    <w:rsid w:val="3610590B"/>
    <w:rsid w:val="364F093F"/>
    <w:rsid w:val="366003CD"/>
    <w:rsid w:val="366F1F2A"/>
    <w:rsid w:val="36BD3181"/>
    <w:rsid w:val="36D87F64"/>
    <w:rsid w:val="36F60B8B"/>
    <w:rsid w:val="37030298"/>
    <w:rsid w:val="371414E2"/>
    <w:rsid w:val="37244463"/>
    <w:rsid w:val="373A6613"/>
    <w:rsid w:val="373B1B97"/>
    <w:rsid w:val="375A48EC"/>
    <w:rsid w:val="376D5009"/>
    <w:rsid w:val="37A91900"/>
    <w:rsid w:val="37D734F1"/>
    <w:rsid w:val="37D83F93"/>
    <w:rsid w:val="37F5732C"/>
    <w:rsid w:val="381471FC"/>
    <w:rsid w:val="38216369"/>
    <w:rsid w:val="382917C5"/>
    <w:rsid w:val="38BE13DB"/>
    <w:rsid w:val="38DB01DF"/>
    <w:rsid w:val="38DE1A7D"/>
    <w:rsid w:val="38FA6160"/>
    <w:rsid w:val="39252547"/>
    <w:rsid w:val="39BA1BA2"/>
    <w:rsid w:val="39C24EFB"/>
    <w:rsid w:val="39DE7F87"/>
    <w:rsid w:val="3A06001E"/>
    <w:rsid w:val="3A236FF3"/>
    <w:rsid w:val="3A4818A4"/>
    <w:rsid w:val="3A524ADE"/>
    <w:rsid w:val="3A9D39FA"/>
    <w:rsid w:val="3AA711BC"/>
    <w:rsid w:val="3AB256CE"/>
    <w:rsid w:val="3ADB32DE"/>
    <w:rsid w:val="3AE55345"/>
    <w:rsid w:val="3AEB6964"/>
    <w:rsid w:val="3AEE5026"/>
    <w:rsid w:val="3B430BBC"/>
    <w:rsid w:val="3B4E1509"/>
    <w:rsid w:val="3B4F3270"/>
    <w:rsid w:val="3B750557"/>
    <w:rsid w:val="3B844B5E"/>
    <w:rsid w:val="3B857B69"/>
    <w:rsid w:val="3BBC60A6"/>
    <w:rsid w:val="3BD258C9"/>
    <w:rsid w:val="3BF47C5E"/>
    <w:rsid w:val="3C0B3D7F"/>
    <w:rsid w:val="3C4847F2"/>
    <w:rsid w:val="3C4D6CFE"/>
    <w:rsid w:val="3C6877D4"/>
    <w:rsid w:val="3C6A01C4"/>
    <w:rsid w:val="3CC02D1C"/>
    <w:rsid w:val="3CF039DD"/>
    <w:rsid w:val="3D0C6BB9"/>
    <w:rsid w:val="3D2D259A"/>
    <w:rsid w:val="3DA664F6"/>
    <w:rsid w:val="3DA94408"/>
    <w:rsid w:val="3DDE6EF4"/>
    <w:rsid w:val="3DE10046"/>
    <w:rsid w:val="3DFE0A1A"/>
    <w:rsid w:val="3E285C74"/>
    <w:rsid w:val="3E37026C"/>
    <w:rsid w:val="3E391CC1"/>
    <w:rsid w:val="3E49789B"/>
    <w:rsid w:val="3E921340"/>
    <w:rsid w:val="3EAD7F28"/>
    <w:rsid w:val="3EB5502E"/>
    <w:rsid w:val="3ED06ABE"/>
    <w:rsid w:val="3EEE37C1"/>
    <w:rsid w:val="3F1F36AF"/>
    <w:rsid w:val="3F2A6E12"/>
    <w:rsid w:val="3F442767"/>
    <w:rsid w:val="3FAC6E71"/>
    <w:rsid w:val="3FD90262"/>
    <w:rsid w:val="3FDF478C"/>
    <w:rsid w:val="3FF85B48"/>
    <w:rsid w:val="4004001B"/>
    <w:rsid w:val="40453107"/>
    <w:rsid w:val="40692863"/>
    <w:rsid w:val="409F74DA"/>
    <w:rsid w:val="40A77CE0"/>
    <w:rsid w:val="40AA5339"/>
    <w:rsid w:val="40D14D97"/>
    <w:rsid w:val="40F67A5E"/>
    <w:rsid w:val="412B5195"/>
    <w:rsid w:val="41406E31"/>
    <w:rsid w:val="414312AA"/>
    <w:rsid w:val="41491D63"/>
    <w:rsid w:val="416C4E8D"/>
    <w:rsid w:val="41806D31"/>
    <w:rsid w:val="41952BC8"/>
    <w:rsid w:val="41A53138"/>
    <w:rsid w:val="41D30D26"/>
    <w:rsid w:val="41EC520B"/>
    <w:rsid w:val="41FF1B86"/>
    <w:rsid w:val="420F38EB"/>
    <w:rsid w:val="423F3909"/>
    <w:rsid w:val="424E2659"/>
    <w:rsid w:val="42721C22"/>
    <w:rsid w:val="42851F16"/>
    <w:rsid w:val="42A67168"/>
    <w:rsid w:val="42BA0E65"/>
    <w:rsid w:val="42DB6F38"/>
    <w:rsid w:val="42E47C90"/>
    <w:rsid w:val="42FA5706"/>
    <w:rsid w:val="43222F18"/>
    <w:rsid w:val="432C74DF"/>
    <w:rsid w:val="43581D4B"/>
    <w:rsid w:val="437963F1"/>
    <w:rsid w:val="4388590B"/>
    <w:rsid w:val="439E0321"/>
    <w:rsid w:val="43B85B36"/>
    <w:rsid w:val="43BC1AE4"/>
    <w:rsid w:val="43EB1727"/>
    <w:rsid w:val="44085299"/>
    <w:rsid w:val="440B7EE9"/>
    <w:rsid w:val="441705F0"/>
    <w:rsid w:val="442411F9"/>
    <w:rsid w:val="44307631"/>
    <w:rsid w:val="44330ECF"/>
    <w:rsid w:val="443645CA"/>
    <w:rsid w:val="445D1A5C"/>
    <w:rsid w:val="4472378E"/>
    <w:rsid w:val="44B412EF"/>
    <w:rsid w:val="44BA47D6"/>
    <w:rsid w:val="44EB4B7B"/>
    <w:rsid w:val="45294080"/>
    <w:rsid w:val="454F6DC4"/>
    <w:rsid w:val="455C4456"/>
    <w:rsid w:val="45926BA9"/>
    <w:rsid w:val="45A46C77"/>
    <w:rsid w:val="45E009DA"/>
    <w:rsid w:val="45F103D5"/>
    <w:rsid w:val="45F25E9D"/>
    <w:rsid w:val="460F14C8"/>
    <w:rsid w:val="46642F82"/>
    <w:rsid w:val="46AC2077"/>
    <w:rsid w:val="46C5643D"/>
    <w:rsid w:val="46D05623"/>
    <w:rsid w:val="47321912"/>
    <w:rsid w:val="473C5F98"/>
    <w:rsid w:val="47471B82"/>
    <w:rsid w:val="47763D22"/>
    <w:rsid w:val="477A4A2F"/>
    <w:rsid w:val="479C3A40"/>
    <w:rsid w:val="47D12111"/>
    <w:rsid w:val="47E524E0"/>
    <w:rsid w:val="48217291"/>
    <w:rsid w:val="48370CFE"/>
    <w:rsid w:val="48391E6F"/>
    <w:rsid w:val="4871646A"/>
    <w:rsid w:val="48843EED"/>
    <w:rsid w:val="48A57EC2"/>
    <w:rsid w:val="48AF7327"/>
    <w:rsid w:val="48DE7532"/>
    <w:rsid w:val="493016D7"/>
    <w:rsid w:val="49323519"/>
    <w:rsid w:val="49343FCC"/>
    <w:rsid w:val="49577977"/>
    <w:rsid w:val="495F0E47"/>
    <w:rsid w:val="496730EB"/>
    <w:rsid w:val="496D3877"/>
    <w:rsid w:val="496D7812"/>
    <w:rsid w:val="497161A5"/>
    <w:rsid w:val="499E7CDC"/>
    <w:rsid w:val="499F167E"/>
    <w:rsid w:val="49D0447B"/>
    <w:rsid w:val="49FC3322"/>
    <w:rsid w:val="4A0330F2"/>
    <w:rsid w:val="4A2C7545"/>
    <w:rsid w:val="4A701B4D"/>
    <w:rsid w:val="4A93143B"/>
    <w:rsid w:val="4A951F3C"/>
    <w:rsid w:val="4AB27400"/>
    <w:rsid w:val="4AEE3DA2"/>
    <w:rsid w:val="4B4A0739"/>
    <w:rsid w:val="4B4C2876"/>
    <w:rsid w:val="4B59218C"/>
    <w:rsid w:val="4B676D9C"/>
    <w:rsid w:val="4B6A5881"/>
    <w:rsid w:val="4B79616D"/>
    <w:rsid w:val="4B875D39"/>
    <w:rsid w:val="4BB6116F"/>
    <w:rsid w:val="4BBE19C6"/>
    <w:rsid w:val="4BCB6F23"/>
    <w:rsid w:val="4BCE4C57"/>
    <w:rsid w:val="4C0461AE"/>
    <w:rsid w:val="4C116304"/>
    <w:rsid w:val="4C8D78B4"/>
    <w:rsid w:val="4C9D5BC0"/>
    <w:rsid w:val="4CBD0F99"/>
    <w:rsid w:val="4CD77A1D"/>
    <w:rsid w:val="4D1420EB"/>
    <w:rsid w:val="4D3277C0"/>
    <w:rsid w:val="4D553C64"/>
    <w:rsid w:val="4D5679DC"/>
    <w:rsid w:val="4D76276D"/>
    <w:rsid w:val="4DC13832"/>
    <w:rsid w:val="4DC72015"/>
    <w:rsid w:val="4DE17BEE"/>
    <w:rsid w:val="4DE45C19"/>
    <w:rsid w:val="4DF94F37"/>
    <w:rsid w:val="4E3917D8"/>
    <w:rsid w:val="4E470623"/>
    <w:rsid w:val="4E7B4158"/>
    <w:rsid w:val="4E9130B6"/>
    <w:rsid w:val="4E916480"/>
    <w:rsid w:val="4EA91CE1"/>
    <w:rsid w:val="4ED67027"/>
    <w:rsid w:val="4EE07106"/>
    <w:rsid w:val="4F0A4F22"/>
    <w:rsid w:val="4F6B59C1"/>
    <w:rsid w:val="4F822991"/>
    <w:rsid w:val="4FCC3F86"/>
    <w:rsid w:val="500951DA"/>
    <w:rsid w:val="500A7AA0"/>
    <w:rsid w:val="503D794D"/>
    <w:rsid w:val="50447FC0"/>
    <w:rsid w:val="50B85D98"/>
    <w:rsid w:val="50F33EC0"/>
    <w:rsid w:val="51165E00"/>
    <w:rsid w:val="51383FC9"/>
    <w:rsid w:val="51390775"/>
    <w:rsid w:val="518E719A"/>
    <w:rsid w:val="51954F77"/>
    <w:rsid w:val="51C03C12"/>
    <w:rsid w:val="51C413B8"/>
    <w:rsid w:val="51D3240E"/>
    <w:rsid w:val="51D41D38"/>
    <w:rsid w:val="5222740C"/>
    <w:rsid w:val="524F431A"/>
    <w:rsid w:val="527D278C"/>
    <w:rsid w:val="52B3527F"/>
    <w:rsid w:val="52B424C2"/>
    <w:rsid w:val="52D4000B"/>
    <w:rsid w:val="52D63A99"/>
    <w:rsid w:val="53067ADB"/>
    <w:rsid w:val="530C3017"/>
    <w:rsid w:val="53200FDF"/>
    <w:rsid w:val="53582700"/>
    <w:rsid w:val="535A1691"/>
    <w:rsid w:val="53794A41"/>
    <w:rsid w:val="53874D93"/>
    <w:rsid w:val="539F3E8B"/>
    <w:rsid w:val="53CE4770"/>
    <w:rsid w:val="53E25442"/>
    <w:rsid w:val="53E91B42"/>
    <w:rsid w:val="54106696"/>
    <w:rsid w:val="5420250F"/>
    <w:rsid w:val="54324CFF"/>
    <w:rsid w:val="54696247"/>
    <w:rsid w:val="55014CD5"/>
    <w:rsid w:val="5532366D"/>
    <w:rsid w:val="55780A64"/>
    <w:rsid w:val="558C48E3"/>
    <w:rsid w:val="55C15F01"/>
    <w:rsid w:val="55EB473E"/>
    <w:rsid w:val="55F9356E"/>
    <w:rsid w:val="55FA2C63"/>
    <w:rsid w:val="56EC51C7"/>
    <w:rsid w:val="57554542"/>
    <w:rsid w:val="57554D6E"/>
    <w:rsid w:val="57691814"/>
    <w:rsid w:val="577366A2"/>
    <w:rsid w:val="578166F7"/>
    <w:rsid w:val="57846677"/>
    <w:rsid w:val="57956D6A"/>
    <w:rsid w:val="579B0E0D"/>
    <w:rsid w:val="57AE5D57"/>
    <w:rsid w:val="57BB14B0"/>
    <w:rsid w:val="57C147CD"/>
    <w:rsid w:val="57C900DF"/>
    <w:rsid w:val="57E349F6"/>
    <w:rsid w:val="57EE53E1"/>
    <w:rsid w:val="584F5D3C"/>
    <w:rsid w:val="585E7D84"/>
    <w:rsid w:val="589B1442"/>
    <w:rsid w:val="58BA0E88"/>
    <w:rsid w:val="58DF4301"/>
    <w:rsid w:val="58FF3B12"/>
    <w:rsid w:val="5911700F"/>
    <w:rsid w:val="59190252"/>
    <w:rsid w:val="59204482"/>
    <w:rsid w:val="59360753"/>
    <w:rsid w:val="594E0445"/>
    <w:rsid w:val="59725078"/>
    <w:rsid w:val="59733F0F"/>
    <w:rsid w:val="599A52D9"/>
    <w:rsid w:val="59EA5A2D"/>
    <w:rsid w:val="59ED78D1"/>
    <w:rsid w:val="59F12F67"/>
    <w:rsid w:val="59FF38D6"/>
    <w:rsid w:val="5A0666F9"/>
    <w:rsid w:val="5A092C13"/>
    <w:rsid w:val="5A1531A6"/>
    <w:rsid w:val="5A2E41BB"/>
    <w:rsid w:val="5A4455DB"/>
    <w:rsid w:val="5A4F7C8D"/>
    <w:rsid w:val="5A846C48"/>
    <w:rsid w:val="5A873B14"/>
    <w:rsid w:val="5A987886"/>
    <w:rsid w:val="5AC8016B"/>
    <w:rsid w:val="5AFB41E3"/>
    <w:rsid w:val="5B3249B7"/>
    <w:rsid w:val="5B615F05"/>
    <w:rsid w:val="5B642AE6"/>
    <w:rsid w:val="5B66110C"/>
    <w:rsid w:val="5B7025B1"/>
    <w:rsid w:val="5B7D7BBE"/>
    <w:rsid w:val="5B982CBF"/>
    <w:rsid w:val="5BA14040"/>
    <w:rsid w:val="5BB14AD5"/>
    <w:rsid w:val="5BCF6472"/>
    <w:rsid w:val="5BE014E5"/>
    <w:rsid w:val="5BFC08C9"/>
    <w:rsid w:val="5C596571"/>
    <w:rsid w:val="5C6F32A9"/>
    <w:rsid w:val="5C811165"/>
    <w:rsid w:val="5C8F5D58"/>
    <w:rsid w:val="5CAC2DD4"/>
    <w:rsid w:val="5D052D81"/>
    <w:rsid w:val="5D1B1343"/>
    <w:rsid w:val="5D773808"/>
    <w:rsid w:val="5D8660BC"/>
    <w:rsid w:val="5D94030F"/>
    <w:rsid w:val="5DCC5BFC"/>
    <w:rsid w:val="5DE0565F"/>
    <w:rsid w:val="5DE9235D"/>
    <w:rsid w:val="5DF474C9"/>
    <w:rsid w:val="5E140B58"/>
    <w:rsid w:val="5E4A48EA"/>
    <w:rsid w:val="5E8242AA"/>
    <w:rsid w:val="5E8A3688"/>
    <w:rsid w:val="5E9230FA"/>
    <w:rsid w:val="5E9F465B"/>
    <w:rsid w:val="5EA101A6"/>
    <w:rsid w:val="5ECB6A25"/>
    <w:rsid w:val="5EFE0934"/>
    <w:rsid w:val="5F29288B"/>
    <w:rsid w:val="5F4004F7"/>
    <w:rsid w:val="5F446614"/>
    <w:rsid w:val="5F4562A9"/>
    <w:rsid w:val="5F4D7CE5"/>
    <w:rsid w:val="5F6D4AD6"/>
    <w:rsid w:val="5F814738"/>
    <w:rsid w:val="5FBF7287"/>
    <w:rsid w:val="5FC15189"/>
    <w:rsid w:val="600660FA"/>
    <w:rsid w:val="600B0089"/>
    <w:rsid w:val="602758BC"/>
    <w:rsid w:val="608769BB"/>
    <w:rsid w:val="60A60614"/>
    <w:rsid w:val="60AD3618"/>
    <w:rsid w:val="60CD429D"/>
    <w:rsid w:val="60EF1913"/>
    <w:rsid w:val="611647C5"/>
    <w:rsid w:val="612A5C0B"/>
    <w:rsid w:val="61684128"/>
    <w:rsid w:val="61846571"/>
    <w:rsid w:val="6189617B"/>
    <w:rsid w:val="6192502F"/>
    <w:rsid w:val="61AD6520"/>
    <w:rsid w:val="61BF01A9"/>
    <w:rsid w:val="6211064A"/>
    <w:rsid w:val="6279333F"/>
    <w:rsid w:val="62C83B7F"/>
    <w:rsid w:val="62CC7B9D"/>
    <w:rsid w:val="62E82516"/>
    <w:rsid w:val="62FF66F4"/>
    <w:rsid w:val="63287C62"/>
    <w:rsid w:val="6332506A"/>
    <w:rsid w:val="63330A3C"/>
    <w:rsid w:val="63A94DAB"/>
    <w:rsid w:val="63C45248"/>
    <w:rsid w:val="640B6B81"/>
    <w:rsid w:val="64207C98"/>
    <w:rsid w:val="64480350"/>
    <w:rsid w:val="64697079"/>
    <w:rsid w:val="646C600B"/>
    <w:rsid w:val="64717FF4"/>
    <w:rsid w:val="647D347A"/>
    <w:rsid w:val="64930081"/>
    <w:rsid w:val="649E4CEA"/>
    <w:rsid w:val="64EC2CA8"/>
    <w:rsid w:val="64FE3D1A"/>
    <w:rsid w:val="651D2E62"/>
    <w:rsid w:val="658E1FB1"/>
    <w:rsid w:val="659D1CBF"/>
    <w:rsid w:val="65C07C91"/>
    <w:rsid w:val="66024DE1"/>
    <w:rsid w:val="66495ED8"/>
    <w:rsid w:val="667F0EEF"/>
    <w:rsid w:val="66A55218"/>
    <w:rsid w:val="66C26B9F"/>
    <w:rsid w:val="66D121D5"/>
    <w:rsid w:val="66D96FC3"/>
    <w:rsid w:val="66F673A1"/>
    <w:rsid w:val="673B2A49"/>
    <w:rsid w:val="675E0191"/>
    <w:rsid w:val="675E04D0"/>
    <w:rsid w:val="67765C1B"/>
    <w:rsid w:val="68144DB5"/>
    <w:rsid w:val="68282FC1"/>
    <w:rsid w:val="684E1472"/>
    <w:rsid w:val="686C7DF5"/>
    <w:rsid w:val="688A793D"/>
    <w:rsid w:val="689E36D3"/>
    <w:rsid w:val="68C42130"/>
    <w:rsid w:val="68CA50AF"/>
    <w:rsid w:val="68D20407"/>
    <w:rsid w:val="68E94DC3"/>
    <w:rsid w:val="68FC209C"/>
    <w:rsid w:val="6913294C"/>
    <w:rsid w:val="69164798"/>
    <w:rsid w:val="693D54D2"/>
    <w:rsid w:val="699257FF"/>
    <w:rsid w:val="699D099B"/>
    <w:rsid w:val="69C4652C"/>
    <w:rsid w:val="69D805CF"/>
    <w:rsid w:val="6A5F71FE"/>
    <w:rsid w:val="6AB73D58"/>
    <w:rsid w:val="6AB846BB"/>
    <w:rsid w:val="6AC27302"/>
    <w:rsid w:val="6AC645FE"/>
    <w:rsid w:val="6AC66E56"/>
    <w:rsid w:val="6AC932C1"/>
    <w:rsid w:val="6ADB439C"/>
    <w:rsid w:val="6B323C4B"/>
    <w:rsid w:val="6B3E1913"/>
    <w:rsid w:val="6B737C7F"/>
    <w:rsid w:val="6B763550"/>
    <w:rsid w:val="6B9246C9"/>
    <w:rsid w:val="6BF07CA3"/>
    <w:rsid w:val="6BFD579B"/>
    <w:rsid w:val="6C5A40D8"/>
    <w:rsid w:val="6C5A499B"/>
    <w:rsid w:val="6C9F2CF6"/>
    <w:rsid w:val="6CB53CEB"/>
    <w:rsid w:val="6CBF2506"/>
    <w:rsid w:val="6CEA16AC"/>
    <w:rsid w:val="6D0B3FCD"/>
    <w:rsid w:val="6D1A237D"/>
    <w:rsid w:val="6D561A4E"/>
    <w:rsid w:val="6D657A9C"/>
    <w:rsid w:val="6DCF4F15"/>
    <w:rsid w:val="6DE364E2"/>
    <w:rsid w:val="6DF21647"/>
    <w:rsid w:val="6DF57DC6"/>
    <w:rsid w:val="6E037C40"/>
    <w:rsid w:val="6E4E0530"/>
    <w:rsid w:val="6E6B0F0C"/>
    <w:rsid w:val="6E6C5200"/>
    <w:rsid w:val="6EB41FA8"/>
    <w:rsid w:val="6EBB5F0E"/>
    <w:rsid w:val="6EC216E8"/>
    <w:rsid w:val="6F2D7052"/>
    <w:rsid w:val="6F5061C3"/>
    <w:rsid w:val="6F836A8F"/>
    <w:rsid w:val="6FFC024D"/>
    <w:rsid w:val="70070F88"/>
    <w:rsid w:val="702C48A1"/>
    <w:rsid w:val="702E23C7"/>
    <w:rsid w:val="7047792D"/>
    <w:rsid w:val="70591D88"/>
    <w:rsid w:val="706F51B7"/>
    <w:rsid w:val="70863E3B"/>
    <w:rsid w:val="70A4361A"/>
    <w:rsid w:val="70A47102"/>
    <w:rsid w:val="70ED76C7"/>
    <w:rsid w:val="7104031E"/>
    <w:rsid w:val="71754C6E"/>
    <w:rsid w:val="71812492"/>
    <w:rsid w:val="7189187F"/>
    <w:rsid w:val="718C6B19"/>
    <w:rsid w:val="71927BC5"/>
    <w:rsid w:val="71C561B9"/>
    <w:rsid w:val="72243DB7"/>
    <w:rsid w:val="722F4FC8"/>
    <w:rsid w:val="72453891"/>
    <w:rsid w:val="724A5C85"/>
    <w:rsid w:val="724B58F2"/>
    <w:rsid w:val="725E53B6"/>
    <w:rsid w:val="727102C7"/>
    <w:rsid w:val="72D13AA2"/>
    <w:rsid w:val="72FA6ED8"/>
    <w:rsid w:val="73410C20"/>
    <w:rsid w:val="7366631C"/>
    <w:rsid w:val="737155C1"/>
    <w:rsid w:val="737C5B3F"/>
    <w:rsid w:val="73957612"/>
    <w:rsid w:val="73DD4830"/>
    <w:rsid w:val="73ED07EB"/>
    <w:rsid w:val="74936C9D"/>
    <w:rsid w:val="74B44681"/>
    <w:rsid w:val="74E7523A"/>
    <w:rsid w:val="753518D7"/>
    <w:rsid w:val="757A1185"/>
    <w:rsid w:val="757B3DC0"/>
    <w:rsid w:val="75C64D6A"/>
    <w:rsid w:val="75E42D17"/>
    <w:rsid w:val="75E778E5"/>
    <w:rsid w:val="75F83D9A"/>
    <w:rsid w:val="760813D5"/>
    <w:rsid w:val="761A497E"/>
    <w:rsid w:val="761D1826"/>
    <w:rsid w:val="764C1889"/>
    <w:rsid w:val="76685F07"/>
    <w:rsid w:val="76766876"/>
    <w:rsid w:val="768463FF"/>
    <w:rsid w:val="76982C90"/>
    <w:rsid w:val="76F004AF"/>
    <w:rsid w:val="77235DBB"/>
    <w:rsid w:val="775F555C"/>
    <w:rsid w:val="776F0977"/>
    <w:rsid w:val="77860D3A"/>
    <w:rsid w:val="77C33F0A"/>
    <w:rsid w:val="77DE0B76"/>
    <w:rsid w:val="78006731"/>
    <w:rsid w:val="78372035"/>
    <w:rsid w:val="78652099"/>
    <w:rsid w:val="789F0C53"/>
    <w:rsid w:val="78D72E64"/>
    <w:rsid w:val="78E20CD2"/>
    <w:rsid w:val="78EC04E3"/>
    <w:rsid w:val="79352A18"/>
    <w:rsid w:val="79363C00"/>
    <w:rsid w:val="798E037A"/>
    <w:rsid w:val="7991130A"/>
    <w:rsid w:val="79AB134E"/>
    <w:rsid w:val="79BC4EE7"/>
    <w:rsid w:val="7A924DAC"/>
    <w:rsid w:val="7AAD5B8D"/>
    <w:rsid w:val="7ACF5FCB"/>
    <w:rsid w:val="7AE446F6"/>
    <w:rsid w:val="7AF95834"/>
    <w:rsid w:val="7B065430"/>
    <w:rsid w:val="7B361F75"/>
    <w:rsid w:val="7B4038F6"/>
    <w:rsid w:val="7B5678CC"/>
    <w:rsid w:val="7B5A11DD"/>
    <w:rsid w:val="7B6E686F"/>
    <w:rsid w:val="7B717E13"/>
    <w:rsid w:val="7B7428EB"/>
    <w:rsid w:val="7BA43E85"/>
    <w:rsid w:val="7BAB2F3D"/>
    <w:rsid w:val="7C5E6533"/>
    <w:rsid w:val="7C7055D5"/>
    <w:rsid w:val="7C792C1C"/>
    <w:rsid w:val="7C7C7246"/>
    <w:rsid w:val="7CA11C83"/>
    <w:rsid w:val="7CC322D4"/>
    <w:rsid w:val="7CE97B9C"/>
    <w:rsid w:val="7CF62A9C"/>
    <w:rsid w:val="7D190099"/>
    <w:rsid w:val="7D1D14A9"/>
    <w:rsid w:val="7D36003F"/>
    <w:rsid w:val="7D3A3FBD"/>
    <w:rsid w:val="7D6D2B7A"/>
    <w:rsid w:val="7D835243"/>
    <w:rsid w:val="7D9B182D"/>
    <w:rsid w:val="7D9D2BDC"/>
    <w:rsid w:val="7DA12FBD"/>
    <w:rsid w:val="7DC4436B"/>
    <w:rsid w:val="7DE02ACA"/>
    <w:rsid w:val="7E013B45"/>
    <w:rsid w:val="7E5F22E5"/>
    <w:rsid w:val="7E6A252A"/>
    <w:rsid w:val="7EB42631"/>
    <w:rsid w:val="7EC16E01"/>
    <w:rsid w:val="7EC342AC"/>
    <w:rsid w:val="7ED238F9"/>
    <w:rsid w:val="7F2D7083"/>
    <w:rsid w:val="7F3E6F04"/>
    <w:rsid w:val="7F5E07FC"/>
    <w:rsid w:val="7F7B2EE9"/>
    <w:rsid w:val="7F9B734D"/>
    <w:rsid w:val="7FD6068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14:defaultImageDpi w14:val="32767"/>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480"/>
      <w:jc w:val="both"/>
    </w:pPr>
    <w:rPr>
      <w:rFonts w:ascii="Times New Roman" w:hAnsi="Times New Roman" w:eastAsia="宋体" w:cs="Times New Roman"/>
      <w:color w:val="000000"/>
      <w:kern w:val="2"/>
      <w:sz w:val="24"/>
      <w:szCs w:val="22"/>
      <w:lang w:val="en-US" w:eastAsia="zh-CN" w:bidi="ar-SA"/>
    </w:rPr>
  </w:style>
  <w:style w:type="paragraph" w:styleId="2">
    <w:name w:val="heading 1"/>
    <w:basedOn w:val="3"/>
    <w:next w:val="1"/>
    <w:link w:val="34"/>
    <w:qFormat/>
    <w:uiPriority w:val="9"/>
    <w:pPr>
      <w:pageBreakBefore/>
      <w:jc w:val="center"/>
      <w:outlineLvl w:val="0"/>
    </w:pPr>
    <w:rPr>
      <w:bCs w:val="0"/>
      <w:kern w:val="44"/>
      <w:sz w:val="32"/>
      <w:szCs w:val="44"/>
    </w:rPr>
  </w:style>
  <w:style w:type="paragraph" w:styleId="3">
    <w:name w:val="heading 2"/>
    <w:basedOn w:val="1"/>
    <w:next w:val="1"/>
    <w:link w:val="33"/>
    <w:qFormat/>
    <w:uiPriority w:val="9"/>
    <w:pPr>
      <w:keepNext/>
      <w:keepLines/>
      <w:spacing w:before="240" w:after="160" w:line="288" w:lineRule="auto"/>
      <w:ind w:firstLine="0"/>
      <w:jc w:val="left"/>
      <w:outlineLvl w:val="1"/>
    </w:pPr>
    <w:rPr>
      <w:rFonts w:eastAsia="黑体"/>
      <w:bCs/>
      <w:sz w:val="28"/>
      <w:szCs w:val="32"/>
    </w:rPr>
  </w:style>
  <w:style w:type="paragraph" w:styleId="4">
    <w:name w:val="heading 3"/>
    <w:basedOn w:val="1"/>
    <w:next w:val="1"/>
    <w:link w:val="35"/>
    <w:qFormat/>
    <w:uiPriority w:val="9"/>
    <w:pPr>
      <w:keepNext/>
      <w:keepLines/>
      <w:spacing w:before="160" w:beforeLines="100" w:after="100" w:afterLines="100" w:line="288" w:lineRule="auto"/>
      <w:ind w:firstLine="0"/>
      <w:jc w:val="left"/>
      <w:outlineLvl w:val="2"/>
    </w:pPr>
    <w:rPr>
      <w:rFonts w:eastAsia="黑体"/>
      <w:bCs/>
      <w:szCs w:val="32"/>
    </w:rPr>
  </w:style>
  <w:style w:type="paragraph" w:styleId="5">
    <w:name w:val="heading 4"/>
    <w:basedOn w:val="1"/>
    <w:next w:val="1"/>
    <w:link w:val="57"/>
    <w:qFormat/>
    <w:uiPriority w:val="9"/>
    <w:pPr>
      <w:keepNext/>
      <w:keepLines/>
      <w:spacing w:before="280" w:after="290" w:line="372" w:lineRule="auto"/>
      <w:outlineLvl w:val="3"/>
    </w:pPr>
    <w:rPr>
      <w:rFonts w:ascii="Arial" w:hAnsi="Arial" w:eastAsia="黑体"/>
      <w:b/>
      <w:sz w:val="28"/>
    </w:rPr>
  </w:style>
  <w:style w:type="paragraph" w:styleId="6">
    <w:name w:val="heading 5"/>
    <w:basedOn w:val="1"/>
    <w:next w:val="1"/>
    <w:link w:val="58"/>
    <w:qFormat/>
    <w:uiPriority w:val="9"/>
    <w:pPr>
      <w:keepNext/>
      <w:keepLines/>
      <w:spacing w:before="280" w:after="290" w:line="372" w:lineRule="auto"/>
      <w:outlineLvl w:val="4"/>
    </w:pPr>
    <w:rPr>
      <w:b/>
      <w:sz w:val="28"/>
    </w:rPr>
  </w:style>
  <w:style w:type="paragraph" w:styleId="7">
    <w:name w:val="heading 6"/>
    <w:basedOn w:val="1"/>
    <w:next w:val="1"/>
    <w:link w:val="59"/>
    <w:qFormat/>
    <w:uiPriority w:val="9"/>
    <w:pPr>
      <w:keepNext/>
      <w:keepLines/>
      <w:spacing w:before="240" w:after="64" w:line="317" w:lineRule="auto"/>
      <w:outlineLvl w:val="5"/>
    </w:pPr>
    <w:rPr>
      <w:rFonts w:ascii="Arial" w:hAnsi="Arial" w:eastAsia="黑体"/>
      <w:b/>
    </w:rPr>
  </w:style>
  <w:style w:type="paragraph" w:styleId="8">
    <w:name w:val="heading 7"/>
    <w:basedOn w:val="1"/>
    <w:next w:val="1"/>
    <w:link w:val="54"/>
    <w:semiHidden/>
    <w:unhideWhenUsed/>
    <w:qFormat/>
    <w:uiPriority w:val="9"/>
    <w:pPr>
      <w:keepNext/>
      <w:keepLines/>
      <w:spacing w:before="40" w:line="240" w:lineRule="auto"/>
      <w:ind w:firstLine="0"/>
      <w:outlineLvl w:val="6"/>
    </w:pPr>
    <w:rPr>
      <w:rFonts w:asciiTheme="minorHAnsi" w:hAnsiTheme="minorHAnsi" w:eastAsiaTheme="minorEastAsia" w:cstheme="majorBidi"/>
      <w:b/>
      <w:bCs/>
      <w:color w:val="585858" w:themeColor="text1" w:themeTint="A6"/>
      <w:sz w:val="21"/>
    </w:rPr>
  </w:style>
  <w:style w:type="paragraph" w:styleId="9">
    <w:name w:val="heading 8"/>
    <w:basedOn w:val="1"/>
    <w:next w:val="1"/>
    <w:link w:val="55"/>
    <w:semiHidden/>
    <w:unhideWhenUsed/>
    <w:qFormat/>
    <w:uiPriority w:val="9"/>
    <w:pPr>
      <w:keepNext/>
      <w:keepLines/>
      <w:spacing w:line="240" w:lineRule="auto"/>
      <w:ind w:firstLine="0"/>
      <w:outlineLvl w:val="7"/>
    </w:pPr>
    <w:rPr>
      <w:rFonts w:asciiTheme="minorHAnsi" w:hAnsiTheme="minorHAnsi" w:eastAsiaTheme="minorEastAsia" w:cstheme="majorBidi"/>
      <w:color w:val="585858" w:themeColor="text1" w:themeTint="A6"/>
      <w:sz w:val="21"/>
    </w:rPr>
  </w:style>
  <w:style w:type="paragraph" w:styleId="10">
    <w:name w:val="heading 9"/>
    <w:basedOn w:val="1"/>
    <w:next w:val="1"/>
    <w:link w:val="56"/>
    <w:semiHidden/>
    <w:unhideWhenUsed/>
    <w:qFormat/>
    <w:uiPriority w:val="9"/>
    <w:pPr>
      <w:keepNext/>
      <w:keepLines/>
      <w:spacing w:line="240" w:lineRule="auto"/>
      <w:ind w:firstLine="0"/>
      <w:outlineLvl w:val="8"/>
    </w:pPr>
    <w:rPr>
      <w:rFonts w:asciiTheme="minorHAnsi" w:hAnsiTheme="minorHAnsi" w:eastAsiaTheme="majorEastAsia" w:cstheme="majorBidi"/>
      <w:color w:val="585858" w:themeColor="text1" w:themeTint="A6"/>
      <w:sz w:val="21"/>
    </w:rPr>
  </w:style>
  <w:style w:type="character" w:default="1" w:styleId="30">
    <w:name w:val="Default Paragraph Font"/>
    <w:semiHidden/>
    <w:unhideWhenUsed/>
    <w:uiPriority w:val="1"/>
  </w:style>
  <w:style w:type="table" w:default="1" w:styleId="28">
    <w:name w:val="Normal Table"/>
    <w:semiHidden/>
    <w:unhideWhenUsed/>
    <w:uiPriority w:val="99"/>
    <w:tblPr>
      <w:tblCellMar>
        <w:top w:w="0" w:type="dxa"/>
        <w:left w:w="108" w:type="dxa"/>
        <w:bottom w:w="0" w:type="dxa"/>
        <w:right w:w="108" w:type="dxa"/>
      </w:tblCellMar>
    </w:tblPr>
  </w:style>
  <w:style w:type="paragraph" w:styleId="11">
    <w:name w:val="toc 7"/>
    <w:basedOn w:val="1"/>
    <w:next w:val="1"/>
    <w:autoRedefine/>
    <w:unhideWhenUsed/>
    <w:uiPriority w:val="39"/>
    <w:pPr>
      <w:widowControl w:val="0"/>
      <w:spacing w:after="160" w:line="278" w:lineRule="auto"/>
      <w:ind w:left="2520" w:leftChars="1200" w:firstLine="0"/>
      <w:jc w:val="left"/>
    </w:pPr>
    <w:rPr>
      <w:rFonts w:asciiTheme="minorHAnsi" w:hAnsiTheme="minorHAnsi" w:eastAsiaTheme="minorEastAsia" w:cstheme="minorBidi"/>
      <w:color w:val="auto"/>
      <w:sz w:val="22"/>
      <w:szCs w:val="24"/>
    </w:rPr>
  </w:style>
  <w:style w:type="paragraph" w:styleId="12">
    <w:name w:val="annotation text"/>
    <w:basedOn w:val="1"/>
    <w:link w:val="77"/>
    <w:unhideWhenUsed/>
    <w:qFormat/>
    <w:uiPriority w:val="99"/>
    <w:pPr>
      <w:jc w:val="left"/>
    </w:pPr>
  </w:style>
  <w:style w:type="paragraph" w:styleId="13">
    <w:name w:val="toc 5"/>
    <w:basedOn w:val="1"/>
    <w:next w:val="1"/>
    <w:autoRedefine/>
    <w:unhideWhenUsed/>
    <w:uiPriority w:val="39"/>
    <w:pPr>
      <w:widowControl w:val="0"/>
      <w:spacing w:after="160" w:line="278" w:lineRule="auto"/>
      <w:ind w:left="1680" w:leftChars="800" w:firstLine="0"/>
      <w:jc w:val="left"/>
    </w:pPr>
    <w:rPr>
      <w:rFonts w:asciiTheme="minorHAnsi" w:hAnsiTheme="minorHAnsi" w:eastAsiaTheme="minorEastAsia" w:cstheme="minorBidi"/>
      <w:color w:val="auto"/>
      <w:sz w:val="22"/>
      <w:szCs w:val="24"/>
    </w:rPr>
  </w:style>
  <w:style w:type="paragraph" w:styleId="14">
    <w:name w:val="toc 3"/>
    <w:basedOn w:val="1"/>
    <w:next w:val="1"/>
    <w:unhideWhenUsed/>
    <w:qFormat/>
    <w:uiPriority w:val="39"/>
    <w:pPr>
      <w:tabs>
        <w:tab w:val="right" w:leader="dot" w:pos="9071"/>
      </w:tabs>
      <w:spacing w:after="60" w:line="240" w:lineRule="auto"/>
      <w:ind w:left="480" w:firstLine="0"/>
      <w:jc w:val="left"/>
    </w:pPr>
    <w:rPr>
      <w:kern w:val="0"/>
      <w:sz w:val="21"/>
    </w:rPr>
  </w:style>
  <w:style w:type="paragraph" w:styleId="15">
    <w:name w:val="toc 8"/>
    <w:basedOn w:val="1"/>
    <w:next w:val="1"/>
    <w:autoRedefine/>
    <w:unhideWhenUsed/>
    <w:uiPriority w:val="39"/>
    <w:pPr>
      <w:widowControl w:val="0"/>
      <w:spacing w:after="160" w:line="278" w:lineRule="auto"/>
      <w:ind w:left="2940" w:leftChars="1400" w:firstLine="0"/>
      <w:jc w:val="left"/>
    </w:pPr>
    <w:rPr>
      <w:rFonts w:asciiTheme="minorHAnsi" w:hAnsiTheme="minorHAnsi" w:eastAsiaTheme="minorEastAsia" w:cstheme="minorBidi"/>
      <w:color w:val="auto"/>
      <w:sz w:val="22"/>
      <w:szCs w:val="24"/>
    </w:rPr>
  </w:style>
  <w:style w:type="paragraph" w:styleId="16">
    <w:name w:val="Date"/>
    <w:basedOn w:val="1"/>
    <w:next w:val="1"/>
    <w:link w:val="66"/>
    <w:semiHidden/>
    <w:unhideWhenUsed/>
    <w:uiPriority w:val="99"/>
    <w:pPr>
      <w:spacing w:line="240" w:lineRule="auto"/>
      <w:ind w:left="100" w:leftChars="2500" w:firstLine="0"/>
    </w:pPr>
    <w:rPr>
      <w:rFonts w:asciiTheme="minorHAnsi" w:hAnsiTheme="minorHAnsi" w:eastAsiaTheme="minorEastAsia" w:cstheme="minorBidi"/>
      <w:sz w:val="21"/>
    </w:rPr>
  </w:style>
  <w:style w:type="paragraph" w:styleId="17">
    <w:name w:val="footer"/>
    <w:basedOn w:val="1"/>
    <w:link w:val="36"/>
    <w:unhideWhenUsed/>
    <w:qFormat/>
    <w:uiPriority w:val="99"/>
    <w:pPr>
      <w:snapToGrid w:val="0"/>
      <w:jc w:val="left"/>
    </w:pPr>
    <w:rPr>
      <w:sz w:val="18"/>
      <w:szCs w:val="18"/>
    </w:rPr>
  </w:style>
  <w:style w:type="paragraph" w:styleId="18">
    <w:name w:val="header"/>
    <w:basedOn w:val="1"/>
    <w:link w:val="37"/>
    <w:unhideWhenUsed/>
    <w:qFormat/>
    <w:uiPriority w:val="99"/>
    <w:pPr>
      <w:snapToGrid w:val="0"/>
      <w:jc w:val="center"/>
    </w:pPr>
    <w:rPr>
      <w:sz w:val="18"/>
      <w:szCs w:val="18"/>
    </w:rPr>
  </w:style>
  <w:style w:type="paragraph" w:styleId="19">
    <w:name w:val="toc 1"/>
    <w:basedOn w:val="1"/>
    <w:next w:val="1"/>
    <w:unhideWhenUsed/>
    <w:qFormat/>
    <w:uiPriority w:val="39"/>
    <w:pPr>
      <w:tabs>
        <w:tab w:val="right" w:leader="dot" w:pos="9071"/>
      </w:tabs>
      <w:spacing w:after="60" w:line="240" w:lineRule="auto"/>
      <w:ind w:firstLine="0"/>
    </w:pPr>
    <w:rPr>
      <w:kern w:val="0"/>
      <w:sz w:val="21"/>
      <w:szCs w:val="24"/>
    </w:rPr>
  </w:style>
  <w:style w:type="paragraph" w:styleId="20">
    <w:name w:val="toc 4"/>
    <w:basedOn w:val="1"/>
    <w:next w:val="1"/>
    <w:autoRedefine/>
    <w:unhideWhenUsed/>
    <w:uiPriority w:val="39"/>
    <w:pPr>
      <w:widowControl w:val="0"/>
      <w:spacing w:after="160" w:line="278" w:lineRule="auto"/>
      <w:ind w:left="1260" w:leftChars="600" w:firstLine="0"/>
      <w:jc w:val="left"/>
    </w:pPr>
    <w:rPr>
      <w:rFonts w:asciiTheme="minorHAnsi" w:hAnsiTheme="minorHAnsi" w:eastAsiaTheme="minorEastAsia" w:cstheme="minorBidi"/>
      <w:color w:val="auto"/>
      <w:sz w:val="22"/>
      <w:szCs w:val="24"/>
    </w:rPr>
  </w:style>
  <w:style w:type="paragraph" w:styleId="21">
    <w:name w:val="Subtitle"/>
    <w:basedOn w:val="1"/>
    <w:next w:val="1"/>
    <w:link w:val="38"/>
    <w:qFormat/>
    <w:uiPriority w:val="11"/>
    <w:rPr>
      <w:bCs/>
      <w:kern w:val="28"/>
      <w:szCs w:val="32"/>
    </w:rPr>
  </w:style>
  <w:style w:type="paragraph" w:styleId="22">
    <w:name w:val="toc 6"/>
    <w:basedOn w:val="1"/>
    <w:next w:val="1"/>
    <w:autoRedefine/>
    <w:unhideWhenUsed/>
    <w:uiPriority w:val="39"/>
    <w:pPr>
      <w:widowControl w:val="0"/>
      <w:spacing w:after="160" w:line="278" w:lineRule="auto"/>
      <w:ind w:left="2100" w:leftChars="1000" w:firstLine="0"/>
      <w:jc w:val="left"/>
    </w:pPr>
    <w:rPr>
      <w:rFonts w:asciiTheme="minorHAnsi" w:hAnsiTheme="minorHAnsi" w:eastAsiaTheme="minorEastAsia" w:cstheme="minorBidi"/>
      <w:color w:val="auto"/>
      <w:sz w:val="22"/>
      <w:szCs w:val="24"/>
    </w:rPr>
  </w:style>
  <w:style w:type="paragraph" w:styleId="23">
    <w:name w:val="toc 2"/>
    <w:basedOn w:val="1"/>
    <w:next w:val="1"/>
    <w:unhideWhenUsed/>
    <w:qFormat/>
    <w:uiPriority w:val="39"/>
    <w:pPr>
      <w:tabs>
        <w:tab w:val="right" w:leader="dot" w:pos="9071"/>
      </w:tabs>
      <w:spacing w:after="60" w:line="240" w:lineRule="auto"/>
      <w:ind w:left="240" w:firstLine="0"/>
      <w:jc w:val="left"/>
    </w:pPr>
    <w:rPr>
      <w:kern w:val="0"/>
      <w:sz w:val="21"/>
    </w:rPr>
  </w:style>
  <w:style w:type="paragraph" w:styleId="24">
    <w:name w:val="toc 9"/>
    <w:basedOn w:val="1"/>
    <w:next w:val="1"/>
    <w:autoRedefine/>
    <w:unhideWhenUsed/>
    <w:uiPriority w:val="39"/>
    <w:pPr>
      <w:widowControl w:val="0"/>
      <w:spacing w:after="160" w:line="278" w:lineRule="auto"/>
      <w:ind w:left="3360" w:leftChars="1600" w:firstLine="0"/>
      <w:jc w:val="left"/>
    </w:pPr>
    <w:rPr>
      <w:rFonts w:asciiTheme="minorHAnsi" w:hAnsiTheme="minorHAnsi" w:eastAsiaTheme="minorEastAsia" w:cstheme="minorBidi"/>
      <w:color w:val="auto"/>
      <w:sz w:val="22"/>
      <w:szCs w:val="24"/>
    </w:rPr>
  </w:style>
  <w:style w:type="paragraph" w:styleId="25">
    <w:name w:val="Normal (Web)"/>
    <w:basedOn w:val="1"/>
    <w:unhideWhenUsed/>
    <w:uiPriority w:val="99"/>
    <w:pPr>
      <w:spacing w:before="100" w:beforeAutospacing="1" w:after="100" w:afterAutospacing="1" w:line="240" w:lineRule="auto"/>
      <w:ind w:firstLine="0"/>
      <w:jc w:val="left"/>
    </w:pPr>
    <w:rPr>
      <w:rFonts w:ascii="宋体" w:hAnsi="宋体" w:cs="宋体"/>
      <w:kern w:val="0"/>
      <w:szCs w:val="24"/>
    </w:rPr>
  </w:style>
  <w:style w:type="paragraph" w:styleId="26">
    <w:name w:val="Title"/>
    <w:basedOn w:val="1"/>
    <w:next w:val="1"/>
    <w:link w:val="39"/>
    <w:qFormat/>
    <w:uiPriority w:val="10"/>
    <w:pPr>
      <w:spacing w:before="100" w:beforeLines="100" w:after="100" w:afterLines="100" w:line="240" w:lineRule="auto"/>
      <w:jc w:val="center"/>
    </w:pPr>
    <w:rPr>
      <w:rFonts w:eastAsia="黑体"/>
      <w:bCs/>
      <w:sz w:val="44"/>
      <w:szCs w:val="32"/>
    </w:rPr>
  </w:style>
  <w:style w:type="paragraph" w:styleId="27">
    <w:name w:val="annotation subject"/>
    <w:basedOn w:val="12"/>
    <w:next w:val="12"/>
    <w:link w:val="78"/>
    <w:semiHidden/>
    <w:unhideWhenUsed/>
    <w:uiPriority w:val="99"/>
    <w:rPr>
      <w:b/>
      <w:bCs/>
    </w:rPr>
  </w:style>
  <w:style w:type="table" w:styleId="29">
    <w:name w:val="Table Grid"/>
    <w:basedOn w:val="28"/>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Hyperlink"/>
    <w:basedOn w:val="30"/>
    <w:unhideWhenUsed/>
    <w:qFormat/>
    <w:uiPriority w:val="99"/>
    <w:rPr>
      <w:color w:val="0563C1"/>
      <w:u w:val="single"/>
    </w:rPr>
  </w:style>
  <w:style w:type="character" w:styleId="32">
    <w:name w:val="annotation reference"/>
    <w:basedOn w:val="30"/>
    <w:semiHidden/>
    <w:unhideWhenUsed/>
    <w:uiPriority w:val="99"/>
    <w:rPr>
      <w:sz w:val="21"/>
      <w:szCs w:val="21"/>
    </w:rPr>
  </w:style>
  <w:style w:type="character" w:customStyle="1" w:styleId="33">
    <w:name w:val="标题 2 字符"/>
    <w:basedOn w:val="30"/>
    <w:link w:val="3"/>
    <w:qFormat/>
    <w:uiPriority w:val="9"/>
    <w:rPr>
      <w:rFonts w:ascii="Times New Roman" w:hAnsi="Times New Roman" w:eastAsia="宋体" w:cs="Times New Roman"/>
      <w:bCs/>
      <w:sz w:val="24"/>
      <w:szCs w:val="32"/>
    </w:rPr>
  </w:style>
  <w:style w:type="character" w:customStyle="1" w:styleId="34">
    <w:name w:val="标题 1 字符"/>
    <w:basedOn w:val="30"/>
    <w:link w:val="2"/>
    <w:qFormat/>
    <w:uiPriority w:val="9"/>
    <w:rPr>
      <w:rFonts w:ascii="Times New Roman" w:hAnsi="Times New Roman" w:eastAsia="宋体" w:cs="Times New Roman"/>
      <w:kern w:val="44"/>
      <w:sz w:val="24"/>
      <w:szCs w:val="44"/>
    </w:rPr>
  </w:style>
  <w:style w:type="character" w:customStyle="1" w:styleId="35">
    <w:name w:val="标题 3 字符"/>
    <w:basedOn w:val="30"/>
    <w:link w:val="4"/>
    <w:qFormat/>
    <w:uiPriority w:val="9"/>
    <w:rPr>
      <w:rFonts w:ascii="Times New Roman" w:hAnsi="Times New Roman" w:eastAsia="宋体"/>
      <w:b/>
      <w:bCs/>
      <w:sz w:val="28"/>
      <w:szCs w:val="32"/>
    </w:rPr>
  </w:style>
  <w:style w:type="character" w:customStyle="1" w:styleId="36">
    <w:name w:val="页脚 字符"/>
    <w:basedOn w:val="30"/>
    <w:link w:val="17"/>
    <w:qFormat/>
    <w:uiPriority w:val="99"/>
    <w:rPr>
      <w:sz w:val="18"/>
      <w:szCs w:val="18"/>
    </w:rPr>
  </w:style>
  <w:style w:type="character" w:customStyle="1" w:styleId="37">
    <w:name w:val="页眉 字符"/>
    <w:basedOn w:val="30"/>
    <w:link w:val="18"/>
    <w:qFormat/>
    <w:uiPriority w:val="99"/>
    <w:rPr>
      <w:sz w:val="18"/>
      <w:szCs w:val="18"/>
    </w:rPr>
  </w:style>
  <w:style w:type="character" w:customStyle="1" w:styleId="38">
    <w:name w:val="副标题 字符"/>
    <w:basedOn w:val="30"/>
    <w:link w:val="21"/>
    <w:qFormat/>
    <w:uiPriority w:val="11"/>
    <w:rPr>
      <w:rFonts w:ascii="Times New Roman" w:hAnsi="Times New Roman" w:eastAsia="宋体"/>
      <w:bCs/>
      <w:kern w:val="28"/>
      <w:sz w:val="24"/>
      <w:szCs w:val="32"/>
    </w:rPr>
  </w:style>
  <w:style w:type="character" w:customStyle="1" w:styleId="39">
    <w:name w:val="标题 字符"/>
    <w:basedOn w:val="30"/>
    <w:link w:val="26"/>
    <w:qFormat/>
    <w:uiPriority w:val="10"/>
    <w:rPr>
      <w:rFonts w:ascii="等线 Light" w:hAnsi="等线 Light" w:eastAsia="黑体" w:cs="Times New Roman"/>
      <w:b/>
      <w:bCs/>
      <w:sz w:val="28"/>
      <w:szCs w:val="32"/>
    </w:rPr>
  </w:style>
  <w:style w:type="paragraph" w:styleId="40">
    <w:name w:val="No Spacing"/>
    <w:qFormat/>
    <w:uiPriority w:val="1"/>
    <w:pPr>
      <w:widowControl w:val="0"/>
      <w:spacing w:before="100" w:beforeLines="100" w:after="100" w:afterLines="100"/>
      <w:jc w:val="center"/>
      <w:outlineLvl w:val="0"/>
    </w:pPr>
    <w:rPr>
      <w:rFonts w:ascii="Times New Roman" w:hAnsi="Times New Roman" w:eastAsia="黑体" w:cs="Times New Roman"/>
      <w:kern w:val="2"/>
      <w:sz w:val="28"/>
      <w:szCs w:val="22"/>
      <w:lang w:val="en-US" w:eastAsia="zh-CN" w:bidi="ar-SA"/>
    </w:rPr>
  </w:style>
  <w:style w:type="paragraph" w:styleId="41">
    <w:name w:val="List Paragraph"/>
    <w:basedOn w:val="1"/>
    <w:link w:val="53"/>
    <w:qFormat/>
    <w:uiPriority w:val="34"/>
    <w:pPr>
      <w:ind w:firstLine="420"/>
    </w:pPr>
  </w:style>
  <w:style w:type="character" w:styleId="42">
    <w:name w:val="Placeholder Text"/>
    <w:basedOn w:val="30"/>
    <w:semiHidden/>
    <w:qFormat/>
    <w:uiPriority w:val="99"/>
    <w:rPr>
      <w:color w:val="808080"/>
    </w:rPr>
  </w:style>
  <w:style w:type="paragraph" w:customStyle="1" w:styleId="43">
    <w:name w:val="TOC 标题1"/>
    <w:basedOn w:val="2"/>
    <w:next w:val="1"/>
    <w:unhideWhenUsed/>
    <w:qFormat/>
    <w:uiPriority w:val="39"/>
    <w:pPr>
      <w:spacing w:line="259" w:lineRule="auto"/>
      <w:outlineLvl w:val="9"/>
    </w:pPr>
    <w:rPr>
      <w:rFonts w:ascii="等线 Light" w:hAnsi="等线 Light" w:eastAsia="等线 Light"/>
      <w:bCs/>
      <w:color w:val="2F5496"/>
      <w:kern w:val="0"/>
      <w:szCs w:val="32"/>
    </w:rPr>
  </w:style>
  <w:style w:type="character" w:customStyle="1" w:styleId="44">
    <w:name w:val="不明显强调1"/>
    <w:basedOn w:val="30"/>
    <w:qFormat/>
    <w:uiPriority w:val="19"/>
    <w:rPr>
      <w:rFonts w:ascii="Times New Roman" w:hAnsi="Times New Roman" w:eastAsia="宋体"/>
      <w:iCs/>
      <w:color w:val="3F3F3F"/>
      <w:sz w:val="21"/>
    </w:rPr>
  </w:style>
  <w:style w:type="paragraph" w:customStyle="1" w:styleId="45">
    <w:name w:val="样式1"/>
    <w:basedOn w:val="1"/>
    <w:link w:val="73"/>
    <w:qFormat/>
    <w:uiPriority w:val="0"/>
    <w:rPr>
      <w:rFonts w:eastAsia="仿宋"/>
    </w:rPr>
  </w:style>
  <w:style w:type="paragraph" w:customStyle="1" w:styleId="46">
    <w:name w:val="列表段落1"/>
    <w:basedOn w:val="1"/>
    <w:qFormat/>
    <w:uiPriority w:val="99"/>
    <w:pPr>
      <w:ind w:firstLine="420"/>
    </w:pPr>
    <w:rPr>
      <w:rFonts w:ascii="Arial" w:hAnsi="Arial" w:eastAsia="黑体" w:cs="黑体"/>
    </w:rPr>
  </w:style>
  <w:style w:type="character" w:customStyle="1" w:styleId="47">
    <w:name w:val="正文首行缩进 2 Char"/>
    <w:basedOn w:val="30"/>
    <w:qFormat/>
    <w:uiPriority w:val="0"/>
    <w:rPr>
      <w:rFonts w:eastAsia="宋体"/>
      <w:kern w:val="2"/>
      <w:sz w:val="21"/>
      <w:szCs w:val="24"/>
      <w:lang w:val="en-US" w:eastAsia="zh-CN" w:bidi="ar-SA"/>
    </w:rPr>
  </w:style>
  <w:style w:type="paragraph" w:customStyle="1" w:styleId="48">
    <w:name w:val="WPSOffice手动目录 1"/>
    <w:qFormat/>
    <w:uiPriority w:val="0"/>
    <w:rPr>
      <w:rFonts w:ascii="Times New Roman" w:hAnsi="Times New Roman" w:eastAsia="宋体" w:cs="Times New Roman"/>
      <w:lang w:val="en-US" w:eastAsia="zh-CN" w:bidi="ar-SA"/>
    </w:rPr>
  </w:style>
  <w:style w:type="paragraph" w:customStyle="1" w:styleId="49">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50">
    <w:name w:val="WPSOffice手动目录 3"/>
    <w:uiPriority w:val="0"/>
    <w:pPr>
      <w:ind w:left="400" w:leftChars="400"/>
    </w:pPr>
    <w:rPr>
      <w:rFonts w:ascii="Times New Roman" w:hAnsi="Times New Roman" w:eastAsia="宋体" w:cs="Times New Roman"/>
      <w:lang w:val="en-US" w:eastAsia="zh-CN" w:bidi="ar-SA"/>
    </w:rPr>
  </w:style>
  <w:style w:type="paragraph" w:customStyle="1" w:styleId="51">
    <w:name w:val="EndNote Bibliography Title"/>
    <w:uiPriority w:val="0"/>
    <w:pPr>
      <w:pBdr>
        <w:top w:val="none" w:color="auto" w:sz="0" w:space="0"/>
        <w:left w:val="none" w:color="auto" w:sz="0" w:space="0"/>
        <w:bottom w:val="none" w:color="auto" w:sz="0" w:space="0"/>
        <w:right w:val="none" w:color="auto" w:sz="0" w:space="0"/>
        <w:between w:val="none" w:color="auto" w:sz="0" w:space="0"/>
      </w:pBdr>
      <w:jc w:val="center"/>
    </w:pPr>
    <w:rPr>
      <w:rFonts w:ascii="Arial" w:hAnsi="Arial" w:eastAsia="宋体" w:cs="Arial"/>
      <w:kern w:val="2"/>
      <w:sz w:val="24"/>
      <w:szCs w:val="22"/>
      <w:lang w:val="en-US" w:eastAsia="zh-CN" w:bidi="ar-SA"/>
    </w:rPr>
  </w:style>
  <w:style w:type="paragraph" w:customStyle="1" w:styleId="52">
    <w:name w:val="EndNote Bibliography"/>
    <w:uiPriority w:val="0"/>
    <w:pPr>
      <w:pBdr>
        <w:top w:val="none" w:color="auto" w:sz="0" w:space="0"/>
        <w:left w:val="none" w:color="auto" w:sz="0" w:space="0"/>
        <w:bottom w:val="none" w:color="auto" w:sz="0" w:space="0"/>
        <w:right w:val="none" w:color="auto" w:sz="0" w:space="0"/>
        <w:between w:val="none" w:color="auto" w:sz="0" w:space="0"/>
      </w:pBdr>
      <w:jc w:val="both"/>
    </w:pPr>
    <w:rPr>
      <w:rFonts w:ascii="Arial" w:hAnsi="Arial" w:eastAsia="宋体" w:cs="Arial"/>
      <w:kern w:val="2"/>
      <w:sz w:val="24"/>
      <w:szCs w:val="22"/>
      <w:lang w:val="en-US" w:eastAsia="zh-CN" w:bidi="ar-SA"/>
    </w:rPr>
  </w:style>
  <w:style w:type="character" w:customStyle="1" w:styleId="53">
    <w:name w:val="列表段落 字符"/>
    <w:basedOn w:val="30"/>
    <w:link w:val="41"/>
    <w:qFormat/>
    <w:uiPriority w:val="34"/>
    <w:rPr>
      <w:kern w:val="2"/>
      <w:sz w:val="24"/>
      <w:szCs w:val="22"/>
    </w:rPr>
  </w:style>
  <w:style w:type="character" w:customStyle="1" w:styleId="54">
    <w:name w:val="标题 7 字符"/>
    <w:basedOn w:val="30"/>
    <w:link w:val="8"/>
    <w:semiHidden/>
    <w:uiPriority w:val="9"/>
    <w:rPr>
      <w:rFonts w:asciiTheme="minorHAnsi" w:hAnsiTheme="minorHAnsi" w:eastAsiaTheme="minorEastAsia" w:cstheme="majorBidi"/>
      <w:b/>
      <w:bCs/>
      <w:color w:val="585858" w:themeColor="text1" w:themeTint="A6"/>
      <w:kern w:val="2"/>
      <w:sz w:val="21"/>
      <w:szCs w:val="22"/>
    </w:rPr>
  </w:style>
  <w:style w:type="character" w:customStyle="1" w:styleId="55">
    <w:name w:val="标题 8 字符"/>
    <w:basedOn w:val="30"/>
    <w:link w:val="9"/>
    <w:semiHidden/>
    <w:uiPriority w:val="9"/>
    <w:rPr>
      <w:rFonts w:asciiTheme="minorHAnsi" w:hAnsiTheme="minorHAnsi" w:eastAsiaTheme="minorEastAsia" w:cstheme="majorBidi"/>
      <w:color w:val="585858" w:themeColor="text1" w:themeTint="A6"/>
      <w:kern w:val="2"/>
      <w:sz w:val="21"/>
      <w:szCs w:val="22"/>
    </w:rPr>
  </w:style>
  <w:style w:type="character" w:customStyle="1" w:styleId="56">
    <w:name w:val="标题 9 字符"/>
    <w:basedOn w:val="30"/>
    <w:link w:val="10"/>
    <w:semiHidden/>
    <w:uiPriority w:val="9"/>
    <w:rPr>
      <w:rFonts w:asciiTheme="minorHAnsi" w:hAnsiTheme="minorHAnsi" w:eastAsiaTheme="majorEastAsia" w:cstheme="majorBidi"/>
      <w:color w:val="585858" w:themeColor="text1" w:themeTint="A6"/>
      <w:kern w:val="2"/>
      <w:sz w:val="21"/>
      <w:szCs w:val="22"/>
    </w:rPr>
  </w:style>
  <w:style w:type="character" w:customStyle="1" w:styleId="57">
    <w:name w:val="标题 4 字符"/>
    <w:basedOn w:val="30"/>
    <w:link w:val="5"/>
    <w:uiPriority w:val="9"/>
    <w:rPr>
      <w:rFonts w:ascii="Arial" w:hAnsi="Arial" w:eastAsia="黑体"/>
      <w:b/>
      <w:kern w:val="2"/>
      <w:sz w:val="28"/>
      <w:szCs w:val="22"/>
    </w:rPr>
  </w:style>
  <w:style w:type="character" w:customStyle="1" w:styleId="58">
    <w:name w:val="标题 5 字符"/>
    <w:basedOn w:val="30"/>
    <w:link w:val="6"/>
    <w:uiPriority w:val="9"/>
    <w:rPr>
      <w:b/>
      <w:kern w:val="2"/>
      <w:sz w:val="28"/>
      <w:szCs w:val="22"/>
    </w:rPr>
  </w:style>
  <w:style w:type="character" w:customStyle="1" w:styleId="59">
    <w:name w:val="标题 6 字符"/>
    <w:basedOn w:val="30"/>
    <w:link w:val="7"/>
    <w:uiPriority w:val="9"/>
    <w:rPr>
      <w:rFonts w:ascii="Arial" w:hAnsi="Arial" w:eastAsia="黑体"/>
      <w:b/>
      <w:kern w:val="2"/>
      <w:sz w:val="24"/>
      <w:szCs w:val="22"/>
    </w:rPr>
  </w:style>
  <w:style w:type="paragraph" w:styleId="60">
    <w:name w:val="Quote"/>
    <w:basedOn w:val="1"/>
    <w:next w:val="1"/>
    <w:link w:val="61"/>
    <w:qFormat/>
    <w:uiPriority w:val="29"/>
    <w:pPr>
      <w:spacing w:before="160" w:after="160" w:line="240" w:lineRule="auto"/>
      <w:ind w:firstLine="0"/>
      <w:jc w:val="center"/>
    </w:pPr>
    <w:rPr>
      <w:rFonts w:asciiTheme="minorHAnsi" w:hAnsiTheme="minorHAnsi" w:eastAsiaTheme="minorEastAsia" w:cstheme="minorBidi"/>
      <w:i/>
      <w:iCs/>
      <w:color w:val="3F3F3F" w:themeColor="text1" w:themeTint="BF"/>
      <w:sz w:val="21"/>
    </w:rPr>
  </w:style>
  <w:style w:type="character" w:customStyle="1" w:styleId="61">
    <w:name w:val="引用 字符"/>
    <w:basedOn w:val="30"/>
    <w:link w:val="60"/>
    <w:uiPriority w:val="29"/>
    <w:rPr>
      <w:rFonts w:asciiTheme="minorHAnsi" w:hAnsiTheme="minorHAnsi" w:eastAsiaTheme="minorEastAsia" w:cstheme="minorBidi"/>
      <w:i/>
      <w:iCs/>
      <w:color w:val="3F3F3F" w:themeColor="text1" w:themeTint="BF"/>
      <w:kern w:val="2"/>
      <w:sz w:val="21"/>
      <w:szCs w:val="22"/>
    </w:rPr>
  </w:style>
  <w:style w:type="character" w:customStyle="1" w:styleId="62">
    <w:name w:val="Intense Emphasis"/>
    <w:basedOn w:val="30"/>
    <w:qFormat/>
    <w:uiPriority w:val="21"/>
    <w:rPr>
      <w:i/>
      <w:iCs/>
      <w:color w:val="0F4761" w:themeColor="accent1" w:themeShade="BF"/>
    </w:rPr>
  </w:style>
  <w:style w:type="paragraph" w:styleId="63">
    <w:name w:val="Intense Quote"/>
    <w:basedOn w:val="1"/>
    <w:next w:val="1"/>
    <w:link w:val="64"/>
    <w:qFormat/>
    <w:uiPriority w:val="30"/>
    <w:pPr>
      <w:pBdr>
        <w:top w:val="single" w:color="0F4761" w:themeColor="accent1" w:themeShade="BF" w:sz="4" w:space="10"/>
        <w:bottom w:val="single" w:color="0F4761" w:themeColor="accent1" w:themeShade="BF" w:sz="4" w:space="10"/>
      </w:pBdr>
      <w:spacing w:before="360" w:after="360" w:line="240" w:lineRule="auto"/>
      <w:ind w:left="864" w:right="864" w:firstLine="0"/>
      <w:jc w:val="center"/>
    </w:pPr>
    <w:rPr>
      <w:rFonts w:asciiTheme="minorHAnsi" w:hAnsiTheme="minorHAnsi" w:eastAsiaTheme="minorEastAsia" w:cstheme="minorBidi"/>
      <w:i/>
      <w:iCs/>
      <w:color w:val="0F4761" w:themeColor="accent1" w:themeShade="BF"/>
      <w:sz w:val="21"/>
    </w:rPr>
  </w:style>
  <w:style w:type="character" w:customStyle="1" w:styleId="64">
    <w:name w:val="明显引用 字符"/>
    <w:basedOn w:val="30"/>
    <w:link w:val="63"/>
    <w:uiPriority w:val="30"/>
    <w:rPr>
      <w:rFonts w:asciiTheme="minorHAnsi" w:hAnsiTheme="minorHAnsi" w:eastAsiaTheme="minorEastAsia" w:cstheme="minorBidi"/>
      <w:i/>
      <w:iCs/>
      <w:color w:val="0F4761" w:themeColor="accent1" w:themeShade="BF"/>
      <w:kern w:val="2"/>
      <w:sz w:val="21"/>
      <w:szCs w:val="22"/>
    </w:rPr>
  </w:style>
  <w:style w:type="character" w:customStyle="1" w:styleId="65">
    <w:name w:val="Intense Reference"/>
    <w:basedOn w:val="30"/>
    <w:qFormat/>
    <w:uiPriority w:val="32"/>
    <w:rPr>
      <w:b/>
      <w:bCs/>
      <w:smallCaps/>
      <w:color w:val="0F4761" w:themeColor="accent1" w:themeShade="BF"/>
      <w:spacing w:val="5"/>
    </w:rPr>
  </w:style>
  <w:style w:type="character" w:customStyle="1" w:styleId="66">
    <w:name w:val="日期 字符"/>
    <w:basedOn w:val="30"/>
    <w:link w:val="16"/>
    <w:semiHidden/>
    <w:uiPriority w:val="99"/>
    <w:rPr>
      <w:rFonts w:asciiTheme="minorHAnsi" w:hAnsiTheme="minorHAnsi" w:eastAsiaTheme="minorEastAsia" w:cstheme="minorBidi"/>
      <w:kern w:val="2"/>
      <w:sz w:val="21"/>
      <w:szCs w:val="22"/>
    </w:rPr>
  </w:style>
  <w:style w:type="character" w:customStyle="1" w:styleId="67">
    <w:name w:val="MTEquationSection"/>
    <w:basedOn w:val="30"/>
    <w:uiPriority w:val="0"/>
    <w:rPr>
      <w:rFonts w:ascii="宋体" w:hAnsi="宋体" w:eastAsia="宋体"/>
      <w:b/>
      <w:bCs/>
      <w:vanish/>
      <w:color w:val="FF0000"/>
      <w:sz w:val="36"/>
      <w:szCs w:val="40"/>
    </w:rPr>
  </w:style>
  <w:style w:type="paragraph" w:customStyle="1" w:styleId="68">
    <w:name w:val="MTDisplayEquation"/>
    <w:basedOn w:val="41"/>
    <w:next w:val="1"/>
    <w:link w:val="69"/>
    <w:uiPriority w:val="0"/>
    <w:pPr>
      <w:tabs>
        <w:tab w:val="center" w:pos="4360"/>
        <w:tab w:val="right" w:pos="8300"/>
      </w:tabs>
      <w:spacing w:line="240" w:lineRule="auto"/>
      <w:ind w:left="440" w:firstLine="0"/>
      <w:jc w:val="left"/>
    </w:pPr>
    <w:rPr>
      <w:rFonts w:ascii="宋体" w:hAnsi="宋体" w:cstheme="minorBidi"/>
      <w:b/>
      <w:bCs/>
      <w:sz w:val="36"/>
      <w:szCs w:val="40"/>
    </w:rPr>
  </w:style>
  <w:style w:type="character" w:customStyle="1" w:styleId="69">
    <w:name w:val="MTDisplayEquation 字符"/>
    <w:basedOn w:val="53"/>
    <w:link w:val="68"/>
    <w:uiPriority w:val="0"/>
    <w:rPr>
      <w:rFonts w:ascii="宋体" w:hAnsi="宋体" w:cstheme="minorBidi"/>
      <w:b/>
      <w:bCs/>
      <w:kern w:val="2"/>
      <w:sz w:val="36"/>
      <w:szCs w:val="40"/>
    </w:rPr>
  </w:style>
  <w:style w:type="paragraph" w:customStyle="1" w:styleId="70">
    <w:name w:val="TOC Heading"/>
    <w:basedOn w:val="1"/>
    <w:next w:val="1"/>
    <w:unhideWhenUsed/>
    <w:qFormat/>
    <w:uiPriority w:val="39"/>
    <w:pPr>
      <w:spacing w:before="240" w:line="259" w:lineRule="auto"/>
    </w:pPr>
    <w:rPr>
      <w:kern w:val="0"/>
      <w:szCs w:val="32"/>
    </w:rPr>
  </w:style>
  <w:style w:type="paragraph" w:customStyle="1" w:styleId="71">
    <w:name w:val="二级标题"/>
    <w:basedOn w:val="1"/>
    <w:next w:val="1"/>
    <w:link w:val="72"/>
    <w:uiPriority w:val="0"/>
    <w:pPr>
      <w:numPr>
        <w:ilvl w:val="1"/>
        <w:numId w:val="1"/>
      </w:numPr>
      <w:spacing w:line="240" w:lineRule="auto"/>
      <w:ind w:firstLine="0"/>
    </w:pPr>
    <w:rPr>
      <w:b/>
      <w:bCs/>
      <w:sz w:val="28"/>
      <w:szCs w:val="28"/>
    </w:rPr>
  </w:style>
  <w:style w:type="character" w:customStyle="1" w:styleId="72">
    <w:name w:val="二级标题 字符"/>
    <w:basedOn w:val="53"/>
    <w:link w:val="71"/>
    <w:uiPriority w:val="0"/>
    <w:rPr>
      <w:b/>
      <w:bCs/>
      <w:kern w:val="2"/>
      <w:sz w:val="28"/>
      <w:szCs w:val="28"/>
    </w:rPr>
  </w:style>
  <w:style w:type="character" w:customStyle="1" w:styleId="73">
    <w:name w:val="样式1 字符"/>
    <w:basedOn w:val="30"/>
    <w:link w:val="45"/>
    <w:uiPriority w:val="0"/>
    <w:rPr>
      <w:rFonts w:eastAsia="仿宋"/>
      <w:kern w:val="2"/>
      <w:sz w:val="24"/>
      <w:szCs w:val="22"/>
    </w:rPr>
  </w:style>
  <w:style w:type="paragraph" w:customStyle="1" w:styleId="74">
    <w:name w:val="参考文献"/>
    <w:basedOn w:val="1"/>
    <w:link w:val="75"/>
    <w:autoRedefine/>
    <w:qFormat/>
    <w:uiPriority w:val="0"/>
    <w:pPr>
      <w:numPr>
        <w:ilvl w:val="0"/>
        <w:numId w:val="2"/>
      </w:numPr>
      <w:autoSpaceDE w:val="0"/>
      <w:autoSpaceDN w:val="0"/>
      <w:ind w:firstLine="0"/>
    </w:pPr>
    <w:rPr>
      <w:color w:val="222222"/>
      <w:kern w:val="0"/>
      <w:szCs w:val="18"/>
      <w:shd w:val="clear" w:color="auto" w:fill="FFFFFF"/>
    </w:rPr>
  </w:style>
  <w:style w:type="character" w:customStyle="1" w:styleId="75">
    <w:name w:val="参考文献 字符"/>
    <w:basedOn w:val="30"/>
    <w:link w:val="74"/>
    <w:autoRedefine/>
    <w:qFormat/>
    <w:uiPriority w:val="0"/>
    <w:rPr>
      <w:color w:val="222222"/>
      <w:sz w:val="24"/>
      <w:szCs w:val="18"/>
    </w:rPr>
  </w:style>
  <w:style w:type="table" w:customStyle="1" w:styleId="76">
    <w:name w:val="网格型1"/>
    <w:basedOn w:val="28"/>
    <w:uiPriority w:val="39"/>
    <w:pPr>
      <w:widowControl w:val="0"/>
      <w:jc w:val="both"/>
    </w:pPr>
    <w:rPr>
      <w:rFonts w:ascii="等线" w:hAnsi="等线" w:eastAsia="等线" w:cs="Arial"/>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7">
    <w:name w:val="批注文字 字符"/>
    <w:basedOn w:val="30"/>
    <w:link w:val="12"/>
    <w:qFormat/>
    <w:uiPriority w:val="99"/>
    <w:rPr>
      <w:kern w:val="2"/>
      <w:sz w:val="24"/>
      <w:szCs w:val="22"/>
    </w:rPr>
  </w:style>
  <w:style w:type="character" w:customStyle="1" w:styleId="78">
    <w:name w:val="批注主题 字符"/>
    <w:basedOn w:val="77"/>
    <w:link w:val="27"/>
    <w:semiHidden/>
    <w:uiPriority w:val="99"/>
    <w:rPr>
      <w:b/>
      <w:bCs/>
      <w:kern w:val="2"/>
      <w:sz w:val="24"/>
      <w:szCs w:val="22"/>
    </w:rPr>
  </w:style>
  <w:style w:type="paragraph" w:customStyle="1" w:styleId="79">
    <w:name w:val="题注1"/>
    <w:uiPriority w:val="0"/>
    <w:pPr>
      <w:spacing w:before="80" w:after="120" w:line="276" w:lineRule="auto"/>
      <w:jc w:val="center"/>
    </w:pPr>
    <w:rPr>
      <w:rFonts w:ascii="Times New Roman" w:hAnsi="Times New Roman" w:eastAsia="宋体" w:cs="Times New Roman"/>
      <w:color w:val="000000"/>
      <w:sz w:val="21"/>
      <w:lang w:val="en-US" w:eastAsia="zh-CN" w:bidi="ar-SA"/>
    </w:rPr>
  </w:style>
  <w:style w:type="paragraph" w:customStyle="1" w:styleId="80">
    <w:name w:val="TOC 11"/>
    <w:uiPriority w:val="0"/>
    <w:pPr>
      <w:spacing w:after="40" w:line="276" w:lineRule="auto"/>
    </w:pPr>
    <w:rPr>
      <w:rFonts w:ascii="Times New Roman" w:hAnsi="Times New Roman" w:eastAsia="宋体" w:cs="Times New Roman"/>
      <w:color w:val="000000"/>
      <w:sz w:val="21"/>
      <w:lang w:val="en-US" w:eastAsia="zh-CN" w:bidi="ar-SA"/>
    </w:rPr>
  </w:style>
  <w:style w:type="paragraph" w:customStyle="1" w:styleId="81">
    <w:name w:val="TOC 21"/>
    <w:uiPriority w:val="0"/>
    <w:pPr>
      <w:spacing w:after="40" w:line="276" w:lineRule="auto"/>
      <w:ind w:left="240"/>
    </w:pPr>
    <w:rPr>
      <w:rFonts w:ascii="Times New Roman" w:hAnsi="Times New Roman" w:eastAsia="宋体" w:cs="Times New Roman"/>
      <w:color w:val="000000"/>
      <w:sz w:val="21"/>
      <w:lang w:val="en-US" w:eastAsia="zh-CN" w:bidi="ar-SA"/>
    </w:rPr>
  </w:style>
  <w:style w:type="paragraph" w:customStyle="1" w:styleId="82">
    <w:name w:val="TOC 31"/>
    <w:uiPriority w:val="0"/>
    <w:pPr>
      <w:spacing w:after="40" w:line="276" w:lineRule="auto"/>
      <w:ind w:left="480"/>
    </w:pPr>
    <w:rPr>
      <w:rFonts w:ascii="Times New Roman" w:hAnsi="Times New Roman" w:eastAsia="宋体" w:cs="Times New Roman"/>
      <w:color w:val="000000"/>
      <w:sz w:val="21"/>
      <w:lang w:val="en-US" w:eastAsia="zh-CN" w:bidi="ar-SA"/>
    </w:rPr>
  </w:style>
  <w:style w:type="character" w:customStyle="1" w:styleId="83">
    <w:name w:val="Unresolved Mention"/>
    <w:basedOn w:val="30"/>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customXml" Target="../customXml/item1.xml"/><Relationship Id="rId25" Type="http://schemas.openxmlformats.org/officeDocument/2006/relationships/numbering" Target="numbering.xml"/><Relationship Id="rId24" Type="http://schemas.openxmlformats.org/officeDocument/2006/relationships/image" Target="media/image15.jpeg"/><Relationship Id="rId23" Type="http://schemas.openxmlformats.org/officeDocument/2006/relationships/image" Target="media/image14.jpe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jpe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0F7E25-E8A2-4078-9B1F-43C53C9EDEF7}">
  <ds:schemaRefs/>
</ds:datastoreItem>
</file>

<file path=docProps/app.xml><?xml version="1.0" encoding="utf-8"?>
<Properties xmlns="http://schemas.openxmlformats.org/officeDocument/2006/extended-properties" xmlns:vt="http://schemas.openxmlformats.org/officeDocument/2006/docPropsVTypes">
  <Template>Normal.dotm</Template>
  <Pages>68</Pages>
  <Words>14563</Words>
  <Characters>19049</Characters>
  <Lines>476</Lines>
  <Paragraphs>134</Paragraphs>
  <TotalTime>9664</TotalTime>
  <ScaleCrop>false</ScaleCrop>
  <LinksUpToDate>false</LinksUpToDate>
  <CharactersWithSpaces>19776</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2024-04-04T04:45:00Z</dcterms:created>
  <dc:creator>郭兴雨</dc:creator>
  <cp:keywords>YOLOv11-AMP;SC-RRT;视觉定位;路径规划;机械臂</cp:keywords>
  <cp:lastModifiedBy>五五</cp:lastModifiedBy>
  <cp:lastPrinted>2024-04-18T07:20:00Z</cp:lastPrinted>
  <dcterms:modified xsi:type="dcterms:W3CDTF">2026-10-19T14:06:40Z</dcterms:modified>
  <dc:subject>硕士学位论文正文初稿 V1</dc:subject>
  <dc:title>基于视觉感知与自适应双向超椭球体RRT的机械臂运动规划研究</dc:title>
  <cp:revision>129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37B4076B15954669B06770BB20DD9677_13</vt:lpwstr>
  </property>
  <property fmtid="{D5CDD505-2E9C-101B-9397-08002B2CF9AE}" pid="4" name="KSOTemplateDocerSaveRecord">
    <vt:lpwstr>eyJoZGlkIjoiNWVmNDZlMDA0MzM4YzFlNGI5OTlmZGU3YTZiZDIxNGIiLCJ1c2VySWQiOiIzNjg1OTQ0NDgifQ==</vt:lpwstr>
  </property>
</Properties>
</file>