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05A7A">
      <w:pPr>
        <w:spacing w:line="276" w:lineRule="auto"/>
        <w:ind w:firstLine="0" w:firstLineChars="0"/>
        <w:jc w:val="center"/>
        <w:rPr>
          <w:rFonts w:hint="eastAsia" w:ascii="宋体" w:hAnsi="宋体"/>
          <w:sz w:val="21"/>
          <w:szCs w:val="21"/>
        </w:rPr>
      </w:pPr>
      <w:bookmarkStart w:id="0" w:name="_Hlk134803757"/>
      <w:bookmarkEnd w:id="0"/>
      <w:r>
        <w:rPr>
          <w:b/>
          <w:bCs/>
          <w:sz w:val="28"/>
          <w:szCs w:val="28"/>
        </w:rPr>
        <w:fldChar w:fldCharType="begin"/>
      </w:r>
      <w:r>
        <w:rPr>
          <w:b/>
          <w:bCs/>
          <w:sz w:val="28"/>
          <w:szCs w:val="28"/>
        </w:rPr>
        <w:instrText xml:space="preserve"> MACROBUTTON MTEditEquationSection2 </w:instrText>
      </w:r>
      <w:r>
        <w:rPr>
          <w:rStyle w:val="29"/>
          <w:rFonts w:hint="eastAsia"/>
        </w:rPr>
        <w:instrText xml:space="preserve">公式章 1 节 1</w:instrText>
      </w:r>
      <w:r>
        <w:rPr>
          <w:b/>
          <w:bCs/>
          <w:sz w:val="28"/>
          <w:szCs w:val="28"/>
        </w:rPr>
        <w:fldChar w:fldCharType="begin"/>
      </w:r>
      <w:r>
        <w:rPr>
          <w:b/>
          <w:bCs/>
          <w:sz w:val="28"/>
          <w:szCs w:val="28"/>
        </w:rPr>
        <w:instrText xml:space="preserve"> </w:instrText>
      </w:r>
      <w:r>
        <w:rPr>
          <w:rFonts w:hint="eastAsia"/>
          <w:b/>
          <w:bCs/>
          <w:sz w:val="28"/>
          <w:szCs w:val="28"/>
        </w:rPr>
        <w:instrText xml:space="preserve">SEQ MTEqn \r \h \* MERGEFORMAT</w:instrText>
      </w:r>
      <w:r>
        <w:rPr>
          <w:b/>
          <w:bCs/>
          <w:sz w:val="28"/>
          <w:szCs w:val="28"/>
        </w:rPr>
        <w:instrText xml:space="preserve"> </w:instrText>
      </w:r>
      <w:r>
        <w:rPr>
          <w:b/>
          <w:bCs/>
          <w:sz w:val="28"/>
          <w:szCs w:val="28"/>
        </w:rPr>
        <w:fldChar w:fldCharType="end"/>
      </w:r>
      <w:r>
        <w:rPr>
          <w:b/>
          <w:bCs/>
          <w:sz w:val="28"/>
          <w:szCs w:val="28"/>
        </w:rPr>
        <w:fldChar w:fldCharType="begin"/>
      </w:r>
      <w:r>
        <w:rPr>
          <w:b/>
          <w:bCs/>
          <w:sz w:val="28"/>
          <w:szCs w:val="28"/>
        </w:rPr>
        <w:instrText xml:space="preserve"> SEQ MTSec \r 1 \h \* MERGEFORMAT </w:instrText>
      </w:r>
      <w:r>
        <w:rPr>
          <w:b/>
          <w:bCs/>
          <w:sz w:val="28"/>
          <w:szCs w:val="28"/>
        </w:rPr>
        <w:fldChar w:fldCharType="end"/>
      </w:r>
      <w:r>
        <w:rPr>
          <w:b/>
          <w:bCs/>
          <w:sz w:val="28"/>
          <w:szCs w:val="28"/>
        </w:rPr>
        <w:fldChar w:fldCharType="begin"/>
      </w:r>
      <w:r>
        <w:rPr>
          <w:b/>
          <w:bCs/>
          <w:sz w:val="28"/>
          <w:szCs w:val="28"/>
        </w:rPr>
        <w:instrText xml:space="preserve"> SEQ MTChap \r 1 \h \* MERGEFORMAT </w:instrText>
      </w:r>
      <w:r>
        <w:rPr>
          <w:b/>
          <w:bCs/>
          <w:sz w:val="28"/>
          <w:szCs w:val="28"/>
        </w:rPr>
        <w:fldChar w:fldCharType="end"/>
      </w:r>
      <w:r>
        <w:rPr>
          <w:b/>
          <w:bCs/>
          <w:sz w:val="28"/>
          <w:szCs w:val="28"/>
        </w:rPr>
        <w:fldChar w:fldCharType="end"/>
      </w:r>
      <w:r>
        <w:rPr>
          <w:rFonts w:hint="eastAsia"/>
          <w:b/>
          <w:bCs/>
          <w:sz w:val="28"/>
          <w:szCs w:val="28"/>
        </w:rPr>
        <w:t>Superellipsoid-Constrained Bidirectional RRT: Path Planning with Adaptive Asymmetric Dual-Super-Ellipsoidal Constrained Sampling</w:t>
      </w:r>
    </w:p>
    <w:p w14:paraId="2C2BCDDE">
      <w:pPr>
        <w:spacing w:line="276" w:lineRule="auto"/>
        <w:ind w:firstLine="0" w:firstLineChars="0"/>
        <w:jc w:val="center"/>
        <w:rPr>
          <w:b/>
          <w:bCs/>
          <w:kern w:val="0"/>
          <w:sz w:val="21"/>
          <w:szCs w:val="21"/>
          <w:vertAlign w:val="superscript"/>
        </w:rPr>
      </w:pPr>
      <w:bookmarkStart w:id="1" w:name="OLE_LINK11"/>
      <w:r>
        <w:rPr>
          <w:b/>
          <w:bCs/>
          <w:sz w:val="21"/>
          <w:szCs w:val="21"/>
        </w:rPr>
        <w:t xml:space="preserve"> Yan</w:t>
      </w:r>
      <w:r>
        <w:rPr>
          <w:rFonts w:hint="eastAsia"/>
          <w:b/>
          <w:bCs/>
          <w:sz w:val="21"/>
          <w:szCs w:val="21"/>
        </w:rPr>
        <w:t xml:space="preserve"> Wu</w:t>
      </w:r>
      <w:r>
        <w:rPr>
          <w:rStyle w:val="18"/>
          <w:b/>
          <w:bCs/>
          <w:sz w:val="21"/>
          <w:szCs w:val="21"/>
        </w:rPr>
        <w:footnoteReference w:id="0"/>
      </w:r>
      <w:r>
        <w:rPr>
          <w:b/>
          <w:bCs/>
          <w:sz w:val="21"/>
          <w:szCs w:val="21"/>
        </w:rPr>
        <w:t xml:space="preserve">, </w:t>
      </w:r>
      <w:r>
        <w:rPr>
          <w:rFonts w:hint="eastAsia"/>
          <w:b/>
          <w:bCs/>
          <w:sz w:val="21"/>
          <w:szCs w:val="21"/>
        </w:rPr>
        <w:t>Xinyu Guo</w:t>
      </w:r>
      <w:r>
        <w:rPr>
          <w:rFonts w:hint="eastAsia"/>
          <w:b/>
          <w:bCs/>
          <w:kern w:val="0"/>
          <w:sz w:val="21"/>
          <w:szCs w:val="21"/>
          <w:vertAlign w:val="superscript"/>
        </w:rPr>
        <w:t>1</w:t>
      </w:r>
      <w:r>
        <w:rPr>
          <w:rStyle w:val="18"/>
          <w:b/>
          <w:bCs/>
          <w:sz w:val="21"/>
          <w:szCs w:val="21"/>
        </w:rPr>
        <w:footnoteReference w:id="1" w:customMarkFollows="1"/>
        <w:sym w:font="Symbol" w:char="F02A"/>
      </w:r>
      <w:r>
        <w:rPr>
          <w:b/>
          <w:bCs/>
          <w:sz w:val="21"/>
          <w:szCs w:val="21"/>
        </w:rPr>
        <w:t xml:space="preserve">, </w:t>
      </w:r>
      <w:r>
        <w:rPr>
          <w:rFonts w:hint="eastAsia"/>
          <w:b/>
          <w:bCs/>
          <w:sz w:val="21"/>
          <w:szCs w:val="21"/>
        </w:rPr>
        <w:t xml:space="preserve">Wenjun </w:t>
      </w:r>
      <w:r>
        <w:rPr>
          <w:b/>
          <w:bCs/>
          <w:sz w:val="21"/>
          <w:szCs w:val="21"/>
        </w:rPr>
        <w:t>L</w:t>
      </w:r>
      <w:r>
        <w:rPr>
          <w:rFonts w:hint="eastAsia"/>
          <w:b/>
          <w:bCs/>
          <w:sz w:val="21"/>
          <w:szCs w:val="21"/>
        </w:rPr>
        <w:t>v</w:t>
      </w:r>
      <w:bookmarkStart w:id="2" w:name="OLE_LINK8"/>
      <w:r>
        <w:rPr>
          <w:rFonts w:hint="eastAsia"/>
          <w:b/>
          <w:bCs/>
          <w:kern w:val="0"/>
          <w:sz w:val="21"/>
          <w:szCs w:val="21"/>
          <w:vertAlign w:val="superscript"/>
        </w:rPr>
        <w:t>1</w:t>
      </w:r>
      <w:bookmarkEnd w:id="2"/>
      <w:r>
        <w:rPr>
          <w:b/>
          <w:bCs/>
          <w:sz w:val="21"/>
          <w:szCs w:val="21"/>
        </w:rPr>
        <w:t xml:space="preserve">, </w:t>
      </w:r>
      <w:r>
        <w:rPr>
          <w:rFonts w:hint="eastAsia"/>
          <w:b/>
          <w:bCs/>
          <w:sz w:val="21"/>
          <w:szCs w:val="21"/>
        </w:rPr>
        <w:t>Jianyu Zheng</w:t>
      </w:r>
      <w:r>
        <w:rPr>
          <w:rFonts w:hint="eastAsia"/>
          <w:b/>
          <w:bCs/>
          <w:kern w:val="0"/>
          <w:sz w:val="21"/>
          <w:szCs w:val="21"/>
          <w:vertAlign w:val="superscript"/>
        </w:rPr>
        <w:t>1</w:t>
      </w:r>
      <w:r>
        <w:rPr>
          <w:b/>
          <w:bCs/>
          <w:sz w:val="21"/>
          <w:szCs w:val="21"/>
        </w:rPr>
        <w:t xml:space="preserve">, </w:t>
      </w:r>
      <w:r>
        <w:rPr>
          <w:rFonts w:hint="eastAsia"/>
          <w:b/>
          <w:bCs/>
          <w:sz w:val="21"/>
          <w:szCs w:val="21"/>
        </w:rPr>
        <w:t>Jiaqing Ye</w:t>
      </w:r>
      <w:r>
        <w:rPr>
          <w:rFonts w:hint="eastAsia"/>
          <w:b/>
          <w:bCs/>
          <w:kern w:val="0"/>
          <w:sz w:val="21"/>
          <w:szCs w:val="21"/>
          <w:vertAlign w:val="superscript"/>
        </w:rPr>
        <w:t>1</w:t>
      </w:r>
      <w:r>
        <w:rPr>
          <w:b/>
          <w:bCs/>
          <w:sz w:val="21"/>
          <w:szCs w:val="21"/>
        </w:rPr>
        <w:t xml:space="preserve">, </w:t>
      </w:r>
      <w:r>
        <w:rPr>
          <w:rFonts w:hint="eastAsia"/>
          <w:b/>
          <w:bCs/>
          <w:sz w:val="21"/>
          <w:szCs w:val="21"/>
        </w:rPr>
        <w:t>Jiale Hu</w:t>
      </w:r>
      <w:r>
        <w:rPr>
          <w:rFonts w:hint="eastAsia"/>
          <w:b/>
          <w:bCs/>
          <w:kern w:val="0"/>
          <w:sz w:val="21"/>
          <w:szCs w:val="21"/>
          <w:vertAlign w:val="superscript"/>
        </w:rPr>
        <w:t>1</w:t>
      </w:r>
    </w:p>
    <w:bookmarkEnd w:id="1"/>
    <w:p w14:paraId="2785856E">
      <w:pPr>
        <w:pStyle w:val="27"/>
        <w:keepNext w:val="0"/>
        <w:keepLines w:val="0"/>
        <w:pageBreakBefore w:val="0"/>
        <w:widowControl w:val="0"/>
        <w:kinsoku/>
        <w:wordWrap w:val="0"/>
        <w:overflowPunct/>
        <w:topLinePunct/>
        <w:autoSpaceDE/>
        <w:autoSpaceDN/>
        <w:bidi w:val="0"/>
        <w:adjustRightInd/>
        <w:snapToGrid/>
        <w:spacing w:line="276" w:lineRule="auto"/>
        <w:ind w:firstLine="0" w:firstLineChars="0"/>
        <w:jc w:val="both"/>
        <w:textAlignment w:val="auto"/>
        <w:rPr>
          <w:sz w:val="21"/>
          <w:szCs w:val="21"/>
        </w:rPr>
      </w:pPr>
      <w:r>
        <w:rPr>
          <w:b/>
          <w:bCs/>
          <w:kern w:val="0"/>
          <w:sz w:val="21"/>
          <w:szCs w:val="21"/>
        </w:rPr>
        <w:t>Abstract:</w:t>
      </w:r>
      <w:r>
        <w:rPr>
          <w:rFonts w:hint="eastAsia"/>
          <w:b/>
          <w:bCs/>
          <w:kern w:val="0"/>
          <w:sz w:val="21"/>
          <w:szCs w:val="21"/>
        </w:rPr>
        <w:t xml:space="preserve"> </w:t>
      </w:r>
      <w:r>
        <w:rPr>
          <w:rFonts w:hint="eastAsia"/>
          <w:sz w:val="21"/>
          <w:szCs w:val="21"/>
        </w:rPr>
        <w:t>Sampling-based path planning algorithms commonly suffer from excessive invalid</w:t>
      </w:r>
      <w:r>
        <w:rPr>
          <w:rFonts w:hint="eastAsia"/>
          <w:sz w:val="21"/>
          <w:szCs w:val="21"/>
          <w:lang w:val="en-US" w:eastAsia="zh-CN"/>
        </w:rPr>
        <w:t xml:space="preserve"> </w:t>
      </w:r>
      <w:r>
        <w:rPr>
          <w:rFonts w:hint="eastAsia"/>
          <w:sz w:val="21"/>
          <w:szCs w:val="21"/>
        </w:rPr>
        <w:t>samples, slow convergence, and reduced success rates in high-obstacle-density</w:t>
      </w:r>
      <w:r>
        <w:rPr>
          <w:rFonts w:hint="eastAsia"/>
          <w:sz w:val="21"/>
          <w:szCs w:val="21"/>
          <w:lang w:val="en-US" w:eastAsia="zh-CN"/>
        </w:rPr>
        <w:t xml:space="preserve"> </w:t>
      </w:r>
      <w:r>
        <w:rPr>
          <w:rFonts w:hint="eastAsia"/>
          <w:sz w:val="21"/>
          <w:szCs w:val="21"/>
        </w:rPr>
        <w:t>environments. This paper presents SC-RRT, a path planning algorithm based on</w:t>
      </w:r>
      <w:r>
        <w:rPr>
          <w:rFonts w:hint="eastAsia"/>
          <w:sz w:val="21"/>
          <w:szCs w:val="21"/>
          <w:lang w:val="en-US" w:eastAsia="zh-CN"/>
        </w:rPr>
        <w:t xml:space="preserve"> </w:t>
      </w:r>
      <w:r>
        <w:rPr>
          <w:rFonts w:hint="eastAsia"/>
          <w:sz w:val="21"/>
          <w:szCs w:val="21"/>
        </w:rPr>
        <w:t>adaptive asymmetric dual-super-ellipsoid constrained sampling. Within a bidirec</w:t>
      </w:r>
      <w:r>
        <w:rPr>
          <w:rFonts w:hint="eastAsia"/>
          <w:sz w:val="21"/>
          <w:szCs w:val="21"/>
        </w:rPr>
        <w:t/>
      </w:r>
      <w:r>
        <w:rPr>
          <w:rFonts w:hint="eastAsia"/>
          <w:sz w:val="21"/>
          <w:szCs w:val="21"/>
        </w:rPr>
        <w:t>tional parallel expansion framework, SC-RRT employs an intermediate meeting</w:t>
      </w:r>
      <w:r>
        <w:rPr>
          <w:rFonts w:hint="eastAsia"/>
          <w:sz w:val="21"/>
          <w:szCs w:val="21"/>
          <w:lang w:val="en-US" w:eastAsia="zh-CN"/>
        </w:rPr>
        <w:t xml:space="preserve"> </w:t>
      </w:r>
      <w:r>
        <w:rPr>
          <w:rFonts w:hint="eastAsia"/>
          <w:sz w:val="21"/>
          <w:szCs w:val="21"/>
        </w:rPr>
        <w:t>point xmeet to decompose the global task into staged subproblems. Scale-variable,</w:t>
      </w:r>
      <w:r>
        <w:rPr>
          <w:rFonts w:hint="eastAsia"/>
          <w:sz w:val="21"/>
          <w:szCs w:val="21"/>
          <w:lang w:val="en-US" w:eastAsia="zh-CN"/>
        </w:rPr>
        <w:t xml:space="preserve"> </w:t>
      </w:r>
      <w:r>
        <w:rPr>
          <w:rFonts w:hint="eastAsia"/>
          <w:sz w:val="21"/>
          <w:szCs w:val="21"/>
        </w:rPr>
        <w:t>asymmetric informed sampling subsets are constructed in both directions to</w:t>
      </w:r>
      <w:r>
        <w:rPr>
          <w:rFonts w:hint="eastAsia"/>
          <w:sz w:val="21"/>
          <w:szCs w:val="21"/>
          <w:lang w:val="en-US" w:eastAsia="zh-CN"/>
        </w:rPr>
        <w:t xml:space="preserve"> </w:t>
      </w:r>
      <w:r>
        <w:rPr>
          <w:rFonts w:hint="eastAsia"/>
          <w:sz w:val="21"/>
          <w:szCs w:val="21"/>
        </w:rPr>
        <w:t>concentrate sampling toward feasible regions with greater improvement poten</w:t>
      </w:r>
      <w:r>
        <w:rPr>
          <w:rFonts w:hint="eastAsia"/>
          <w:sz w:val="21"/>
          <w:szCs w:val="21"/>
        </w:rPr>
        <w:t/>
      </w:r>
      <w:r>
        <w:rPr>
          <w:rFonts w:hint="eastAsia"/>
          <w:sz w:val="21"/>
          <w:szCs w:val="21"/>
        </w:rPr>
        <w:t>tial, forming the Adaptive Dual-Super-Ellipsoid Constrained Sampling strategy</w:t>
      </w:r>
      <w:r>
        <w:rPr>
          <w:rFonts w:hint="eastAsia"/>
          <w:sz w:val="21"/>
          <w:szCs w:val="21"/>
          <w:lang w:val="en-US" w:eastAsia="zh-CN"/>
        </w:rPr>
        <w:t xml:space="preserve"> </w:t>
      </w:r>
      <w:r>
        <w:rPr>
          <w:rFonts w:hint="eastAsia"/>
          <w:sz w:val="21"/>
          <w:szCs w:val="21"/>
        </w:rPr>
        <w:t>(ADCS). To suppress invalid sampling caused by over-inflation or premature</w:t>
      </w:r>
      <w:r>
        <w:rPr>
          <w:rFonts w:hint="eastAsia"/>
          <w:sz w:val="21"/>
          <w:szCs w:val="21"/>
          <w:lang w:val="en-US" w:eastAsia="zh-CN"/>
        </w:rPr>
        <w:t xml:space="preserve"> </w:t>
      </w:r>
      <w:r>
        <w:rPr>
          <w:rFonts w:hint="eastAsia"/>
          <w:sz w:val="21"/>
          <w:szCs w:val="21"/>
        </w:rPr>
        <w:t>contraction of the informed subset due to cost estimation bias, a Search State</w:t>
      </w:r>
      <w:r>
        <w:rPr>
          <w:rFonts w:hint="eastAsia"/>
          <w:sz w:val="21"/>
          <w:szCs w:val="21"/>
          <w:lang w:val="en-US" w:eastAsia="zh-CN"/>
        </w:rPr>
        <w:t xml:space="preserve"> </w:t>
      </w:r>
      <w:r>
        <w:rPr>
          <w:rFonts w:hint="eastAsia"/>
          <w:sz w:val="21"/>
          <w:szCs w:val="21"/>
        </w:rPr>
        <w:t>Feedback Online Regulation mechanism (SSFOR) is developed. SSFOR uses</w:t>
      </w:r>
      <w:r>
        <w:rPr>
          <w:rFonts w:hint="eastAsia"/>
          <w:sz w:val="21"/>
          <w:szCs w:val="21"/>
          <w:lang w:val="en-US" w:eastAsia="zh-CN"/>
        </w:rPr>
        <w:t xml:space="preserve"> </w:t>
      </w:r>
      <w:r>
        <w:rPr>
          <w:rFonts w:hint="eastAsia"/>
          <w:sz w:val="21"/>
          <w:szCs w:val="21"/>
        </w:rPr>
        <w:t>the historical evolution of the optimal path cost to perform closed-loop adjust</w:t>
      </w:r>
      <w:r>
        <w:rPr>
          <w:rFonts w:hint="eastAsia"/>
          <w:sz w:val="21"/>
          <w:szCs w:val="21"/>
        </w:rPr>
        <w:t/>
      </w:r>
      <w:r>
        <w:rPr>
          <w:rFonts w:hint="eastAsia"/>
          <w:sz w:val="21"/>
          <w:szCs w:val="21"/>
        </w:rPr>
        <w:t>ment of the super-ellipsoid expansion factor γ and heuristic sampling probability</w:t>
      </w:r>
      <w:r>
        <w:rPr>
          <w:rFonts w:hint="eastAsia"/>
          <w:sz w:val="21"/>
          <w:szCs w:val="21"/>
          <w:lang w:val="en-US" w:eastAsia="zh-CN"/>
        </w:rPr>
        <w:t xml:space="preserve"> </w:t>
      </w:r>
      <w:r>
        <w:rPr>
          <w:rFonts w:hint="eastAsia"/>
          <w:sz w:val="21"/>
          <w:szCs w:val="21"/>
        </w:rPr>
        <w:t>p, enabling the informed subset to evolve with search progress while reducing</w:t>
      </w:r>
      <w:r>
        <w:rPr>
          <w:rFonts w:hint="eastAsia"/>
          <w:sz w:val="21"/>
          <w:szCs w:val="21"/>
          <w:lang w:val="en-US" w:eastAsia="zh-CN"/>
        </w:rPr>
        <w:t xml:space="preserve"> </w:t>
      </w:r>
      <w:r>
        <w:rPr>
          <w:rFonts w:hint="eastAsia"/>
          <w:sz w:val="21"/>
          <w:szCs w:val="21"/>
        </w:rPr>
        <w:t>redundant expansion. Asymmetric super-ellipsoidal constraints further sharpen</w:t>
      </w:r>
      <w:r>
        <w:rPr>
          <w:rFonts w:hint="eastAsia"/>
          <w:sz w:val="21"/>
          <w:szCs w:val="21"/>
          <w:lang w:val="en-US" w:eastAsia="zh-CN"/>
        </w:rPr>
        <w:t xml:space="preserve"> </w:t>
      </w:r>
      <w:r>
        <w:rPr>
          <w:rFonts w:hint="eastAsia"/>
          <w:sz w:val="21"/>
          <w:szCs w:val="21"/>
        </w:rPr>
        <w:t>resolution along feasible passage directions. Simulation experiments show that</w:t>
      </w:r>
      <w:r>
        <w:rPr>
          <w:rFonts w:hint="eastAsia"/>
          <w:sz w:val="21"/>
          <w:szCs w:val="21"/>
          <w:lang w:val="en-US" w:eastAsia="zh-CN"/>
        </w:rPr>
        <w:t xml:space="preserve"> </w:t>
      </w:r>
      <w:r>
        <w:rPr>
          <w:rFonts w:hint="eastAsia"/>
          <w:sz w:val="21"/>
          <w:szCs w:val="21"/>
        </w:rPr>
        <w:t>SC-RRT reduces path length by approximately 10.5% compared with Dynamic</w:t>
      </w:r>
      <w:r>
        <w:rPr>
          <w:rFonts w:hint="eastAsia"/>
          <w:sz w:val="21"/>
          <w:szCs w:val="21"/>
        </w:rPr>
        <w:t/>
      </w:r>
      <w:r>
        <w:rPr>
          <w:rFonts w:hint="eastAsia"/>
          <w:sz w:val="21"/>
          <w:szCs w:val="21"/>
        </w:rPr>
        <w:t>RRT, achieving a path efficiency of 0.9553. Although path quality is marginally</w:t>
      </w:r>
      <w:r>
        <w:rPr>
          <w:rFonts w:hint="eastAsia"/>
          <w:sz w:val="21"/>
          <w:szCs w:val="21"/>
          <w:lang w:val="en-US" w:eastAsia="zh-CN"/>
        </w:rPr>
        <w:t xml:space="preserve"> </w:t>
      </w:r>
      <w:r>
        <w:rPr>
          <w:rFonts w:hint="eastAsia"/>
          <w:sz w:val="21"/>
          <w:szCs w:val="21"/>
        </w:rPr>
        <w:t>lower than Informed RRT*, planning time is only 16.2% of the latter with node</w:t>
      </w:r>
      <w:r>
        <w:rPr>
          <w:rFonts w:hint="eastAsia"/>
          <w:sz w:val="21"/>
          <w:szCs w:val="21"/>
          <w:lang w:val="en-US" w:eastAsia="zh-CN"/>
        </w:rPr>
        <w:t xml:space="preserve"> </w:t>
      </w:r>
      <w:r>
        <w:rPr>
          <w:rFonts w:hint="eastAsia"/>
          <w:sz w:val="21"/>
          <w:szCs w:val="21"/>
        </w:rPr>
        <w:t>count reduced by 94.2%. SC-RRT thus balances path quality, planning efficiency,</w:t>
      </w:r>
      <w:r>
        <w:rPr>
          <w:rFonts w:hint="eastAsia"/>
          <w:sz w:val="21"/>
          <w:szCs w:val="21"/>
          <w:lang w:val="en-US" w:eastAsia="zh-CN"/>
        </w:rPr>
        <w:t xml:space="preserve"> </w:t>
      </w:r>
      <w:r>
        <w:rPr>
          <w:rFonts w:hint="eastAsia"/>
          <w:sz w:val="21"/>
          <w:szCs w:val="21"/>
        </w:rPr>
        <w:t>and computational cost without prior parameter tuning; its modular ADCS</w:t>
      </w:r>
      <w:r>
        <w:rPr>
          <w:rFonts w:hint="eastAsia"/>
          <w:sz w:val="21"/>
          <w:szCs w:val="21"/>
          <w:lang w:val="en-US" w:eastAsia="zh-CN"/>
        </w:rPr>
        <w:t xml:space="preserve"> and SSFOR components can be independently integrated into other RRT-based frameworks.</w:t>
      </w:r>
    </w:p>
    <w:p w14:paraId="485CA740">
      <w:pPr>
        <w:pStyle w:val="27"/>
        <w:wordWrap w:val="0"/>
        <w:spacing w:line="276" w:lineRule="auto"/>
        <w:ind w:firstLine="0" w:firstLineChars="0"/>
        <w:rPr>
          <w:kern w:val="0"/>
          <w:sz w:val="21"/>
          <w:szCs w:val="21"/>
        </w:rPr>
      </w:pPr>
      <w:r>
        <w:rPr>
          <w:rFonts w:hint="eastAsia"/>
          <w:b/>
          <w:bCs/>
          <w:kern w:val="0"/>
          <w:sz w:val="21"/>
          <w:szCs w:val="21"/>
        </w:rPr>
        <w:t xml:space="preserve">Keywords: </w:t>
      </w:r>
      <w:r>
        <w:rPr>
          <w:rFonts w:hint="eastAsia"/>
          <w:kern w:val="0"/>
          <w:sz w:val="21"/>
          <w:szCs w:val="21"/>
        </w:rPr>
        <w:t>Sampling-based path planning, Informed sampling, bidirectional tree search, online parameter regulation, motion planning</w:t>
      </w:r>
    </w:p>
    <w:p w14:paraId="3356FFB6">
      <w:pPr>
        <w:ind w:firstLine="0" w:firstLineChars="0"/>
        <w:rPr>
          <w:rStyle w:val="26"/>
          <w:color w:val="2A2B2E"/>
          <w:shd w:val="clear" w:color="auto" w:fill="FFFFFF"/>
        </w:rPr>
      </w:pPr>
    </w:p>
    <w:p w14:paraId="2589175F">
      <w:pPr>
        <w:ind w:firstLine="0" w:firstLineChars="0"/>
        <w:jc w:val="center"/>
        <w:rPr>
          <w:rStyle w:val="26"/>
          <w:color w:val="2A2B2E"/>
          <w:shd w:val="clear" w:color="auto" w:fill="FFFFFF"/>
        </w:rPr>
        <w:sectPr>
          <w:headerReference r:id="rId7" w:type="first"/>
          <w:footerReference r:id="rId10" w:type="first"/>
          <w:headerReference r:id="rId5" w:type="default"/>
          <w:footerReference r:id="rId8" w:type="default"/>
          <w:headerReference r:id="rId6" w:type="even"/>
          <w:footerReference r:id="rId9" w:type="even"/>
          <w:footnotePr>
            <w:pos w:val="beneathText"/>
          </w:footnotePr>
          <w:pgSz w:w="11906" w:h="16838"/>
          <w:pgMar w:top="1440" w:right="1800" w:bottom="1440" w:left="1800" w:header="851" w:footer="992" w:gutter="0"/>
          <w:cols w:space="720" w:num="1"/>
          <w:docGrid w:type="lines" w:linePitch="312" w:charSpace="0"/>
        </w:sectPr>
      </w:pPr>
    </w:p>
    <w:p w14:paraId="1752582D">
      <w:pPr>
        <w:spacing w:line="276" w:lineRule="auto"/>
        <w:ind w:firstLine="0" w:firstLineChars="0"/>
        <w:jc w:val="left"/>
        <w:rPr>
          <w:b/>
          <w:bCs/>
          <w:szCs w:val="24"/>
        </w:rPr>
      </w:pPr>
      <w:r>
        <w:rPr>
          <w:rFonts w:hint="eastAsia"/>
          <w:b/>
          <w:bCs/>
          <w:szCs w:val="24"/>
        </w:rPr>
        <w:t>Introduction</w:t>
      </w:r>
    </w:p>
    <w:p w14:paraId="045C7E3B">
      <w:pPr>
        <w:spacing w:line="276" w:lineRule="auto"/>
        <w:ind w:firstLine="420" w:firstLineChars="0"/>
        <w:rPr>
          <w:sz w:val="21"/>
          <w:szCs w:val="21"/>
        </w:rPr>
      </w:pPr>
      <w:r>
        <w:rPr>
          <w:rFonts w:hint="eastAsia"/>
          <w:sz w:val="21"/>
          <w:szCs w:val="21"/>
        </w:rPr>
        <w:t>With the accelerated development of new energy vehicles, the industry demands increasingly higher performance for the connections between battery tabs and busbars, requiring both low-cost solutions and superior properties such as electrical conductivity, thermal conductivity, and corrosion resistance</w:t>
      </w:r>
      <w:r>
        <w:rPr>
          <w:rFonts w:hint="eastAsia"/>
          <w:sz w:val="20"/>
          <w:szCs w:val="20"/>
          <w:vertAlign w:val="superscript"/>
        </w:rPr>
        <w:fldChar w:fldCharType="begin"/>
      </w:r>
      <w:r>
        <w:rPr>
          <w:rFonts w:hint="eastAsia"/>
          <w:sz w:val="20"/>
          <w:szCs w:val="20"/>
          <w:vertAlign w:val="superscript"/>
        </w:rPr>
        <w:instrText xml:space="preserve"> REF _Ref10960 \r \h</w:instrText>
      </w:r>
      <w:r>
        <w:rPr>
          <w:sz w:val="20"/>
          <w:szCs w:val="20"/>
          <w:vertAlign w:val="superscript"/>
        </w:rPr>
        <w:instrText xml:space="preserve">\#"[0" \* MERGEFORMAT </w:instrText>
      </w:r>
      <w:r>
        <w:rPr>
          <w:rFonts w:hint="eastAsia"/>
          <w:sz w:val="20"/>
          <w:szCs w:val="20"/>
          <w:vertAlign w:val="superscript"/>
        </w:rPr>
        <w:fldChar w:fldCharType="separate"/>
      </w:r>
      <w:r>
        <w:rPr>
          <w:sz w:val="20"/>
          <w:szCs w:val="20"/>
          <w:vertAlign w:val="superscript"/>
        </w:rPr>
        <w:t>[1</w:t>
      </w:r>
      <w:r>
        <w:rPr>
          <w:rFonts w:hint="eastAsia"/>
          <w:sz w:val="20"/>
          <w:szCs w:val="20"/>
          <w:vertAlign w:val="superscript"/>
        </w:rPr>
        <w:fldChar w:fldCharType="end"/>
      </w:r>
      <w:r>
        <w:rPr>
          <w:rFonts w:hint="eastAsia"/>
          <w:sz w:val="20"/>
          <w:szCs w:val="20"/>
          <w:vertAlign w:val="superscript"/>
        </w:rPr>
        <w:t>-</w:t>
      </w:r>
      <w:r>
        <w:rPr>
          <w:rFonts w:hint="eastAsia"/>
          <w:sz w:val="20"/>
          <w:szCs w:val="20"/>
          <w:vertAlign w:val="superscript"/>
        </w:rPr>
        <w:fldChar w:fldCharType="begin"/>
      </w:r>
      <w:r>
        <w:rPr>
          <w:rFonts w:hint="eastAsia"/>
          <w:sz w:val="20"/>
          <w:szCs w:val="20"/>
          <w:vertAlign w:val="superscript"/>
        </w:rPr>
        <w:instrText xml:space="preserve"> REF _Ref10963 \r \h</w:instrText>
      </w:r>
      <w:r>
        <w:rPr>
          <w:sz w:val="20"/>
          <w:szCs w:val="20"/>
          <w:vertAlign w:val="superscript"/>
        </w:rPr>
        <w:instrText xml:space="preserve">\#"0</w:instrText>
      </w:r>
      <w:r>
        <w:rPr>
          <w:rFonts w:hint="eastAsia"/>
          <w:sz w:val="20"/>
          <w:szCs w:val="20"/>
          <w:vertAlign w:val="superscript"/>
        </w:rPr>
        <w:instrText xml:space="preserve">]</w:instrText>
      </w:r>
      <w:r>
        <w:rPr>
          <w:sz w:val="20"/>
          <w:szCs w:val="20"/>
          <w:vertAlign w:val="superscript"/>
        </w:rPr>
        <w:instrText xml:space="preserve">" \* MERGEFORMAT </w:instrText>
      </w:r>
      <w:r>
        <w:rPr>
          <w:rFonts w:hint="eastAsia"/>
          <w:sz w:val="20"/>
          <w:szCs w:val="20"/>
          <w:vertAlign w:val="superscript"/>
        </w:rPr>
        <w:fldChar w:fldCharType="separate"/>
      </w:r>
      <w:r>
        <w:rPr>
          <w:sz w:val="20"/>
          <w:szCs w:val="20"/>
          <w:vertAlign w:val="superscript"/>
        </w:rPr>
        <w:t>2</w:t>
      </w:r>
      <w:r>
        <w:rPr>
          <w:rFonts w:hint="eastAsia"/>
          <w:sz w:val="20"/>
          <w:szCs w:val="20"/>
          <w:vertAlign w:val="superscript"/>
        </w:rPr>
        <w:t>]</w:t>
      </w:r>
      <w:r>
        <w:rPr>
          <w:rFonts w:hint="eastAsia"/>
          <w:sz w:val="20"/>
          <w:szCs w:val="20"/>
          <w:vertAlign w:val="superscript"/>
        </w:rPr>
        <w:fldChar w:fldCharType="end"/>
      </w:r>
      <w:r>
        <w:rPr>
          <w:rFonts w:hint="eastAsia"/>
          <w:sz w:val="21"/>
          <w:szCs w:val="21"/>
        </w:rPr>
        <w:t xml:space="preserve">. Copper, as one of the metals with the highest electrical conductivity, ensures low energy loss during high-current transmission, </w:t>
      </w:r>
      <w:r>
        <w:rPr>
          <w:sz w:val="21"/>
          <w:szCs w:val="21"/>
        </w:rPr>
        <w:t>making it</w:t>
      </w:r>
      <w:r>
        <w:rPr>
          <w:rFonts w:hint="eastAsia"/>
          <w:sz w:val="21"/>
          <w:szCs w:val="21"/>
        </w:rPr>
        <w:t xml:space="preserve"> suitable for thin-sheet tab applications. Aluminum, owing to its advantages of light weight, corrosion resistance, and low cost, serves as an ideal material for busbars</w:t>
      </w:r>
      <w:r>
        <w:rPr>
          <w:rFonts w:hint="eastAsia"/>
          <w:sz w:val="20"/>
          <w:szCs w:val="20"/>
          <w:vertAlign w:val="superscript"/>
        </w:rPr>
        <w:fldChar w:fldCharType="begin"/>
      </w:r>
      <w:r>
        <w:rPr>
          <w:rFonts w:hint="eastAsia"/>
          <w:sz w:val="20"/>
          <w:szCs w:val="20"/>
          <w:vertAlign w:val="superscript"/>
        </w:rPr>
        <w:instrText xml:space="preserve"> REF _Ref13227 \r \h</w:instrText>
      </w:r>
      <w:r>
        <w:rPr>
          <w:sz w:val="20"/>
          <w:szCs w:val="20"/>
          <w:vertAlign w:val="superscript"/>
        </w:rPr>
        <w:instrText xml:space="preserve">\#"[0" \* MERGEFORMAT </w:instrText>
      </w:r>
      <w:r>
        <w:rPr>
          <w:rFonts w:hint="eastAsia"/>
          <w:sz w:val="20"/>
          <w:szCs w:val="20"/>
          <w:vertAlign w:val="superscript"/>
        </w:rPr>
        <w:fldChar w:fldCharType="separate"/>
      </w:r>
      <w:r>
        <w:rPr>
          <w:sz w:val="20"/>
          <w:szCs w:val="20"/>
          <w:vertAlign w:val="superscript"/>
        </w:rPr>
        <w:t>[3</w:t>
      </w:r>
      <w:r>
        <w:rPr>
          <w:rFonts w:hint="eastAsia"/>
          <w:sz w:val="20"/>
          <w:szCs w:val="20"/>
          <w:vertAlign w:val="superscript"/>
        </w:rPr>
        <w:fldChar w:fldCharType="end"/>
      </w:r>
      <w:r>
        <w:rPr>
          <w:rFonts w:hint="eastAsia"/>
          <w:sz w:val="20"/>
          <w:szCs w:val="20"/>
          <w:vertAlign w:val="superscript"/>
        </w:rPr>
        <w:t>-</w:t>
      </w:r>
      <w:r>
        <w:rPr>
          <w:rFonts w:hint="eastAsia"/>
          <w:sz w:val="20"/>
          <w:szCs w:val="20"/>
          <w:vertAlign w:val="superscript"/>
        </w:rPr>
        <w:fldChar w:fldCharType="begin"/>
      </w:r>
      <w:r>
        <w:rPr>
          <w:rFonts w:hint="eastAsia"/>
          <w:sz w:val="20"/>
          <w:szCs w:val="20"/>
          <w:vertAlign w:val="superscript"/>
        </w:rPr>
        <w:instrText xml:space="preserve"> REF _Ref13230 \r \h</w:instrText>
      </w:r>
      <w:r>
        <w:rPr>
          <w:sz w:val="20"/>
          <w:szCs w:val="20"/>
          <w:vertAlign w:val="superscript"/>
        </w:rPr>
        <w:instrText xml:space="preserve">\#"0</w:instrText>
      </w:r>
      <w:r>
        <w:rPr>
          <w:rFonts w:hint="eastAsia"/>
          <w:sz w:val="20"/>
          <w:szCs w:val="20"/>
          <w:vertAlign w:val="superscript"/>
        </w:rPr>
        <w:instrText xml:space="preserve">]</w:instrText>
      </w:r>
      <w:r>
        <w:rPr>
          <w:sz w:val="20"/>
          <w:szCs w:val="20"/>
          <w:vertAlign w:val="superscript"/>
        </w:rPr>
        <w:instrText xml:space="preserve">" \* MERGEFORMAT </w:instrText>
      </w:r>
      <w:r>
        <w:rPr>
          <w:rFonts w:hint="eastAsia"/>
          <w:sz w:val="20"/>
          <w:szCs w:val="20"/>
          <w:vertAlign w:val="superscript"/>
        </w:rPr>
        <w:fldChar w:fldCharType="separate"/>
      </w:r>
      <w:r>
        <w:rPr>
          <w:sz w:val="20"/>
          <w:szCs w:val="20"/>
          <w:vertAlign w:val="superscript"/>
        </w:rPr>
        <w:t>4</w:t>
      </w:r>
      <w:r>
        <w:rPr>
          <w:rFonts w:hint="eastAsia"/>
          <w:sz w:val="20"/>
          <w:szCs w:val="20"/>
          <w:vertAlign w:val="superscript"/>
        </w:rPr>
        <w:t>]</w:t>
      </w:r>
      <w:r>
        <w:rPr>
          <w:rFonts w:hint="eastAsia"/>
          <w:sz w:val="20"/>
          <w:szCs w:val="20"/>
          <w:vertAlign w:val="superscript"/>
        </w:rPr>
        <w:fldChar w:fldCharType="end"/>
      </w:r>
      <w:r>
        <w:rPr>
          <w:rFonts w:hint="eastAsia"/>
          <w:sz w:val="21"/>
          <w:szCs w:val="21"/>
        </w:rPr>
        <w:t>. Laser welding, as an efficient and flexible non-contact fusion joining technology, has fully demonstrated its adaptability and precision in connecting thin-sheet aluminum alloy materials</w:t>
      </w:r>
      <w:r>
        <w:rPr>
          <w:rFonts w:hint="eastAsia"/>
          <w:sz w:val="20"/>
          <w:szCs w:val="20"/>
          <w:vertAlign w:val="superscript"/>
        </w:rPr>
        <w:fldChar w:fldCharType="begin"/>
      </w:r>
      <w:r>
        <w:rPr>
          <w:rFonts w:hint="eastAsia"/>
          <w:sz w:val="20"/>
          <w:szCs w:val="20"/>
          <w:vertAlign w:val="superscript"/>
        </w:rPr>
        <w:instrText xml:space="preserve"> REF _Ref202698557 \r \h</w:instrText>
      </w:r>
      <w:r>
        <w:rPr>
          <w:sz w:val="20"/>
          <w:szCs w:val="20"/>
          <w:vertAlign w:val="superscript"/>
        </w:rPr>
        <w:instrText xml:space="preserve">\#"[0" \* MERGEFORMAT </w:instrText>
      </w:r>
      <w:r>
        <w:rPr>
          <w:rFonts w:hint="eastAsia"/>
          <w:sz w:val="20"/>
          <w:szCs w:val="20"/>
          <w:vertAlign w:val="superscript"/>
        </w:rPr>
        <w:fldChar w:fldCharType="separate"/>
      </w:r>
      <w:r>
        <w:rPr>
          <w:sz w:val="20"/>
          <w:szCs w:val="20"/>
          <w:vertAlign w:val="superscript"/>
        </w:rPr>
        <w:t>[5</w:t>
      </w:r>
      <w:r>
        <w:rPr>
          <w:rFonts w:hint="eastAsia"/>
          <w:sz w:val="20"/>
          <w:szCs w:val="20"/>
          <w:vertAlign w:val="superscript"/>
        </w:rPr>
        <w:fldChar w:fldCharType="end"/>
      </w:r>
      <w:r>
        <w:rPr>
          <w:rFonts w:hint="eastAsia"/>
          <w:sz w:val="20"/>
          <w:szCs w:val="20"/>
          <w:vertAlign w:val="superscript"/>
        </w:rPr>
        <w:t>-</w:t>
      </w:r>
      <w:r>
        <w:rPr>
          <w:rFonts w:hint="eastAsia"/>
          <w:sz w:val="20"/>
          <w:szCs w:val="20"/>
          <w:vertAlign w:val="superscript"/>
        </w:rPr>
        <w:fldChar w:fldCharType="begin"/>
      </w:r>
      <w:r>
        <w:rPr>
          <w:rFonts w:hint="eastAsia"/>
          <w:sz w:val="20"/>
          <w:szCs w:val="20"/>
          <w:vertAlign w:val="superscript"/>
        </w:rPr>
        <w:instrText xml:space="preserve"> REF _Ref13289 \r \h</w:instrText>
      </w:r>
      <w:r>
        <w:rPr>
          <w:sz w:val="20"/>
          <w:szCs w:val="20"/>
          <w:vertAlign w:val="superscript"/>
        </w:rPr>
        <w:instrText xml:space="preserve">\#"0</w:instrText>
      </w:r>
      <w:r>
        <w:rPr>
          <w:rFonts w:hint="eastAsia"/>
          <w:sz w:val="20"/>
          <w:szCs w:val="20"/>
          <w:vertAlign w:val="superscript"/>
        </w:rPr>
        <w:instrText xml:space="preserve">]</w:instrText>
      </w:r>
      <w:r>
        <w:rPr>
          <w:sz w:val="20"/>
          <w:szCs w:val="20"/>
          <w:vertAlign w:val="superscript"/>
        </w:rPr>
        <w:instrText xml:space="preserve">" \* MERGEFORMAT </w:instrText>
      </w:r>
      <w:r>
        <w:rPr>
          <w:rFonts w:hint="eastAsia"/>
          <w:sz w:val="20"/>
          <w:szCs w:val="20"/>
          <w:vertAlign w:val="superscript"/>
        </w:rPr>
        <w:fldChar w:fldCharType="separate"/>
      </w:r>
      <w:r>
        <w:rPr>
          <w:sz w:val="20"/>
          <w:szCs w:val="20"/>
          <w:vertAlign w:val="superscript"/>
        </w:rPr>
        <w:t>7</w:t>
      </w:r>
      <w:r>
        <w:rPr>
          <w:rFonts w:hint="eastAsia"/>
          <w:sz w:val="20"/>
          <w:szCs w:val="20"/>
          <w:vertAlign w:val="superscript"/>
        </w:rPr>
        <w:t>]</w:t>
      </w:r>
      <w:r>
        <w:rPr>
          <w:rFonts w:hint="eastAsia"/>
          <w:sz w:val="20"/>
          <w:szCs w:val="20"/>
          <w:vertAlign w:val="superscript"/>
        </w:rPr>
        <w:fldChar w:fldCharType="end"/>
      </w:r>
      <w:r>
        <w:rPr>
          <w:rFonts w:hint="eastAsia"/>
          <w:sz w:val="21"/>
          <w:szCs w:val="21"/>
        </w:rPr>
        <w:t>.</w:t>
      </w:r>
    </w:p>
    <w:p w14:paraId="6B636331">
      <w:pPr>
        <w:spacing w:line="276" w:lineRule="auto"/>
        <w:ind w:firstLine="420" w:firstLineChars="0"/>
        <w:rPr>
          <w:sz w:val="21"/>
          <w:szCs w:val="21"/>
        </w:rPr>
      </w:pPr>
      <w:r>
        <w:rPr>
          <w:rFonts w:hint="eastAsia"/>
          <w:sz w:val="21"/>
          <w:szCs w:val="21"/>
        </w:rPr>
        <w:t>However, during thin-sheet laser welding, the rapid heating and cooling rates, coupled with the steep temperature gradients within the weld pool, present significant challenges. The substantial property differences between copper and aluminum further complicate the process: aluminum exhibits high reflectivit</w:t>
      </w:r>
      <w:bookmarkStart w:id="67" w:name="_GoBack"/>
      <w:bookmarkEnd w:id="67"/>
      <w:r>
        <w:rPr>
          <w:rFonts w:hint="eastAsia"/>
          <w:sz w:val="21"/>
          <w:szCs w:val="21"/>
        </w:rPr>
        <w:t>y and high thermal conductivity, while copper also possesses high thermal conductivity. These characteristics lead to inefficient laser energy absorption and difficulties in controlling the welding process</w:t>
      </w:r>
      <w:r>
        <w:rPr>
          <w:rFonts w:hint="eastAsia"/>
          <w:sz w:val="20"/>
          <w:szCs w:val="20"/>
          <w:vertAlign w:val="superscript"/>
        </w:rPr>
        <w:fldChar w:fldCharType="begin"/>
      </w:r>
      <w:r>
        <w:rPr>
          <w:rFonts w:hint="eastAsia"/>
          <w:sz w:val="20"/>
          <w:szCs w:val="20"/>
          <w:vertAlign w:val="superscript"/>
        </w:rPr>
        <w:instrText xml:space="preserve"> REF _Ref13795 \r \h</w:instrText>
      </w:r>
      <w:r>
        <w:rPr>
          <w:sz w:val="20"/>
          <w:szCs w:val="20"/>
          <w:vertAlign w:val="superscript"/>
        </w:rPr>
        <w:instrText xml:space="preserve">\#"[0" \* MERGEFORMAT </w:instrText>
      </w:r>
      <w:r>
        <w:rPr>
          <w:rFonts w:hint="eastAsia"/>
          <w:sz w:val="20"/>
          <w:szCs w:val="20"/>
          <w:vertAlign w:val="superscript"/>
        </w:rPr>
        <w:fldChar w:fldCharType="separate"/>
      </w:r>
      <w:r>
        <w:rPr>
          <w:sz w:val="20"/>
          <w:szCs w:val="20"/>
          <w:vertAlign w:val="superscript"/>
        </w:rPr>
        <w:t>[8</w:t>
      </w:r>
      <w:r>
        <w:rPr>
          <w:rFonts w:hint="eastAsia"/>
          <w:sz w:val="20"/>
          <w:szCs w:val="20"/>
          <w:vertAlign w:val="superscript"/>
        </w:rPr>
        <w:fldChar w:fldCharType="end"/>
      </w:r>
      <w:r>
        <w:rPr>
          <w:rFonts w:hint="eastAsia"/>
          <w:sz w:val="20"/>
          <w:szCs w:val="20"/>
          <w:vertAlign w:val="superscript"/>
        </w:rPr>
        <w:t>-</w:t>
      </w:r>
      <w:r>
        <w:rPr>
          <w:rFonts w:hint="eastAsia"/>
          <w:sz w:val="20"/>
          <w:szCs w:val="20"/>
          <w:vertAlign w:val="superscript"/>
        </w:rPr>
        <w:fldChar w:fldCharType="begin"/>
      </w:r>
      <w:r>
        <w:rPr>
          <w:rFonts w:hint="eastAsia"/>
          <w:sz w:val="20"/>
          <w:szCs w:val="20"/>
          <w:vertAlign w:val="superscript"/>
        </w:rPr>
        <w:instrText xml:space="preserve"> REF _Ref13798 \r \h</w:instrText>
      </w:r>
      <w:r>
        <w:rPr>
          <w:sz w:val="20"/>
          <w:szCs w:val="20"/>
          <w:vertAlign w:val="superscript"/>
        </w:rPr>
        <w:instrText xml:space="preserve">\#"0</w:instrText>
      </w:r>
      <w:r>
        <w:rPr>
          <w:rFonts w:hint="eastAsia"/>
          <w:sz w:val="20"/>
          <w:szCs w:val="20"/>
          <w:vertAlign w:val="superscript"/>
        </w:rPr>
        <w:instrText xml:space="preserve">]</w:instrText>
      </w:r>
      <w:r>
        <w:rPr>
          <w:sz w:val="20"/>
          <w:szCs w:val="20"/>
          <w:vertAlign w:val="superscript"/>
        </w:rPr>
        <w:instrText xml:space="preserve">" \* MERGEFORMAT </w:instrText>
      </w:r>
      <w:r>
        <w:rPr>
          <w:rFonts w:hint="eastAsia"/>
          <w:sz w:val="20"/>
          <w:szCs w:val="20"/>
          <w:vertAlign w:val="superscript"/>
        </w:rPr>
        <w:fldChar w:fldCharType="separate"/>
      </w:r>
      <w:r>
        <w:rPr>
          <w:sz w:val="20"/>
          <w:szCs w:val="20"/>
          <w:vertAlign w:val="superscript"/>
        </w:rPr>
        <w:t>11</w:t>
      </w:r>
      <w:r>
        <w:rPr>
          <w:rFonts w:hint="eastAsia"/>
          <w:sz w:val="20"/>
          <w:szCs w:val="20"/>
          <w:vertAlign w:val="superscript"/>
        </w:rPr>
        <w:t>]</w:t>
      </w:r>
      <w:r>
        <w:rPr>
          <w:rFonts w:hint="eastAsia"/>
          <w:sz w:val="20"/>
          <w:szCs w:val="20"/>
          <w:vertAlign w:val="superscript"/>
        </w:rPr>
        <w:fldChar w:fldCharType="end"/>
      </w:r>
      <w:r>
        <w:rPr>
          <w:rFonts w:hint="eastAsia"/>
          <w:sz w:val="21"/>
          <w:szCs w:val="21"/>
        </w:rPr>
        <w:t>. Consequently, the weldability between these dissimilar metals is poor, and the joint exhibits high susceptibility to cracking. The welding process faces challenges such as complex interfacial reactions, insufficient molten pool stability, and difficulties in achieving sound weld morphology. Particularly in high-energy-density laser deep penetration welding, defects like cracks and porosity readily form in the weld seam</w:t>
      </w:r>
      <w:r>
        <w:rPr>
          <w:rFonts w:hint="eastAsia"/>
          <w:sz w:val="20"/>
          <w:szCs w:val="20"/>
          <w:vertAlign w:val="superscript"/>
        </w:rPr>
        <w:fldChar w:fldCharType="begin"/>
      </w:r>
      <w:r>
        <w:rPr>
          <w:rFonts w:hint="eastAsia"/>
          <w:sz w:val="20"/>
          <w:szCs w:val="20"/>
          <w:vertAlign w:val="superscript"/>
        </w:rPr>
        <w:instrText xml:space="preserve"> REF _Ref14196 \r \h</w:instrText>
      </w:r>
      <w:r>
        <w:rPr>
          <w:sz w:val="20"/>
          <w:szCs w:val="20"/>
          <w:vertAlign w:val="superscript"/>
        </w:rPr>
        <w:instrText xml:space="preserve">\#"[0" \* MERGEFORMAT </w:instrText>
      </w:r>
      <w:r>
        <w:rPr>
          <w:rFonts w:hint="eastAsia"/>
          <w:sz w:val="20"/>
          <w:szCs w:val="20"/>
          <w:vertAlign w:val="superscript"/>
        </w:rPr>
        <w:fldChar w:fldCharType="separate"/>
      </w:r>
      <w:r>
        <w:rPr>
          <w:sz w:val="20"/>
          <w:szCs w:val="20"/>
          <w:vertAlign w:val="superscript"/>
        </w:rPr>
        <w:t>[12</w:t>
      </w:r>
      <w:r>
        <w:rPr>
          <w:rFonts w:hint="eastAsia"/>
          <w:sz w:val="20"/>
          <w:szCs w:val="20"/>
          <w:vertAlign w:val="superscript"/>
        </w:rPr>
        <w:fldChar w:fldCharType="end"/>
      </w:r>
      <w:r>
        <w:rPr>
          <w:rFonts w:hint="eastAsia"/>
          <w:sz w:val="20"/>
          <w:szCs w:val="20"/>
          <w:vertAlign w:val="superscript"/>
        </w:rPr>
        <w:t>-</w:t>
      </w:r>
      <w:r>
        <w:rPr>
          <w:rFonts w:hint="eastAsia"/>
          <w:sz w:val="20"/>
          <w:szCs w:val="20"/>
          <w:vertAlign w:val="superscript"/>
        </w:rPr>
        <w:fldChar w:fldCharType="begin"/>
      </w:r>
      <w:r>
        <w:rPr>
          <w:rFonts w:hint="eastAsia"/>
          <w:sz w:val="20"/>
          <w:szCs w:val="20"/>
          <w:vertAlign w:val="superscript"/>
        </w:rPr>
        <w:instrText xml:space="preserve"> REF _Ref14200 \r \h</w:instrText>
      </w:r>
      <w:r>
        <w:rPr>
          <w:sz w:val="20"/>
          <w:szCs w:val="20"/>
          <w:vertAlign w:val="superscript"/>
        </w:rPr>
        <w:instrText xml:space="preserve">\#"0</w:instrText>
      </w:r>
      <w:r>
        <w:rPr>
          <w:rFonts w:hint="eastAsia"/>
          <w:sz w:val="20"/>
          <w:szCs w:val="20"/>
          <w:vertAlign w:val="superscript"/>
        </w:rPr>
        <w:instrText xml:space="preserve">]</w:instrText>
      </w:r>
      <w:r>
        <w:rPr>
          <w:sz w:val="20"/>
          <w:szCs w:val="20"/>
          <w:vertAlign w:val="superscript"/>
        </w:rPr>
        <w:instrText xml:space="preserve">" \* MERGEFORMAT </w:instrText>
      </w:r>
      <w:r>
        <w:rPr>
          <w:rFonts w:hint="eastAsia"/>
          <w:sz w:val="20"/>
          <w:szCs w:val="20"/>
          <w:vertAlign w:val="superscript"/>
        </w:rPr>
        <w:fldChar w:fldCharType="separate"/>
      </w:r>
      <w:r>
        <w:rPr>
          <w:sz w:val="20"/>
          <w:szCs w:val="20"/>
          <w:vertAlign w:val="superscript"/>
        </w:rPr>
        <w:t>13</w:t>
      </w:r>
      <w:r>
        <w:rPr>
          <w:rFonts w:hint="eastAsia"/>
          <w:sz w:val="20"/>
          <w:szCs w:val="20"/>
          <w:vertAlign w:val="superscript"/>
        </w:rPr>
        <w:t>]</w:t>
      </w:r>
      <w:r>
        <w:rPr>
          <w:rFonts w:hint="eastAsia"/>
          <w:sz w:val="20"/>
          <w:szCs w:val="20"/>
          <w:vertAlign w:val="superscript"/>
        </w:rPr>
        <w:fldChar w:fldCharType="end"/>
      </w:r>
      <w:r>
        <w:rPr>
          <w:rFonts w:hint="eastAsia"/>
          <w:sz w:val="21"/>
          <w:szCs w:val="21"/>
        </w:rPr>
        <w:t>.Therefore, conducting numerical simulation studies on the heat and mass transfer processes during laser deep penetration welding of copper-aluminum dissimilar metals is crucial for optimizing welding parameters and controlling weld morphology. Welding techniques for joining these two metals have also been extensively investigated</w:t>
      </w:r>
      <w:r>
        <w:rPr>
          <w:rFonts w:hint="eastAsia"/>
          <w:sz w:val="20"/>
          <w:szCs w:val="20"/>
          <w:vertAlign w:val="superscript"/>
        </w:rPr>
        <w:fldChar w:fldCharType="begin"/>
      </w:r>
      <w:r>
        <w:rPr>
          <w:rFonts w:hint="eastAsia"/>
          <w:sz w:val="20"/>
          <w:szCs w:val="20"/>
          <w:vertAlign w:val="superscript"/>
        </w:rPr>
        <w:instrText xml:space="preserve"> REF _Ref14752 \r \h</w:instrText>
      </w:r>
      <w:r>
        <w:rPr>
          <w:sz w:val="20"/>
          <w:szCs w:val="20"/>
          <w:vertAlign w:val="superscript"/>
        </w:rPr>
        <w:instrText xml:space="preserve">\#"[0"</w:instrText>
      </w:r>
      <w:r>
        <w:rPr>
          <w:rFonts w:hint="eastAsia"/>
          <w:sz w:val="20"/>
          <w:szCs w:val="20"/>
          <w:vertAlign w:val="superscript"/>
        </w:rPr>
        <w:instrText xml:space="preserve"> </w:instrText>
      </w:r>
      <w:r>
        <w:rPr>
          <w:sz w:val="20"/>
          <w:szCs w:val="20"/>
          <w:vertAlign w:val="superscript"/>
        </w:rPr>
        <w:instrText xml:space="preserve"> \* MERGEFORMAT </w:instrText>
      </w:r>
      <w:r>
        <w:rPr>
          <w:rFonts w:hint="eastAsia"/>
          <w:sz w:val="20"/>
          <w:szCs w:val="20"/>
          <w:vertAlign w:val="superscript"/>
        </w:rPr>
        <w:fldChar w:fldCharType="separate"/>
      </w:r>
      <w:r>
        <w:rPr>
          <w:sz w:val="20"/>
          <w:szCs w:val="20"/>
          <w:vertAlign w:val="superscript"/>
        </w:rPr>
        <w:t>[14</w:t>
      </w:r>
      <w:r>
        <w:rPr>
          <w:rFonts w:hint="eastAsia"/>
          <w:sz w:val="20"/>
          <w:szCs w:val="20"/>
          <w:vertAlign w:val="superscript"/>
        </w:rPr>
        <w:fldChar w:fldCharType="end"/>
      </w:r>
      <w:r>
        <w:rPr>
          <w:rFonts w:hint="eastAsia"/>
          <w:sz w:val="20"/>
          <w:szCs w:val="20"/>
          <w:vertAlign w:val="superscript"/>
        </w:rPr>
        <w:t>-</w:t>
      </w:r>
      <w:r>
        <w:rPr>
          <w:rFonts w:hint="eastAsia"/>
          <w:sz w:val="20"/>
          <w:szCs w:val="20"/>
          <w:vertAlign w:val="superscript"/>
        </w:rPr>
        <w:fldChar w:fldCharType="begin"/>
      </w:r>
      <w:r>
        <w:rPr>
          <w:rFonts w:hint="eastAsia"/>
          <w:sz w:val="20"/>
          <w:szCs w:val="20"/>
          <w:vertAlign w:val="superscript"/>
        </w:rPr>
        <w:instrText xml:space="preserve"> REF _Ref14755 \r \h </w:instrText>
      </w:r>
      <w:r>
        <w:rPr>
          <w:sz w:val="20"/>
          <w:szCs w:val="20"/>
          <w:vertAlign w:val="superscript"/>
        </w:rPr>
        <w:instrText xml:space="preserve">\#"0</w:instrText>
      </w:r>
      <w:r>
        <w:rPr>
          <w:rFonts w:hint="eastAsia"/>
          <w:sz w:val="20"/>
          <w:szCs w:val="20"/>
          <w:vertAlign w:val="superscript"/>
        </w:rPr>
        <w:instrText xml:space="preserve">]</w:instrText>
      </w:r>
      <w:r>
        <w:rPr>
          <w:sz w:val="20"/>
          <w:szCs w:val="20"/>
          <w:vertAlign w:val="superscript"/>
        </w:rPr>
        <w:instrText xml:space="preserve">" \* MERGEFORMAT </w:instrText>
      </w:r>
      <w:r>
        <w:rPr>
          <w:rFonts w:hint="eastAsia"/>
          <w:sz w:val="20"/>
          <w:szCs w:val="20"/>
          <w:vertAlign w:val="superscript"/>
        </w:rPr>
        <w:fldChar w:fldCharType="separate"/>
      </w:r>
      <w:r>
        <w:rPr>
          <w:sz w:val="20"/>
          <w:szCs w:val="20"/>
          <w:vertAlign w:val="superscript"/>
        </w:rPr>
        <w:t>16</w:t>
      </w:r>
      <w:r>
        <w:rPr>
          <w:rFonts w:hint="eastAsia"/>
          <w:sz w:val="20"/>
          <w:szCs w:val="20"/>
          <w:vertAlign w:val="superscript"/>
        </w:rPr>
        <w:t>]</w:t>
      </w:r>
      <w:r>
        <w:rPr>
          <w:rFonts w:hint="eastAsia"/>
          <w:sz w:val="20"/>
          <w:szCs w:val="20"/>
          <w:vertAlign w:val="superscript"/>
        </w:rPr>
        <w:fldChar w:fldCharType="end"/>
      </w:r>
      <w:r>
        <w:rPr>
          <w:rFonts w:hint="eastAsia"/>
          <w:sz w:val="21"/>
          <w:szCs w:val="21"/>
        </w:rPr>
        <w:t>.</w:t>
      </w:r>
      <w:r>
        <w:rPr>
          <w:sz w:val="21"/>
          <w:szCs w:val="21"/>
        </w:rPr>
        <w:t>Currently, research institutions around the world have carried out extensive studies on laser welding of thin-sheet copper and aluminum, aiming to optimize the welding process, improve the efficiency of heat and mass transfer, control interfacial reactions, and enhance weld quality.</w:t>
      </w:r>
    </w:p>
    <w:p w14:paraId="5EE12CC2">
      <w:pPr>
        <w:spacing w:line="276" w:lineRule="auto"/>
        <w:ind w:firstLine="420" w:firstLineChars="0"/>
        <w:rPr>
          <w:sz w:val="21"/>
          <w:szCs w:val="21"/>
        </w:rPr>
      </w:pPr>
      <w:r>
        <w:rPr>
          <w:sz w:val="21"/>
          <w:szCs w:val="21"/>
        </w:rPr>
        <w:t>Internationally, research has mainly focused on optimizing laser parameters, analyzing the microstructure of dissimilar metal interfaces, and improving joint performance to achieve efficient regulation of heat and mass transfer processes. For example, Le Mener et al. developed a multi-physics model for laser welding of steel and Inconel, which simulates heat transfer, fluid flow, and species tracking during welding, and verified the accuracy of the model with experimental data</w:t>
      </w:r>
      <w:r>
        <w:rPr>
          <w:sz w:val="20"/>
          <w:szCs w:val="20"/>
          <w:vertAlign w:val="superscript"/>
        </w:rPr>
        <w:fldChar w:fldCharType="begin"/>
      </w:r>
      <w:r>
        <w:rPr>
          <w:sz w:val="20"/>
          <w:szCs w:val="20"/>
          <w:vertAlign w:val="superscript"/>
        </w:rPr>
        <w:instrText xml:space="preserve"> REF _Ref14987 \r \h  \* MERGEFORMAT </w:instrText>
      </w:r>
      <w:r>
        <w:rPr>
          <w:sz w:val="20"/>
          <w:szCs w:val="20"/>
          <w:vertAlign w:val="superscript"/>
        </w:rPr>
        <w:fldChar w:fldCharType="separate"/>
      </w:r>
      <w:r>
        <w:rPr>
          <w:sz w:val="20"/>
          <w:szCs w:val="20"/>
          <w:vertAlign w:val="superscript"/>
        </w:rPr>
        <w:t>[17]</w:t>
      </w:r>
      <w:r>
        <w:rPr>
          <w:sz w:val="20"/>
          <w:szCs w:val="20"/>
          <w:vertAlign w:val="superscript"/>
        </w:rPr>
        <w:fldChar w:fldCharType="end"/>
      </w:r>
      <w:r>
        <w:rPr>
          <w:sz w:val="21"/>
          <w:szCs w:val="21"/>
        </w:rPr>
        <w:t>. Kimthong et al. explored the microstructural heterogeneity of laser-welded steel-aluminum joints through experiments and finite element simulations</w:t>
      </w:r>
      <w:r>
        <w:rPr>
          <w:sz w:val="20"/>
          <w:szCs w:val="20"/>
          <w:vertAlign w:val="superscript"/>
        </w:rPr>
        <w:fldChar w:fldCharType="begin"/>
      </w:r>
      <w:r>
        <w:rPr>
          <w:sz w:val="20"/>
          <w:szCs w:val="20"/>
          <w:vertAlign w:val="superscript"/>
        </w:rPr>
        <w:instrText xml:space="preserve"> REF _Ref15013 \r \h  \* MERGEFORMAT </w:instrText>
      </w:r>
      <w:r>
        <w:rPr>
          <w:sz w:val="20"/>
          <w:szCs w:val="20"/>
          <w:vertAlign w:val="superscript"/>
        </w:rPr>
        <w:fldChar w:fldCharType="separate"/>
      </w:r>
      <w:r>
        <w:rPr>
          <w:sz w:val="20"/>
          <w:szCs w:val="20"/>
          <w:vertAlign w:val="superscript"/>
        </w:rPr>
        <w:t>[18]</w:t>
      </w:r>
      <w:r>
        <w:rPr>
          <w:sz w:val="20"/>
          <w:szCs w:val="20"/>
          <w:vertAlign w:val="superscript"/>
        </w:rPr>
        <w:fldChar w:fldCharType="end"/>
      </w:r>
      <w:r>
        <w:rPr>
          <w:sz w:val="21"/>
          <w:szCs w:val="21"/>
        </w:rPr>
        <w:t>.</w:t>
      </w:r>
    </w:p>
    <w:p w14:paraId="7F7F0649">
      <w:pPr>
        <w:spacing w:line="276" w:lineRule="auto"/>
        <w:ind w:firstLine="420" w:firstLineChars="0"/>
        <w:rPr>
          <w:sz w:val="21"/>
          <w:szCs w:val="21"/>
        </w:rPr>
      </w:pPr>
      <w:r>
        <w:rPr>
          <w:rFonts w:hint="eastAsia"/>
          <w:sz w:val="21"/>
          <w:szCs w:val="21"/>
        </w:rPr>
        <w:t>Domestically, research has concentrated on the influence of process parameters on weld quality and exploring novel welding techniques to address interfacial issues during welding. Several studies have analyzed the state at the keyhole bottom during laser deep penetration welding and assessed the global efficiency of heat and mass transfer by combining fluid dynamics simulations to better evaluate the welding process</w:t>
      </w:r>
      <w:r>
        <w:rPr>
          <w:rFonts w:hint="eastAsia"/>
          <w:sz w:val="20"/>
          <w:szCs w:val="20"/>
          <w:vertAlign w:val="superscript"/>
        </w:rPr>
        <w:fldChar w:fldCharType="begin"/>
      </w:r>
      <w:r>
        <w:rPr>
          <w:rFonts w:hint="eastAsia"/>
          <w:sz w:val="20"/>
          <w:szCs w:val="20"/>
          <w:vertAlign w:val="superscript"/>
        </w:rPr>
        <w:instrText xml:space="preserve"> REF _Ref15369 \r \h</w:instrText>
      </w:r>
      <w:r>
        <w:rPr>
          <w:sz w:val="20"/>
          <w:szCs w:val="20"/>
          <w:vertAlign w:val="superscript"/>
        </w:rPr>
        <w:instrText xml:space="preserve">\#"[0" \* MERGEFORMAT </w:instrText>
      </w:r>
      <w:r>
        <w:rPr>
          <w:rFonts w:hint="eastAsia"/>
          <w:sz w:val="20"/>
          <w:szCs w:val="20"/>
          <w:vertAlign w:val="superscript"/>
        </w:rPr>
        <w:fldChar w:fldCharType="separate"/>
      </w:r>
      <w:r>
        <w:rPr>
          <w:sz w:val="20"/>
          <w:szCs w:val="20"/>
          <w:vertAlign w:val="superscript"/>
        </w:rPr>
        <w:t>[19</w:t>
      </w:r>
      <w:r>
        <w:rPr>
          <w:rFonts w:hint="eastAsia"/>
          <w:sz w:val="20"/>
          <w:szCs w:val="20"/>
          <w:vertAlign w:val="superscript"/>
        </w:rPr>
        <w:fldChar w:fldCharType="end"/>
      </w:r>
      <w:r>
        <w:rPr>
          <w:rFonts w:hint="eastAsia"/>
          <w:sz w:val="20"/>
          <w:szCs w:val="20"/>
          <w:vertAlign w:val="superscript"/>
        </w:rPr>
        <w:t>-</w:t>
      </w:r>
      <w:r>
        <w:rPr>
          <w:rFonts w:hint="eastAsia"/>
          <w:sz w:val="20"/>
          <w:szCs w:val="20"/>
          <w:vertAlign w:val="superscript"/>
        </w:rPr>
        <w:fldChar w:fldCharType="begin"/>
      </w:r>
      <w:r>
        <w:rPr>
          <w:rFonts w:hint="eastAsia"/>
          <w:sz w:val="20"/>
          <w:szCs w:val="20"/>
          <w:vertAlign w:val="superscript"/>
        </w:rPr>
        <w:instrText xml:space="preserve"> REF _Ref15372 \r \h</w:instrText>
      </w:r>
      <w:r>
        <w:rPr>
          <w:sz w:val="20"/>
          <w:szCs w:val="20"/>
          <w:vertAlign w:val="superscript"/>
        </w:rPr>
        <w:instrText xml:space="preserve">\#0</w:instrText>
      </w:r>
      <w:r>
        <w:rPr>
          <w:rFonts w:hint="eastAsia"/>
          <w:sz w:val="20"/>
          <w:szCs w:val="20"/>
          <w:vertAlign w:val="superscript"/>
        </w:rPr>
        <w:instrText xml:space="preserve">]</w:instrText>
      </w:r>
      <w:r>
        <w:rPr>
          <w:sz w:val="20"/>
          <w:szCs w:val="20"/>
          <w:vertAlign w:val="superscript"/>
        </w:rPr>
        <w:instrText xml:space="preserve">" \* MERGEFORMAT  \* MERGEFORMAT </w:instrText>
      </w:r>
      <w:r>
        <w:rPr>
          <w:rFonts w:hint="eastAsia"/>
          <w:sz w:val="20"/>
          <w:szCs w:val="20"/>
          <w:vertAlign w:val="superscript"/>
        </w:rPr>
        <w:fldChar w:fldCharType="separate"/>
      </w:r>
      <w:r>
        <w:rPr>
          <w:sz w:val="20"/>
          <w:szCs w:val="20"/>
          <w:vertAlign w:val="superscript"/>
        </w:rPr>
        <w:t>20</w:t>
      </w:r>
      <w:r>
        <w:rPr>
          <w:rFonts w:hint="eastAsia"/>
          <w:sz w:val="20"/>
          <w:szCs w:val="20"/>
          <w:vertAlign w:val="superscript"/>
        </w:rPr>
        <w:t>]</w:t>
      </w:r>
      <w:r>
        <w:rPr>
          <w:rFonts w:hint="eastAsia"/>
          <w:sz w:val="20"/>
          <w:szCs w:val="20"/>
          <w:vertAlign w:val="superscript"/>
        </w:rPr>
        <w:fldChar w:fldCharType="end"/>
      </w:r>
      <w:r>
        <w:rPr>
          <w:rFonts w:hint="eastAsia"/>
          <w:sz w:val="21"/>
          <w:szCs w:val="21"/>
        </w:rPr>
        <w:t>. For example, Xie et al. developed a three-dimensional transient numerical model to investigate molten pool behavior and mass transfer mechanisms during laser welding of steel and aluminum. They employed the Volume of Fluid (VOF) method to track the free surface, with particular focus on the effects of recoil pressure and surface tension on the keyhole wall</w:t>
      </w:r>
      <w:r>
        <w:rPr>
          <w:rFonts w:hint="eastAsia"/>
          <w:sz w:val="20"/>
          <w:szCs w:val="20"/>
          <w:vertAlign w:val="superscript"/>
        </w:rPr>
        <w:fldChar w:fldCharType="begin"/>
      </w:r>
      <w:r>
        <w:rPr>
          <w:rFonts w:hint="eastAsia"/>
          <w:sz w:val="20"/>
          <w:szCs w:val="20"/>
          <w:vertAlign w:val="superscript"/>
        </w:rPr>
        <w:instrText xml:space="preserve"> REF _Ref15408 \r \h </w:instrText>
      </w:r>
      <w:r>
        <w:rPr>
          <w:sz w:val="20"/>
          <w:szCs w:val="20"/>
          <w:vertAlign w:val="superscript"/>
        </w:rPr>
        <w:instrText xml:space="preserve"> \* MERGEFORMAT </w:instrText>
      </w:r>
      <w:r>
        <w:rPr>
          <w:rFonts w:hint="eastAsia"/>
          <w:sz w:val="20"/>
          <w:szCs w:val="20"/>
          <w:vertAlign w:val="superscript"/>
        </w:rPr>
        <w:fldChar w:fldCharType="separate"/>
      </w:r>
      <w:r>
        <w:rPr>
          <w:sz w:val="20"/>
          <w:szCs w:val="20"/>
          <w:vertAlign w:val="superscript"/>
        </w:rPr>
        <w:t>[21]</w:t>
      </w:r>
      <w:r>
        <w:rPr>
          <w:rFonts w:hint="eastAsia"/>
          <w:sz w:val="20"/>
          <w:szCs w:val="20"/>
          <w:vertAlign w:val="superscript"/>
        </w:rPr>
        <w:fldChar w:fldCharType="end"/>
      </w:r>
      <w:r>
        <w:rPr>
          <w:rFonts w:hint="eastAsia"/>
          <w:sz w:val="21"/>
          <w:szCs w:val="21"/>
        </w:rPr>
        <w:t>.Furthermore, the adoption of hybrid welding techniques has become an active area of research. Techniques such as laser-gas metal arc welding (Laser-GMAW) hybrid welding are being explored to increase deposition rates, improve weld morphology, and effectively reduce porosity</w:t>
      </w:r>
      <w:r>
        <w:rPr>
          <w:rFonts w:hint="eastAsia"/>
          <w:sz w:val="20"/>
          <w:szCs w:val="20"/>
          <w:vertAlign w:val="superscript"/>
        </w:rPr>
        <w:fldChar w:fldCharType="begin"/>
      </w:r>
      <w:r>
        <w:rPr>
          <w:rFonts w:hint="eastAsia"/>
          <w:sz w:val="20"/>
          <w:szCs w:val="20"/>
          <w:vertAlign w:val="superscript"/>
        </w:rPr>
        <w:instrText xml:space="preserve"> REF _Ref15669 \r \h</w:instrText>
      </w:r>
      <w:r>
        <w:rPr>
          <w:sz w:val="20"/>
          <w:szCs w:val="20"/>
          <w:vertAlign w:val="superscript"/>
        </w:rPr>
        <w:instrText xml:space="preserve">\#"[0" \* MERGEFORMAT </w:instrText>
      </w:r>
      <w:r>
        <w:rPr>
          <w:rFonts w:hint="eastAsia"/>
          <w:sz w:val="20"/>
          <w:szCs w:val="20"/>
          <w:vertAlign w:val="superscript"/>
        </w:rPr>
        <w:fldChar w:fldCharType="separate"/>
      </w:r>
      <w:r>
        <w:rPr>
          <w:sz w:val="20"/>
          <w:szCs w:val="20"/>
          <w:vertAlign w:val="superscript"/>
        </w:rPr>
        <w:t>[22</w:t>
      </w:r>
      <w:r>
        <w:rPr>
          <w:rFonts w:hint="eastAsia"/>
          <w:sz w:val="20"/>
          <w:szCs w:val="20"/>
          <w:vertAlign w:val="superscript"/>
        </w:rPr>
        <w:fldChar w:fldCharType="end"/>
      </w:r>
      <w:r>
        <w:rPr>
          <w:rFonts w:hint="eastAsia"/>
          <w:sz w:val="20"/>
          <w:szCs w:val="20"/>
          <w:vertAlign w:val="superscript"/>
        </w:rPr>
        <w:t>-</w:t>
      </w:r>
      <w:r>
        <w:rPr>
          <w:rFonts w:hint="eastAsia"/>
          <w:sz w:val="20"/>
          <w:szCs w:val="20"/>
          <w:vertAlign w:val="superscript"/>
        </w:rPr>
        <w:fldChar w:fldCharType="begin"/>
      </w:r>
      <w:r>
        <w:rPr>
          <w:rFonts w:hint="eastAsia"/>
          <w:sz w:val="20"/>
          <w:szCs w:val="20"/>
          <w:vertAlign w:val="superscript"/>
        </w:rPr>
        <w:instrText xml:space="preserve"> REF _Ref32767 \r \h </w:instrText>
      </w:r>
      <w:r>
        <w:rPr>
          <w:sz w:val="20"/>
          <w:szCs w:val="20"/>
          <w:vertAlign w:val="superscript"/>
        </w:rPr>
        <w:instrText xml:space="preserve">\#"0</w:instrText>
      </w:r>
      <w:r>
        <w:rPr>
          <w:rFonts w:hint="eastAsia"/>
          <w:sz w:val="20"/>
          <w:szCs w:val="20"/>
          <w:vertAlign w:val="superscript"/>
        </w:rPr>
        <w:instrText xml:space="preserve">]</w:instrText>
      </w:r>
      <w:r>
        <w:rPr>
          <w:sz w:val="20"/>
          <w:szCs w:val="20"/>
          <w:vertAlign w:val="superscript"/>
        </w:rPr>
        <w:instrText xml:space="preserve">" \* MERGEFORMAT </w:instrText>
      </w:r>
      <w:r>
        <w:rPr>
          <w:rFonts w:hint="eastAsia"/>
          <w:sz w:val="20"/>
          <w:szCs w:val="20"/>
          <w:vertAlign w:val="superscript"/>
        </w:rPr>
        <w:fldChar w:fldCharType="separate"/>
      </w:r>
      <w:r>
        <w:rPr>
          <w:sz w:val="20"/>
          <w:szCs w:val="20"/>
          <w:vertAlign w:val="superscript"/>
        </w:rPr>
        <w:t>24</w:t>
      </w:r>
      <w:r>
        <w:rPr>
          <w:rFonts w:hint="eastAsia"/>
          <w:sz w:val="20"/>
          <w:szCs w:val="20"/>
          <w:vertAlign w:val="superscript"/>
        </w:rPr>
        <w:t>]</w:t>
      </w:r>
      <w:r>
        <w:rPr>
          <w:rFonts w:hint="eastAsia"/>
          <w:sz w:val="20"/>
          <w:szCs w:val="20"/>
          <w:vertAlign w:val="superscript"/>
        </w:rPr>
        <w:fldChar w:fldCharType="end"/>
      </w:r>
      <w:r>
        <w:rPr>
          <w:rFonts w:hint="eastAsia"/>
          <w:sz w:val="21"/>
          <w:szCs w:val="21"/>
        </w:rPr>
        <w:t>.</w:t>
      </w:r>
    </w:p>
    <w:p w14:paraId="4721095E">
      <w:pPr>
        <w:spacing w:line="276" w:lineRule="auto"/>
        <w:ind w:firstLine="420" w:firstLineChars="0"/>
        <w:rPr>
          <w:sz w:val="21"/>
          <w:szCs w:val="21"/>
        </w:rPr>
      </w:pPr>
      <w:r>
        <w:rPr>
          <w:rFonts w:hint="eastAsia"/>
          <w:sz w:val="21"/>
          <w:szCs w:val="21"/>
        </w:rPr>
        <w:t>In summary, current research on laser deep penetration welding of copper-aluminum dissimilar metals still lacks comprehensive analysis of the coupled heat and mass transfer processes through numerical simulation, making it difficult to precisely guide process optimization. Therefore, this study focuses on thin-sheet TU1 oxygen-free copper and 6061 aluminum alloy as the research materials. By developing a numerical model for heat and mass transfer in laser deep penetration welding and validating it with experimental data, we investigate the evolution mechanisms of the temperature field and flow field within the molten pool. This work aims to provide a theoretical foundation for enhancing welding quality.</w:t>
      </w:r>
    </w:p>
    <w:p w14:paraId="597135E3">
      <w:pPr>
        <w:numPr>
          <w:ilvl w:val="0"/>
          <w:numId w:val="1"/>
        </w:numPr>
        <w:wordWrap w:val="0"/>
        <w:topLinePunct/>
        <w:spacing w:line="276" w:lineRule="auto"/>
        <w:ind w:firstLineChars="0"/>
        <w:rPr>
          <w:b/>
          <w:bCs/>
          <w:sz w:val="21"/>
          <w:szCs w:val="21"/>
        </w:rPr>
      </w:pPr>
      <w:r>
        <w:rPr>
          <w:rFonts w:hint="eastAsia"/>
          <w:b/>
          <w:bCs/>
          <w:sz w:val="21"/>
          <w:szCs w:val="21"/>
        </w:rPr>
        <w:t>Laser Welding Test Materials and Methods</w:t>
      </w:r>
    </w:p>
    <w:p w14:paraId="672D1E07">
      <w:pPr>
        <w:spacing w:line="276" w:lineRule="auto"/>
        <w:ind w:firstLine="420" w:firstLineChars="0"/>
        <w:rPr>
          <w:sz w:val="21"/>
          <w:szCs w:val="21"/>
        </w:rPr>
      </w:pPr>
      <w:r>
        <w:rPr>
          <w:rFonts w:hint="eastAsia"/>
          <w:sz w:val="21"/>
          <w:szCs w:val="21"/>
        </w:rPr>
        <w:t>The test tab material is Y-state TU1 oxygen-free copper with dimensions of 40mm×40mm×0.3mm, and the busbar material is T6-state 6061 aluminum alloy with dimensions of 40mm×40mm×2mm. The schematic diagram of the welding method is shown in Figure 1. The welding mode is laser deep penetration welding. The welding equipment used is a YLS-3000 laser produced by IPG in Germany, with a wavelength of 1070 nm, a rated output power of 3000 W, a laser beam defocus amount of 0 mm, a protective gas (argon) purity of 99.9%, and a flow rate of 20 L/min. Laser deep penetration welding under each set of process parameters was carried out one by one, and the process parameters are shown in Table 1.</w:t>
      </w:r>
    </w:p>
    <w:p w14:paraId="48E5E735">
      <w:pPr>
        <w:spacing w:line="240" w:lineRule="auto"/>
        <w:ind w:firstLine="0" w:firstLineChars="0"/>
        <w:jc w:val="center"/>
        <w:rPr>
          <w:b/>
          <w:bCs/>
          <w:sz w:val="18"/>
          <w:szCs w:val="18"/>
        </w:rPr>
      </w:pPr>
      <w:r>
        <w:drawing>
          <wp:inline distT="0" distB="0" distL="0" distR="0">
            <wp:extent cx="3567430" cy="1079500"/>
            <wp:effectExtent l="0" t="0" r="0" b="6350"/>
            <wp:docPr id="3"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5.png"/>
                    <pic:cNvPicPr>
                      <a:picLocks noChangeAspect="1"/>
                    </pic:cNvPicPr>
                  </pic:nvPicPr>
                  <pic:blipFill>
                    <a:blip r:embed="rId12"/>
                    <a:stretch>
                      <a:fillRect/>
                    </a:stretch>
                  </pic:blipFill>
                  <pic:spPr>
                    <a:xfrm>
                      <a:off x="0" y="0"/>
                      <a:ext cx="3567600" cy="1080000"/>
                    </a:xfrm>
                    <a:prstGeom prst="rect">
                      <a:avLst/>
                    </a:prstGeom>
                    <a:noFill/>
                    <a:ln>
                      <a:noFill/>
                    </a:ln>
                  </pic:spPr>
                </pic:pic>
              </a:graphicData>
            </a:graphic>
          </wp:inline>
        </w:drawing>
      </w:r>
    </w:p>
    <w:p w14:paraId="36E3AEFA">
      <w:pPr>
        <w:spacing w:line="240" w:lineRule="auto"/>
        <w:ind w:firstLine="0" w:firstLineChars="0"/>
        <w:jc w:val="center"/>
        <w:rPr>
          <w:b/>
          <w:bCs/>
          <w:sz w:val="18"/>
          <w:szCs w:val="18"/>
        </w:rPr>
      </w:pPr>
      <w:r>
        <w:rPr>
          <w:b/>
          <w:bCs/>
          <w:sz w:val="18"/>
          <w:szCs w:val="18"/>
        </w:rPr>
        <w:t xml:space="preserve">Fig.1 </w:t>
      </w:r>
      <w:r>
        <w:rPr>
          <w:sz w:val="18"/>
          <w:szCs w:val="18"/>
        </w:rPr>
        <w:t>Schematic diagram of welding mode</w:t>
      </w:r>
    </w:p>
    <w:p w14:paraId="57BC74AD">
      <w:pPr>
        <w:spacing w:line="240" w:lineRule="auto"/>
        <w:ind w:firstLine="0" w:firstLineChars="0"/>
        <w:jc w:val="center"/>
        <w:rPr>
          <w:b/>
          <w:bCs/>
          <w:sz w:val="18"/>
          <w:szCs w:val="18"/>
        </w:rPr>
      </w:pPr>
      <w:r>
        <w:rPr>
          <w:b/>
          <w:bCs/>
          <w:sz w:val="18"/>
          <w:szCs w:val="18"/>
        </w:rPr>
        <w:t xml:space="preserve">Tab.1 </w:t>
      </w:r>
      <w:r>
        <w:rPr>
          <w:sz w:val="18"/>
          <w:szCs w:val="18"/>
        </w:rPr>
        <w:t>Laser welding process parameters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5"/>
        <w:gridCol w:w="1663"/>
        <w:gridCol w:w="1758"/>
      </w:tblGrid>
      <w:tr w14:paraId="66453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8" w:hRule="atLeast"/>
          <w:jc w:val="center"/>
        </w:trPr>
        <w:tc>
          <w:tcPr>
            <w:tcW w:w="0" w:type="auto"/>
            <w:tcBorders>
              <w:top w:val="single" w:color="auto" w:sz="12" w:space="0"/>
              <w:left w:val="nil"/>
              <w:bottom w:val="single" w:color="auto" w:sz="4" w:space="0"/>
              <w:right w:val="nil"/>
            </w:tcBorders>
          </w:tcPr>
          <w:p w14:paraId="73D4F21A">
            <w:pPr>
              <w:spacing w:line="240" w:lineRule="auto"/>
              <w:ind w:firstLine="0" w:firstLineChars="0"/>
              <w:jc w:val="center"/>
            </w:pPr>
            <w:r>
              <w:rPr>
                <w:sz w:val="21"/>
                <w:szCs w:val="21"/>
              </w:rPr>
              <w:t>Group No.</w:t>
            </w:r>
          </w:p>
        </w:tc>
        <w:tc>
          <w:tcPr>
            <w:tcW w:w="0" w:type="auto"/>
            <w:tcBorders>
              <w:top w:val="single" w:color="auto" w:sz="12" w:space="0"/>
              <w:left w:val="nil"/>
              <w:bottom w:val="single" w:color="auto" w:sz="4" w:space="0"/>
              <w:right w:val="nil"/>
            </w:tcBorders>
          </w:tcPr>
          <w:p w14:paraId="4B58C6CE">
            <w:pPr>
              <w:spacing w:line="240" w:lineRule="auto"/>
              <w:ind w:firstLine="0" w:firstLineChars="0"/>
              <w:jc w:val="center"/>
              <w:rPr>
                <w:sz w:val="21"/>
                <w:szCs w:val="21"/>
              </w:rPr>
            </w:pPr>
            <w:r>
              <w:rPr>
                <w:sz w:val="21"/>
                <w:szCs w:val="21"/>
              </w:rPr>
              <w:t>Laser Power (W)</w:t>
            </w:r>
          </w:p>
        </w:tc>
        <w:tc>
          <w:tcPr>
            <w:tcW w:w="1758" w:type="dxa"/>
            <w:tcBorders>
              <w:top w:val="single" w:color="auto" w:sz="12" w:space="0"/>
              <w:left w:val="nil"/>
              <w:bottom w:val="single" w:color="auto" w:sz="4" w:space="0"/>
              <w:right w:val="nil"/>
            </w:tcBorders>
          </w:tcPr>
          <w:p w14:paraId="27CFB450">
            <w:pPr>
              <w:spacing w:line="240" w:lineRule="auto"/>
              <w:ind w:firstLine="0" w:firstLineChars="0"/>
              <w:jc w:val="center"/>
              <w:rPr>
                <w:sz w:val="21"/>
                <w:szCs w:val="21"/>
              </w:rPr>
            </w:pPr>
            <w:r>
              <w:rPr>
                <w:rFonts w:hint="eastAsia"/>
                <w:sz w:val="21"/>
                <w:szCs w:val="21"/>
              </w:rPr>
              <w:t>Welding Speed (mm/s)</w:t>
            </w:r>
          </w:p>
        </w:tc>
      </w:tr>
      <w:tr w14:paraId="6649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Pr>
          <w:p w14:paraId="080E6BCF">
            <w:pPr>
              <w:spacing w:line="240" w:lineRule="auto"/>
              <w:ind w:firstLine="420"/>
              <w:rPr>
                <w:sz w:val="21"/>
                <w:szCs w:val="21"/>
              </w:rPr>
            </w:pPr>
            <w:r>
              <w:rPr>
                <w:rFonts w:hint="eastAsia"/>
                <w:sz w:val="21"/>
                <w:szCs w:val="21"/>
              </w:rPr>
              <w:t>1</w:t>
            </w:r>
          </w:p>
        </w:tc>
        <w:tc>
          <w:tcPr>
            <w:tcW w:w="0" w:type="auto"/>
            <w:tcBorders>
              <w:top w:val="single" w:color="auto" w:sz="4" w:space="0"/>
              <w:left w:val="nil"/>
              <w:bottom w:val="nil"/>
              <w:right w:val="nil"/>
            </w:tcBorders>
          </w:tcPr>
          <w:p w14:paraId="2C4AA9E2">
            <w:pPr>
              <w:spacing w:line="240" w:lineRule="auto"/>
              <w:ind w:firstLine="420"/>
              <w:rPr>
                <w:sz w:val="21"/>
                <w:szCs w:val="21"/>
              </w:rPr>
            </w:pPr>
            <w:r>
              <w:rPr>
                <w:rFonts w:hint="eastAsia"/>
                <w:sz w:val="21"/>
                <w:szCs w:val="21"/>
              </w:rPr>
              <w:t>1000</w:t>
            </w:r>
          </w:p>
        </w:tc>
        <w:tc>
          <w:tcPr>
            <w:tcW w:w="1758" w:type="dxa"/>
            <w:tcBorders>
              <w:top w:val="single" w:color="auto" w:sz="4" w:space="0"/>
              <w:left w:val="nil"/>
              <w:bottom w:val="nil"/>
              <w:right w:val="nil"/>
            </w:tcBorders>
          </w:tcPr>
          <w:p w14:paraId="47641A18">
            <w:pPr>
              <w:spacing w:line="240" w:lineRule="auto"/>
              <w:ind w:firstLine="420"/>
              <w:rPr>
                <w:sz w:val="21"/>
                <w:szCs w:val="21"/>
              </w:rPr>
            </w:pPr>
            <w:r>
              <w:rPr>
                <w:rFonts w:hint="eastAsia"/>
                <w:sz w:val="21"/>
                <w:szCs w:val="21"/>
              </w:rPr>
              <w:t>55</w:t>
            </w:r>
          </w:p>
        </w:tc>
      </w:tr>
      <w:tr w14:paraId="17EBC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3B287B40">
            <w:pPr>
              <w:spacing w:line="240" w:lineRule="auto"/>
              <w:ind w:firstLine="420"/>
              <w:rPr>
                <w:sz w:val="21"/>
                <w:szCs w:val="21"/>
              </w:rPr>
            </w:pPr>
            <w:r>
              <w:rPr>
                <w:rFonts w:hint="eastAsia"/>
                <w:sz w:val="21"/>
                <w:szCs w:val="21"/>
              </w:rPr>
              <w:t>2</w:t>
            </w:r>
          </w:p>
        </w:tc>
        <w:tc>
          <w:tcPr>
            <w:tcW w:w="0" w:type="auto"/>
            <w:tcBorders>
              <w:top w:val="nil"/>
              <w:left w:val="nil"/>
              <w:bottom w:val="nil"/>
              <w:right w:val="nil"/>
            </w:tcBorders>
          </w:tcPr>
          <w:p w14:paraId="1B0D2C9B">
            <w:pPr>
              <w:spacing w:line="240" w:lineRule="auto"/>
              <w:ind w:firstLine="420"/>
              <w:rPr>
                <w:sz w:val="21"/>
                <w:szCs w:val="21"/>
              </w:rPr>
            </w:pPr>
            <w:r>
              <w:rPr>
                <w:rFonts w:hint="eastAsia"/>
                <w:sz w:val="21"/>
                <w:szCs w:val="21"/>
              </w:rPr>
              <w:t>1100</w:t>
            </w:r>
          </w:p>
        </w:tc>
        <w:tc>
          <w:tcPr>
            <w:tcW w:w="1758" w:type="dxa"/>
            <w:tcBorders>
              <w:top w:val="nil"/>
              <w:left w:val="nil"/>
              <w:bottom w:val="nil"/>
              <w:right w:val="nil"/>
            </w:tcBorders>
          </w:tcPr>
          <w:p w14:paraId="6374EE6E">
            <w:pPr>
              <w:spacing w:line="240" w:lineRule="auto"/>
              <w:ind w:firstLine="420"/>
              <w:rPr>
                <w:sz w:val="21"/>
                <w:szCs w:val="21"/>
              </w:rPr>
            </w:pPr>
            <w:r>
              <w:rPr>
                <w:rFonts w:hint="eastAsia"/>
                <w:sz w:val="21"/>
                <w:szCs w:val="21"/>
              </w:rPr>
              <w:t>55</w:t>
            </w:r>
          </w:p>
        </w:tc>
      </w:tr>
      <w:tr w14:paraId="44AA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4C3E25E9">
            <w:pPr>
              <w:spacing w:line="240" w:lineRule="auto"/>
              <w:ind w:firstLine="420"/>
              <w:rPr>
                <w:sz w:val="21"/>
                <w:szCs w:val="21"/>
              </w:rPr>
            </w:pPr>
            <w:r>
              <w:rPr>
                <w:rFonts w:hint="eastAsia"/>
                <w:sz w:val="21"/>
                <w:szCs w:val="21"/>
              </w:rPr>
              <w:t>3</w:t>
            </w:r>
          </w:p>
        </w:tc>
        <w:tc>
          <w:tcPr>
            <w:tcW w:w="0" w:type="auto"/>
            <w:tcBorders>
              <w:top w:val="nil"/>
              <w:left w:val="nil"/>
              <w:bottom w:val="nil"/>
              <w:right w:val="nil"/>
            </w:tcBorders>
          </w:tcPr>
          <w:p w14:paraId="0741411A">
            <w:pPr>
              <w:spacing w:line="240" w:lineRule="auto"/>
              <w:ind w:firstLine="420"/>
              <w:rPr>
                <w:sz w:val="21"/>
                <w:szCs w:val="21"/>
              </w:rPr>
            </w:pPr>
            <w:r>
              <w:rPr>
                <w:rFonts w:hint="eastAsia"/>
                <w:sz w:val="21"/>
                <w:szCs w:val="21"/>
              </w:rPr>
              <w:t>1200</w:t>
            </w:r>
          </w:p>
        </w:tc>
        <w:tc>
          <w:tcPr>
            <w:tcW w:w="1758" w:type="dxa"/>
            <w:tcBorders>
              <w:top w:val="nil"/>
              <w:left w:val="nil"/>
              <w:bottom w:val="nil"/>
              <w:right w:val="nil"/>
            </w:tcBorders>
          </w:tcPr>
          <w:p w14:paraId="6D6B33AC">
            <w:pPr>
              <w:spacing w:line="240" w:lineRule="auto"/>
              <w:ind w:firstLine="420"/>
              <w:rPr>
                <w:sz w:val="21"/>
                <w:szCs w:val="21"/>
              </w:rPr>
            </w:pPr>
            <w:r>
              <w:rPr>
                <w:rFonts w:hint="eastAsia"/>
                <w:sz w:val="21"/>
                <w:szCs w:val="21"/>
              </w:rPr>
              <w:t>55</w:t>
            </w:r>
          </w:p>
        </w:tc>
      </w:tr>
      <w:tr w14:paraId="7BA25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50A4B673">
            <w:pPr>
              <w:spacing w:line="240" w:lineRule="auto"/>
              <w:ind w:firstLine="420"/>
              <w:rPr>
                <w:sz w:val="21"/>
                <w:szCs w:val="21"/>
              </w:rPr>
            </w:pPr>
            <w:r>
              <w:rPr>
                <w:rFonts w:hint="eastAsia"/>
                <w:sz w:val="21"/>
                <w:szCs w:val="21"/>
              </w:rPr>
              <w:t>4</w:t>
            </w:r>
          </w:p>
        </w:tc>
        <w:tc>
          <w:tcPr>
            <w:tcW w:w="0" w:type="auto"/>
            <w:tcBorders>
              <w:top w:val="nil"/>
              <w:left w:val="nil"/>
              <w:bottom w:val="nil"/>
              <w:right w:val="nil"/>
            </w:tcBorders>
          </w:tcPr>
          <w:p w14:paraId="59F84320">
            <w:pPr>
              <w:spacing w:line="240" w:lineRule="auto"/>
              <w:ind w:firstLine="420"/>
              <w:rPr>
                <w:sz w:val="21"/>
                <w:szCs w:val="21"/>
              </w:rPr>
            </w:pPr>
            <w:r>
              <w:rPr>
                <w:rFonts w:hint="eastAsia"/>
                <w:sz w:val="21"/>
                <w:szCs w:val="21"/>
              </w:rPr>
              <w:t>1300</w:t>
            </w:r>
          </w:p>
        </w:tc>
        <w:tc>
          <w:tcPr>
            <w:tcW w:w="1758" w:type="dxa"/>
            <w:tcBorders>
              <w:top w:val="nil"/>
              <w:left w:val="nil"/>
              <w:bottom w:val="nil"/>
              <w:right w:val="nil"/>
            </w:tcBorders>
          </w:tcPr>
          <w:p w14:paraId="24340B4D">
            <w:pPr>
              <w:spacing w:line="240" w:lineRule="auto"/>
              <w:ind w:firstLine="420"/>
              <w:rPr>
                <w:sz w:val="21"/>
                <w:szCs w:val="21"/>
              </w:rPr>
            </w:pPr>
            <w:r>
              <w:rPr>
                <w:rFonts w:hint="eastAsia"/>
                <w:sz w:val="21"/>
                <w:szCs w:val="21"/>
              </w:rPr>
              <w:t>55</w:t>
            </w:r>
          </w:p>
        </w:tc>
      </w:tr>
      <w:tr w14:paraId="4C243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1E4887A9">
            <w:pPr>
              <w:spacing w:line="240" w:lineRule="auto"/>
              <w:ind w:firstLine="420"/>
              <w:rPr>
                <w:sz w:val="21"/>
                <w:szCs w:val="21"/>
              </w:rPr>
            </w:pPr>
            <w:r>
              <w:rPr>
                <w:rFonts w:hint="eastAsia"/>
                <w:sz w:val="21"/>
                <w:szCs w:val="21"/>
              </w:rPr>
              <w:t>5</w:t>
            </w:r>
          </w:p>
        </w:tc>
        <w:tc>
          <w:tcPr>
            <w:tcW w:w="0" w:type="auto"/>
            <w:tcBorders>
              <w:top w:val="nil"/>
              <w:left w:val="nil"/>
              <w:bottom w:val="nil"/>
              <w:right w:val="nil"/>
            </w:tcBorders>
          </w:tcPr>
          <w:p w14:paraId="5F892A25">
            <w:pPr>
              <w:spacing w:line="240" w:lineRule="auto"/>
              <w:ind w:firstLine="420"/>
              <w:rPr>
                <w:sz w:val="21"/>
                <w:szCs w:val="21"/>
              </w:rPr>
            </w:pPr>
            <w:r>
              <w:rPr>
                <w:rFonts w:hint="eastAsia"/>
                <w:sz w:val="21"/>
                <w:szCs w:val="21"/>
              </w:rPr>
              <w:t>1400</w:t>
            </w:r>
          </w:p>
        </w:tc>
        <w:tc>
          <w:tcPr>
            <w:tcW w:w="1758" w:type="dxa"/>
            <w:tcBorders>
              <w:top w:val="nil"/>
              <w:left w:val="nil"/>
              <w:bottom w:val="nil"/>
              <w:right w:val="nil"/>
            </w:tcBorders>
          </w:tcPr>
          <w:p w14:paraId="2C22BFC9">
            <w:pPr>
              <w:spacing w:line="240" w:lineRule="auto"/>
              <w:ind w:firstLine="420"/>
              <w:rPr>
                <w:sz w:val="21"/>
                <w:szCs w:val="21"/>
              </w:rPr>
            </w:pPr>
            <w:r>
              <w:rPr>
                <w:rFonts w:hint="eastAsia"/>
                <w:sz w:val="21"/>
                <w:szCs w:val="21"/>
              </w:rPr>
              <w:t>55</w:t>
            </w:r>
          </w:p>
        </w:tc>
      </w:tr>
      <w:tr w14:paraId="21D92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25334EA7">
            <w:pPr>
              <w:spacing w:line="240" w:lineRule="auto"/>
              <w:ind w:firstLine="420"/>
              <w:rPr>
                <w:sz w:val="21"/>
                <w:szCs w:val="21"/>
              </w:rPr>
            </w:pPr>
            <w:r>
              <w:rPr>
                <w:rFonts w:hint="eastAsia"/>
                <w:sz w:val="21"/>
                <w:szCs w:val="21"/>
              </w:rPr>
              <w:t>6</w:t>
            </w:r>
          </w:p>
        </w:tc>
        <w:tc>
          <w:tcPr>
            <w:tcW w:w="0" w:type="auto"/>
            <w:tcBorders>
              <w:top w:val="nil"/>
              <w:left w:val="nil"/>
              <w:bottom w:val="nil"/>
              <w:right w:val="nil"/>
            </w:tcBorders>
          </w:tcPr>
          <w:p w14:paraId="3C5D3250">
            <w:pPr>
              <w:spacing w:line="240" w:lineRule="auto"/>
              <w:ind w:firstLine="420"/>
              <w:rPr>
                <w:sz w:val="21"/>
                <w:szCs w:val="21"/>
              </w:rPr>
            </w:pPr>
            <w:r>
              <w:rPr>
                <w:rFonts w:hint="eastAsia"/>
                <w:sz w:val="21"/>
                <w:szCs w:val="21"/>
              </w:rPr>
              <w:t>900</w:t>
            </w:r>
          </w:p>
        </w:tc>
        <w:tc>
          <w:tcPr>
            <w:tcW w:w="1758" w:type="dxa"/>
            <w:tcBorders>
              <w:top w:val="nil"/>
              <w:left w:val="nil"/>
              <w:bottom w:val="nil"/>
              <w:right w:val="nil"/>
            </w:tcBorders>
          </w:tcPr>
          <w:p w14:paraId="5E5FF224">
            <w:pPr>
              <w:spacing w:line="240" w:lineRule="auto"/>
              <w:ind w:firstLine="420"/>
              <w:rPr>
                <w:sz w:val="21"/>
                <w:szCs w:val="21"/>
              </w:rPr>
            </w:pPr>
            <w:r>
              <w:rPr>
                <w:rFonts w:hint="eastAsia"/>
                <w:sz w:val="21"/>
                <w:szCs w:val="21"/>
              </w:rPr>
              <w:t>25</w:t>
            </w:r>
          </w:p>
        </w:tc>
      </w:tr>
      <w:tr w14:paraId="4A36F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230950C9">
            <w:pPr>
              <w:spacing w:line="240" w:lineRule="auto"/>
              <w:ind w:firstLine="420"/>
              <w:rPr>
                <w:sz w:val="21"/>
                <w:szCs w:val="21"/>
              </w:rPr>
            </w:pPr>
            <w:r>
              <w:rPr>
                <w:rFonts w:hint="eastAsia"/>
                <w:sz w:val="21"/>
                <w:szCs w:val="21"/>
              </w:rPr>
              <w:t>7</w:t>
            </w:r>
          </w:p>
        </w:tc>
        <w:tc>
          <w:tcPr>
            <w:tcW w:w="0" w:type="auto"/>
            <w:tcBorders>
              <w:top w:val="nil"/>
              <w:left w:val="nil"/>
              <w:bottom w:val="nil"/>
              <w:right w:val="nil"/>
            </w:tcBorders>
          </w:tcPr>
          <w:p w14:paraId="376D002B">
            <w:pPr>
              <w:spacing w:line="240" w:lineRule="auto"/>
              <w:ind w:firstLine="420"/>
              <w:rPr>
                <w:sz w:val="21"/>
                <w:szCs w:val="21"/>
              </w:rPr>
            </w:pPr>
            <w:r>
              <w:rPr>
                <w:rFonts w:hint="eastAsia"/>
                <w:sz w:val="21"/>
                <w:szCs w:val="21"/>
              </w:rPr>
              <w:t>900</w:t>
            </w:r>
          </w:p>
        </w:tc>
        <w:tc>
          <w:tcPr>
            <w:tcW w:w="1758" w:type="dxa"/>
            <w:tcBorders>
              <w:top w:val="nil"/>
              <w:left w:val="nil"/>
              <w:bottom w:val="nil"/>
              <w:right w:val="nil"/>
            </w:tcBorders>
          </w:tcPr>
          <w:p w14:paraId="6BAC4098">
            <w:pPr>
              <w:spacing w:line="240" w:lineRule="auto"/>
              <w:ind w:firstLine="420"/>
              <w:rPr>
                <w:sz w:val="21"/>
                <w:szCs w:val="21"/>
              </w:rPr>
            </w:pPr>
            <w:r>
              <w:rPr>
                <w:rFonts w:hint="eastAsia"/>
                <w:sz w:val="21"/>
                <w:szCs w:val="21"/>
              </w:rPr>
              <w:t>35</w:t>
            </w:r>
          </w:p>
        </w:tc>
      </w:tr>
      <w:tr w14:paraId="54DC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38F9F074">
            <w:pPr>
              <w:spacing w:line="240" w:lineRule="auto"/>
              <w:ind w:firstLine="420"/>
              <w:rPr>
                <w:sz w:val="21"/>
                <w:szCs w:val="21"/>
              </w:rPr>
            </w:pPr>
            <w:r>
              <w:rPr>
                <w:rFonts w:hint="eastAsia"/>
                <w:sz w:val="21"/>
                <w:szCs w:val="21"/>
              </w:rPr>
              <w:t>8</w:t>
            </w:r>
          </w:p>
        </w:tc>
        <w:tc>
          <w:tcPr>
            <w:tcW w:w="0" w:type="auto"/>
            <w:tcBorders>
              <w:top w:val="nil"/>
              <w:left w:val="nil"/>
              <w:bottom w:val="nil"/>
              <w:right w:val="nil"/>
            </w:tcBorders>
          </w:tcPr>
          <w:p w14:paraId="678A575F">
            <w:pPr>
              <w:spacing w:line="240" w:lineRule="auto"/>
              <w:ind w:firstLine="420"/>
              <w:rPr>
                <w:sz w:val="21"/>
                <w:szCs w:val="21"/>
              </w:rPr>
            </w:pPr>
            <w:r>
              <w:rPr>
                <w:rFonts w:hint="eastAsia"/>
                <w:sz w:val="21"/>
                <w:szCs w:val="21"/>
              </w:rPr>
              <w:t>900</w:t>
            </w:r>
          </w:p>
        </w:tc>
        <w:tc>
          <w:tcPr>
            <w:tcW w:w="1758" w:type="dxa"/>
            <w:tcBorders>
              <w:top w:val="nil"/>
              <w:left w:val="nil"/>
              <w:bottom w:val="nil"/>
              <w:right w:val="nil"/>
            </w:tcBorders>
          </w:tcPr>
          <w:p w14:paraId="4146D16C">
            <w:pPr>
              <w:spacing w:line="240" w:lineRule="auto"/>
              <w:ind w:firstLine="420"/>
              <w:rPr>
                <w:sz w:val="21"/>
                <w:szCs w:val="21"/>
              </w:rPr>
            </w:pPr>
            <w:r>
              <w:rPr>
                <w:rFonts w:hint="eastAsia"/>
                <w:sz w:val="21"/>
                <w:szCs w:val="21"/>
              </w:rPr>
              <w:t>45</w:t>
            </w:r>
          </w:p>
        </w:tc>
      </w:tr>
      <w:tr w14:paraId="26301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392447BE">
            <w:pPr>
              <w:spacing w:line="240" w:lineRule="auto"/>
              <w:ind w:firstLine="420"/>
              <w:rPr>
                <w:sz w:val="21"/>
                <w:szCs w:val="21"/>
              </w:rPr>
            </w:pPr>
            <w:r>
              <w:rPr>
                <w:rFonts w:hint="eastAsia"/>
                <w:sz w:val="21"/>
                <w:szCs w:val="21"/>
              </w:rPr>
              <w:t>9</w:t>
            </w:r>
          </w:p>
        </w:tc>
        <w:tc>
          <w:tcPr>
            <w:tcW w:w="0" w:type="auto"/>
            <w:tcBorders>
              <w:top w:val="nil"/>
              <w:left w:val="nil"/>
              <w:bottom w:val="nil"/>
              <w:right w:val="nil"/>
            </w:tcBorders>
          </w:tcPr>
          <w:p w14:paraId="3FE11924">
            <w:pPr>
              <w:spacing w:line="240" w:lineRule="auto"/>
              <w:ind w:firstLine="420"/>
              <w:rPr>
                <w:sz w:val="21"/>
                <w:szCs w:val="21"/>
              </w:rPr>
            </w:pPr>
            <w:r>
              <w:rPr>
                <w:rFonts w:hint="eastAsia"/>
                <w:sz w:val="21"/>
                <w:szCs w:val="21"/>
              </w:rPr>
              <w:t>900</w:t>
            </w:r>
          </w:p>
        </w:tc>
        <w:tc>
          <w:tcPr>
            <w:tcW w:w="1758" w:type="dxa"/>
            <w:tcBorders>
              <w:top w:val="nil"/>
              <w:left w:val="nil"/>
              <w:bottom w:val="nil"/>
              <w:right w:val="nil"/>
            </w:tcBorders>
          </w:tcPr>
          <w:p w14:paraId="398E611B">
            <w:pPr>
              <w:spacing w:line="240" w:lineRule="auto"/>
              <w:ind w:firstLine="420"/>
              <w:rPr>
                <w:sz w:val="21"/>
                <w:szCs w:val="21"/>
              </w:rPr>
            </w:pPr>
            <w:r>
              <w:rPr>
                <w:rFonts w:hint="eastAsia"/>
                <w:sz w:val="21"/>
                <w:szCs w:val="21"/>
              </w:rPr>
              <w:t>55</w:t>
            </w:r>
          </w:p>
        </w:tc>
      </w:tr>
      <w:tr w14:paraId="26C83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auto" w:sz="12" w:space="0"/>
              <w:right w:val="nil"/>
            </w:tcBorders>
          </w:tcPr>
          <w:p w14:paraId="1E46BC25">
            <w:pPr>
              <w:spacing w:line="240" w:lineRule="auto"/>
              <w:ind w:firstLine="420"/>
              <w:rPr>
                <w:sz w:val="21"/>
                <w:szCs w:val="21"/>
              </w:rPr>
            </w:pPr>
            <w:r>
              <w:rPr>
                <w:rFonts w:hint="eastAsia"/>
                <w:sz w:val="21"/>
                <w:szCs w:val="21"/>
              </w:rPr>
              <w:t>10</w:t>
            </w:r>
          </w:p>
        </w:tc>
        <w:tc>
          <w:tcPr>
            <w:tcW w:w="0" w:type="auto"/>
            <w:tcBorders>
              <w:top w:val="nil"/>
              <w:left w:val="nil"/>
              <w:bottom w:val="single" w:color="auto" w:sz="12" w:space="0"/>
              <w:right w:val="nil"/>
            </w:tcBorders>
          </w:tcPr>
          <w:p w14:paraId="1AAC9AE1">
            <w:pPr>
              <w:spacing w:line="240" w:lineRule="auto"/>
              <w:ind w:firstLine="420"/>
              <w:rPr>
                <w:sz w:val="21"/>
                <w:szCs w:val="21"/>
              </w:rPr>
            </w:pPr>
            <w:r>
              <w:rPr>
                <w:rFonts w:hint="eastAsia"/>
                <w:sz w:val="21"/>
                <w:szCs w:val="21"/>
              </w:rPr>
              <w:t>900</w:t>
            </w:r>
          </w:p>
        </w:tc>
        <w:tc>
          <w:tcPr>
            <w:tcW w:w="1758" w:type="dxa"/>
            <w:tcBorders>
              <w:top w:val="nil"/>
              <w:left w:val="nil"/>
              <w:bottom w:val="single" w:color="auto" w:sz="12" w:space="0"/>
              <w:right w:val="nil"/>
            </w:tcBorders>
          </w:tcPr>
          <w:p w14:paraId="6ABE6F7F">
            <w:pPr>
              <w:spacing w:line="240" w:lineRule="auto"/>
              <w:ind w:firstLine="420"/>
              <w:rPr>
                <w:sz w:val="21"/>
                <w:szCs w:val="21"/>
              </w:rPr>
            </w:pPr>
            <w:r>
              <w:rPr>
                <w:rFonts w:hint="eastAsia"/>
                <w:sz w:val="21"/>
                <w:szCs w:val="21"/>
              </w:rPr>
              <w:t>65</w:t>
            </w:r>
          </w:p>
        </w:tc>
      </w:tr>
    </w:tbl>
    <w:p w14:paraId="6A434561">
      <w:pPr>
        <w:numPr>
          <w:ilvl w:val="0"/>
          <w:numId w:val="1"/>
        </w:numPr>
        <w:wordWrap w:val="0"/>
        <w:topLinePunct/>
        <w:spacing w:line="276" w:lineRule="auto"/>
        <w:ind w:firstLineChars="0"/>
        <w:rPr>
          <w:b/>
          <w:bCs/>
          <w:szCs w:val="24"/>
        </w:rPr>
      </w:pPr>
      <w:r>
        <w:rPr>
          <w:rFonts w:hint="eastAsia"/>
          <w:b/>
          <w:bCs/>
          <w:szCs w:val="24"/>
        </w:rPr>
        <w:t>Establishment of Finite Element Model for Laser Deep Penetration Welding of Copper-Aluminum Dissimilar Metals</w:t>
      </w:r>
    </w:p>
    <w:p w14:paraId="31C97727">
      <w:pPr>
        <w:numPr>
          <w:ilvl w:val="1"/>
          <w:numId w:val="1"/>
        </w:numPr>
        <w:spacing w:line="276" w:lineRule="auto"/>
        <w:ind w:left="0" w:firstLineChars="0"/>
        <w:rPr>
          <w:b/>
          <w:bCs/>
          <w:szCs w:val="24"/>
        </w:rPr>
      </w:pPr>
      <w:r>
        <w:rPr>
          <w:rFonts w:hint="eastAsia"/>
          <w:b/>
          <w:bCs/>
          <w:sz w:val="21"/>
          <w:szCs w:val="21"/>
        </w:rPr>
        <w:t>Mesh Generation</w:t>
      </w:r>
    </w:p>
    <w:p w14:paraId="4FE66A18">
      <w:pPr>
        <w:spacing w:line="240" w:lineRule="auto"/>
        <w:ind w:firstLine="420" w:firstLineChars="0"/>
        <w:rPr>
          <w:sz w:val="21"/>
          <w:szCs w:val="21"/>
        </w:rPr>
      </w:pPr>
      <w:r>
        <w:rPr>
          <w:sz w:val="21"/>
          <w:szCs w:val="21"/>
        </w:rPr>
        <w:t>The mesh division directly affects the accuracy and results of the simulation. Near the metal flow region, equidistant dense meshing is adopted to ensure calculation accuracy, while in areas far from this region, sparse meshing with gradually increasing spacing is used to improve calculation efficiency. As a non-primary calculation region, the air part is divided with equidistant sparse meshing, which only needs to meet the heat dissipation requirements of welding. Since regular hexahedral meshes can achieve more accurate simulation, Gambit is used to complete the mesh division. The model is shown in Figure 2, containing a total of 114,400 meshes.</w:t>
      </w:r>
    </w:p>
    <w:p w14:paraId="5580F84E">
      <w:pPr>
        <w:spacing w:line="240" w:lineRule="auto"/>
        <w:ind w:firstLine="0" w:firstLineChars="0"/>
        <w:jc w:val="center"/>
      </w:pPr>
      <w:r>
        <w:drawing>
          <wp:inline distT="0" distB="0" distL="114300" distR="114300">
            <wp:extent cx="2538095" cy="1471295"/>
            <wp:effectExtent l="0" t="0" r="0" b="0"/>
            <wp:docPr id="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6"/>
                    <pic:cNvPicPr>
                      <a:picLocks noChangeAspect="1"/>
                    </pic:cNvPicPr>
                  </pic:nvPicPr>
                  <pic:blipFill>
                    <a:blip r:embed="rId13"/>
                    <a:stretch>
                      <a:fillRect/>
                    </a:stretch>
                  </pic:blipFill>
                  <pic:spPr>
                    <a:xfrm>
                      <a:off x="0" y="0"/>
                      <a:ext cx="2540475" cy="1472953"/>
                    </a:xfrm>
                    <a:prstGeom prst="rect">
                      <a:avLst/>
                    </a:prstGeom>
                    <a:noFill/>
                    <a:ln>
                      <a:noFill/>
                    </a:ln>
                  </pic:spPr>
                </pic:pic>
              </a:graphicData>
            </a:graphic>
          </wp:inline>
        </w:drawing>
      </w:r>
    </w:p>
    <w:p w14:paraId="4FC29D27">
      <w:pPr>
        <w:spacing w:line="240" w:lineRule="auto"/>
        <w:ind w:firstLine="0" w:firstLineChars="0"/>
        <w:jc w:val="center"/>
        <w:rPr>
          <w:sz w:val="18"/>
          <w:szCs w:val="18"/>
        </w:rPr>
      </w:pPr>
      <w:r>
        <w:rPr>
          <w:b/>
          <w:bCs/>
          <w:sz w:val="18"/>
          <w:szCs w:val="18"/>
        </w:rPr>
        <w:t>Fig.2</w:t>
      </w:r>
      <w:r>
        <w:rPr>
          <w:sz w:val="18"/>
          <w:szCs w:val="18"/>
        </w:rPr>
        <w:t xml:space="preserve"> The mesh model</w:t>
      </w:r>
      <w:r>
        <w:rPr>
          <w:rFonts w:hint="eastAsia"/>
          <w:sz w:val="18"/>
          <w:szCs w:val="18"/>
        </w:rPr>
        <w:t>.</w:t>
      </w:r>
    </w:p>
    <w:p w14:paraId="7813D2AE">
      <w:pPr>
        <w:numPr>
          <w:ilvl w:val="1"/>
          <w:numId w:val="1"/>
        </w:numPr>
        <w:spacing w:line="276" w:lineRule="auto"/>
        <w:ind w:left="0" w:firstLineChars="0"/>
        <w:rPr>
          <w:b/>
          <w:bCs/>
          <w:sz w:val="21"/>
          <w:szCs w:val="21"/>
        </w:rPr>
      </w:pPr>
      <w:r>
        <w:rPr>
          <w:rFonts w:hint="eastAsia"/>
          <w:b/>
          <w:bCs/>
          <w:sz w:val="21"/>
          <w:szCs w:val="21"/>
        </w:rPr>
        <w:t>Material Performance Parameters</w:t>
      </w:r>
    </w:p>
    <w:p w14:paraId="2B866488">
      <w:pPr>
        <w:ind w:firstLine="420"/>
        <w:rPr>
          <w:rFonts w:hint="eastAsia" w:ascii="宋体" w:hAnsi="宋体"/>
          <w:sz w:val="21"/>
          <w:szCs w:val="21"/>
        </w:rPr>
      </w:pPr>
      <w:bookmarkStart w:id="3" w:name="OLE_LINK14"/>
      <w:r>
        <w:rPr>
          <w:sz w:val="21"/>
          <w:szCs w:val="21"/>
        </w:rPr>
        <w:t>The physical properties of copper and aluminum vary with temperature. To achieve accurate simulation, the corresponding parameters need to be dynamically adjusted. The relevant material performance parameters for laser deep penetration welding of thin-plate copper-aluminum dissimilar metals are shown in Table 2</w:t>
      </w:r>
      <w:r>
        <w:rPr>
          <w:sz w:val="20"/>
          <w:szCs w:val="20"/>
          <w:vertAlign w:val="superscript"/>
        </w:rPr>
        <w:fldChar w:fldCharType="begin"/>
      </w:r>
      <w:r>
        <w:rPr>
          <w:sz w:val="20"/>
          <w:szCs w:val="20"/>
          <w:vertAlign w:val="superscript"/>
        </w:rPr>
        <w:instrText xml:space="preserve"> REF _Ref16887 \r \h  \* MERGEFORMAT </w:instrText>
      </w:r>
      <w:r>
        <w:rPr>
          <w:sz w:val="20"/>
          <w:szCs w:val="20"/>
          <w:vertAlign w:val="superscript"/>
        </w:rPr>
        <w:fldChar w:fldCharType="separate"/>
      </w:r>
      <w:r>
        <w:rPr>
          <w:sz w:val="20"/>
          <w:szCs w:val="20"/>
          <w:vertAlign w:val="superscript"/>
        </w:rPr>
        <w:t>[25]</w:t>
      </w:r>
      <w:r>
        <w:rPr>
          <w:sz w:val="20"/>
          <w:szCs w:val="20"/>
          <w:vertAlign w:val="superscript"/>
        </w:rPr>
        <w:fldChar w:fldCharType="end"/>
      </w:r>
      <w:r>
        <w:rPr>
          <w:sz w:val="21"/>
          <w:szCs w:val="21"/>
        </w:rPr>
        <w:t>.</w:t>
      </w:r>
    </w:p>
    <w:p w14:paraId="61C4ACA4">
      <w:pPr>
        <w:wordWrap w:val="0"/>
        <w:spacing w:line="240" w:lineRule="auto"/>
        <w:ind w:firstLine="0" w:firstLineChars="0"/>
        <w:jc w:val="center"/>
        <w:rPr>
          <w:b/>
          <w:bCs/>
          <w:sz w:val="18"/>
          <w:szCs w:val="18"/>
        </w:rPr>
        <w:sectPr>
          <w:type w:val="continuous"/>
          <w:pgSz w:w="11906" w:h="16838"/>
          <w:pgMar w:top="1440" w:right="1800" w:bottom="1440" w:left="1800" w:header="851" w:footer="992" w:gutter="0"/>
          <w:cols w:space="425" w:num="1"/>
          <w:docGrid w:type="lines" w:linePitch="312" w:charSpace="0"/>
        </w:sectPr>
      </w:pPr>
    </w:p>
    <w:p w14:paraId="5DCB910B">
      <w:pPr>
        <w:wordWrap w:val="0"/>
        <w:spacing w:line="240" w:lineRule="auto"/>
        <w:ind w:firstLine="0" w:firstLineChars="0"/>
        <w:jc w:val="center"/>
        <w:rPr>
          <w:rFonts w:hint="eastAsia" w:ascii="宋体" w:hAnsi="宋体"/>
          <w:sz w:val="21"/>
          <w:szCs w:val="21"/>
        </w:rPr>
      </w:pPr>
      <w:r>
        <w:rPr>
          <w:b/>
          <w:bCs/>
          <w:sz w:val="18"/>
          <w:szCs w:val="18"/>
        </w:rPr>
        <w:t>Tab.</w:t>
      </w:r>
      <w:r>
        <w:rPr>
          <w:rFonts w:hint="eastAsia"/>
          <w:b/>
          <w:bCs/>
          <w:sz w:val="18"/>
          <w:szCs w:val="18"/>
        </w:rPr>
        <w:t>2</w:t>
      </w:r>
      <w:r>
        <w:rPr>
          <w:b/>
          <w:bCs/>
          <w:sz w:val="18"/>
          <w:szCs w:val="18"/>
        </w:rPr>
        <w:t xml:space="preserve"> </w:t>
      </w:r>
      <w:r>
        <w:rPr>
          <w:rFonts w:hint="eastAsia"/>
          <w:sz w:val="18"/>
          <w:szCs w:val="18"/>
        </w:rPr>
        <w:t>Performance parameters of copper and aluminum materials</w:t>
      </w:r>
    </w:p>
    <w:p w14:paraId="5F0977E4">
      <w:pPr>
        <w:spacing w:line="240" w:lineRule="auto"/>
        <w:ind w:left="-122" w:leftChars="-51" w:firstLine="96" w:firstLineChars="60"/>
        <w:jc w:val="center"/>
        <w:rPr>
          <w:kern w:val="0"/>
          <w:sz w:val="16"/>
          <w:szCs w:val="18"/>
        </w:rPr>
        <w:sectPr>
          <w:footnotePr>
            <w:pos w:val="beneathText"/>
          </w:footnotePr>
          <w:type w:val="continuous"/>
          <w:pgSz w:w="11906" w:h="16838"/>
          <w:pgMar w:top="1440" w:right="1800" w:bottom="1440" w:left="1800" w:header="851" w:footer="992" w:gutter="0"/>
          <w:cols w:space="425" w:num="1"/>
          <w:docGrid w:type="lines" w:linePitch="312" w:charSpace="0"/>
        </w:sectPr>
      </w:pPr>
    </w:p>
    <w:tbl>
      <w:tblPr>
        <w:tblStyle w:val="1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2"/>
        <w:gridCol w:w="2629"/>
        <w:gridCol w:w="2629"/>
      </w:tblGrid>
      <w:tr w14:paraId="289ACA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12" w:space="0"/>
              <w:bottom w:val="single" w:color="auto" w:sz="4" w:space="0"/>
              <w:tl2br w:val="nil"/>
              <w:tr2bl w:val="nil"/>
            </w:tcBorders>
            <w:vAlign w:val="center"/>
          </w:tcPr>
          <w:p w14:paraId="65883274">
            <w:pPr>
              <w:spacing w:line="240" w:lineRule="auto"/>
              <w:ind w:left="-122" w:leftChars="-51" w:firstLine="96" w:firstLineChars="60"/>
              <w:jc w:val="center"/>
              <w:rPr>
                <w:sz w:val="16"/>
                <w:szCs w:val="18"/>
              </w:rPr>
            </w:pPr>
            <w:r>
              <w:rPr>
                <w:kern w:val="0"/>
                <w:sz w:val="16"/>
                <w:szCs w:val="18"/>
              </w:rPr>
              <w:t>Property</w:t>
            </w:r>
          </w:p>
        </w:tc>
        <w:tc>
          <w:tcPr>
            <w:tcW w:w="0" w:type="auto"/>
            <w:tcBorders>
              <w:top w:val="single" w:color="auto" w:sz="12" w:space="0"/>
              <w:bottom w:val="single" w:color="auto" w:sz="4" w:space="0"/>
              <w:tl2br w:val="nil"/>
              <w:tr2bl w:val="nil"/>
            </w:tcBorders>
            <w:vAlign w:val="center"/>
          </w:tcPr>
          <w:p w14:paraId="350475B7">
            <w:pPr>
              <w:spacing w:line="240" w:lineRule="auto"/>
              <w:ind w:left="-122" w:leftChars="-51" w:firstLine="96" w:firstLineChars="60"/>
              <w:jc w:val="center"/>
              <w:rPr>
                <w:sz w:val="16"/>
                <w:szCs w:val="18"/>
              </w:rPr>
            </w:pPr>
            <w:r>
              <w:rPr>
                <w:kern w:val="0"/>
                <w:sz w:val="16"/>
                <w:szCs w:val="18"/>
              </w:rPr>
              <w:t>Al</w:t>
            </w:r>
          </w:p>
        </w:tc>
        <w:tc>
          <w:tcPr>
            <w:tcW w:w="0" w:type="auto"/>
            <w:tcBorders>
              <w:top w:val="single" w:color="auto" w:sz="12" w:space="0"/>
              <w:bottom w:val="single" w:color="auto" w:sz="4" w:space="0"/>
              <w:tl2br w:val="nil"/>
              <w:tr2bl w:val="nil"/>
            </w:tcBorders>
            <w:vAlign w:val="center"/>
          </w:tcPr>
          <w:p w14:paraId="0724C4B3">
            <w:pPr>
              <w:spacing w:line="240" w:lineRule="auto"/>
              <w:ind w:left="-122" w:leftChars="-51" w:firstLine="96" w:firstLineChars="60"/>
              <w:jc w:val="center"/>
              <w:rPr>
                <w:kern w:val="0"/>
                <w:sz w:val="16"/>
                <w:szCs w:val="18"/>
              </w:rPr>
            </w:pPr>
            <w:r>
              <w:rPr>
                <w:kern w:val="0"/>
                <w:sz w:val="16"/>
                <w:szCs w:val="18"/>
              </w:rPr>
              <w:t>Cu</w:t>
            </w:r>
          </w:p>
        </w:tc>
      </w:tr>
      <w:tr w14:paraId="5927E4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4" w:space="0"/>
              <w:bottom w:val="nil"/>
            </w:tcBorders>
            <w:vAlign w:val="center"/>
          </w:tcPr>
          <w:p w14:paraId="556A1C15">
            <w:pPr>
              <w:spacing w:line="240" w:lineRule="auto"/>
              <w:ind w:left="-122" w:leftChars="-51" w:firstLine="96" w:firstLineChars="60"/>
              <w:jc w:val="center"/>
              <w:rPr>
                <w:sz w:val="16"/>
                <w:szCs w:val="18"/>
              </w:rPr>
            </w:pPr>
            <w:r>
              <w:rPr>
                <w:kern w:val="0"/>
                <w:sz w:val="16"/>
                <w:szCs w:val="18"/>
              </w:rPr>
              <w:t>Density ρ(kg·m</w:t>
            </w:r>
            <w:r>
              <w:rPr>
                <w:kern w:val="0"/>
                <w:sz w:val="16"/>
                <w:szCs w:val="18"/>
                <w:vertAlign w:val="superscript"/>
              </w:rPr>
              <w:t>-3</w:t>
            </w:r>
            <w:r>
              <w:rPr>
                <w:kern w:val="0"/>
                <w:sz w:val="16"/>
                <w:szCs w:val="18"/>
              </w:rPr>
              <w:t>)</w:t>
            </w:r>
          </w:p>
        </w:tc>
        <w:tc>
          <w:tcPr>
            <w:tcW w:w="0" w:type="auto"/>
            <w:tcBorders>
              <w:top w:val="single" w:color="auto" w:sz="4" w:space="0"/>
              <w:bottom w:val="nil"/>
            </w:tcBorders>
            <w:vAlign w:val="center"/>
          </w:tcPr>
          <w:p w14:paraId="62C4391A">
            <w:pPr>
              <w:spacing w:line="240" w:lineRule="auto"/>
              <w:ind w:left="-122" w:leftChars="-51" w:firstLine="96" w:firstLineChars="60"/>
              <w:jc w:val="center"/>
              <w:rPr>
                <w:color w:val="000000"/>
                <w:kern w:val="0"/>
                <w:sz w:val="16"/>
                <w:szCs w:val="18"/>
              </w:rPr>
            </w:pPr>
            <w:r>
              <w:rPr>
                <w:color w:val="000000"/>
                <w:kern w:val="0"/>
                <w:sz w:val="16"/>
                <w:szCs w:val="18"/>
              </w:rPr>
              <w:t>ρ=−0.5387T+2880.6（solid）</w:t>
            </w:r>
          </w:p>
          <w:p w14:paraId="1CCF94BB">
            <w:pPr>
              <w:spacing w:line="240" w:lineRule="auto"/>
              <w:ind w:left="-122" w:leftChars="-51" w:firstLine="96" w:firstLineChars="60"/>
              <w:jc w:val="center"/>
              <w:rPr>
                <w:sz w:val="16"/>
                <w:szCs w:val="18"/>
              </w:rPr>
            </w:pPr>
            <w:r>
              <w:rPr>
                <w:color w:val="000000"/>
                <w:kern w:val="0"/>
                <w:sz w:val="16"/>
                <w:szCs w:val="18"/>
              </w:rPr>
              <w:t>ρ=−0.3125T+2669.1（liquid）</w:t>
            </w:r>
          </w:p>
        </w:tc>
        <w:tc>
          <w:tcPr>
            <w:tcW w:w="0" w:type="auto"/>
            <w:tcBorders>
              <w:top w:val="single" w:color="auto" w:sz="4" w:space="0"/>
              <w:bottom w:val="nil"/>
            </w:tcBorders>
            <w:vAlign w:val="center"/>
          </w:tcPr>
          <w:p w14:paraId="62898E31">
            <w:pPr>
              <w:spacing w:line="240" w:lineRule="auto"/>
              <w:ind w:left="-122" w:leftChars="-51" w:firstLine="96" w:firstLineChars="60"/>
              <w:jc w:val="center"/>
              <w:rPr>
                <w:color w:val="000000"/>
                <w:kern w:val="0"/>
                <w:sz w:val="16"/>
                <w:szCs w:val="18"/>
              </w:rPr>
            </w:pPr>
            <w:r>
              <w:rPr>
                <w:color w:val="000000"/>
                <w:kern w:val="0"/>
                <w:sz w:val="16"/>
                <w:szCs w:val="18"/>
              </w:rPr>
              <w:t>ρ=−0.911T+9233.3（solid）</w:t>
            </w:r>
          </w:p>
          <w:p w14:paraId="515230D3">
            <w:pPr>
              <w:spacing w:line="240" w:lineRule="auto"/>
              <w:ind w:left="-122" w:leftChars="-51" w:firstLine="96" w:firstLineChars="60"/>
              <w:jc w:val="center"/>
              <w:rPr>
                <w:color w:val="000000"/>
                <w:kern w:val="0"/>
                <w:sz w:val="16"/>
                <w:szCs w:val="18"/>
              </w:rPr>
            </w:pPr>
            <w:r>
              <w:rPr>
                <w:color w:val="000000"/>
                <w:kern w:val="0"/>
                <w:sz w:val="16"/>
                <w:szCs w:val="18"/>
              </w:rPr>
              <w:t>ρ=−0.8193T+9109.4（liquid）</w:t>
            </w:r>
          </w:p>
        </w:tc>
      </w:tr>
      <w:tr w14:paraId="24B355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nil"/>
              <w:tl2br w:val="nil"/>
              <w:tr2bl w:val="nil"/>
            </w:tcBorders>
            <w:vAlign w:val="center"/>
          </w:tcPr>
          <w:p w14:paraId="6A656313">
            <w:pPr>
              <w:spacing w:line="240" w:lineRule="auto"/>
              <w:ind w:left="-122" w:leftChars="-51" w:firstLine="96" w:firstLineChars="60"/>
              <w:jc w:val="center"/>
              <w:rPr>
                <w:kern w:val="0"/>
                <w:sz w:val="16"/>
                <w:szCs w:val="18"/>
              </w:rPr>
            </w:pPr>
            <w:r>
              <w:rPr>
                <w:kern w:val="0"/>
                <w:sz w:val="16"/>
                <w:szCs w:val="18"/>
              </w:rPr>
              <w:t>Thermal Conductivity</w:t>
            </w:r>
          </w:p>
          <w:p w14:paraId="4E96B641">
            <w:pPr>
              <w:spacing w:line="240" w:lineRule="auto"/>
              <w:ind w:left="-122" w:leftChars="-51" w:firstLine="96" w:firstLineChars="60"/>
              <w:jc w:val="center"/>
              <w:rPr>
                <w:sz w:val="16"/>
                <w:szCs w:val="18"/>
              </w:rPr>
            </w:pPr>
            <w:r>
              <w:rPr>
                <w:kern w:val="0"/>
                <w:sz w:val="16"/>
                <w:szCs w:val="18"/>
              </w:rPr>
              <w:t>W(m·K)</w:t>
            </w:r>
          </w:p>
        </w:tc>
        <w:tc>
          <w:tcPr>
            <w:tcW w:w="0" w:type="auto"/>
            <w:tcBorders>
              <w:top w:val="nil"/>
              <w:tl2br w:val="nil"/>
              <w:tr2bl w:val="nil"/>
            </w:tcBorders>
            <w:vAlign w:val="center"/>
          </w:tcPr>
          <w:p w14:paraId="06DABA1A">
            <w:pPr>
              <w:spacing w:line="240" w:lineRule="auto"/>
              <w:ind w:left="-122" w:leftChars="-51" w:firstLine="96" w:firstLineChars="60"/>
              <w:jc w:val="center"/>
              <w:rPr>
                <w:color w:val="000000"/>
                <w:kern w:val="0"/>
                <w:sz w:val="16"/>
                <w:szCs w:val="18"/>
              </w:rPr>
            </w:pPr>
            <w:r>
              <w:rPr>
                <w:color w:val="000000"/>
                <w:kern w:val="0"/>
                <w:sz w:val="16"/>
                <w:szCs w:val="18"/>
              </w:rPr>
              <w:t>k=-0.0494T+256.0（solid）</w:t>
            </w:r>
          </w:p>
          <w:p w14:paraId="0A1D4E2D">
            <w:pPr>
              <w:spacing w:line="240" w:lineRule="auto"/>
              <w:ind w:left="-122" w:leftChars="-51" w:firstLine="96" w:firstLineChars="60"/>
              <w:jc w:val="center"/>
              <w:rPr>
                <w:color w:val="000000"/>
                <w:kern w:val="0"/>
                <w:sz w:val="16"/>
                <w:szCs w:val="18"/>
              </w:rPr>
            </w:pPr>
            <w:r>
              <w:rPr>
                <w:color w:val="000000"/>
                <w:kern w:val="0"/>
                <w:sz w:val="16"/>
                <w:szCs w:val="18"/>
              </w:rPr>
              <w:t>k=101（liquid）</w:t>
            </w:r>
          </w:p>
        </w:tc>
        <w:tc>
          <w:tcPr>
            <w:tcW w:w="0" w:type="auto"/>
            <w:tcBorders>
              <w:top w:val="nil"/>
              <w:tl2br w:val="nil"/>
              <w:tr2bl w:val="nil"/>
            </w:tcBorders>
            <w:vAlign w:val="center"/>
          </w:tcPr>
          <w:p w14:paraId="214CD371">
            <w:pPr>
              <w:spacing w:line="240" w:lineRule="auto"/>
              <w:ind w:left="-122" w:leftChars="-51" w:firstLine="96" w:firstLineChars="60"/>
              <w:jc w:val="center"/>
              <w:rPr>
                <w:color w:val="000000"/>
                <w:kern w:val="0"/>
                <w:sz w:val="16"/>
                <w:szCs w:val="18"/>
              </w:rPr>
            </w:pPr>
            <w:r>
              <w:rPr>
                <w:color w:val="000000"/>
                <w:kern w:val="0"/>
                <w:sz w:val="16"/>
                <w:szCs w:val="18"/>
              </w:rPr>
              <w:t>k=-0.0603T+415.4（solid）</w:t>
            </w:r>
          </w:p>
          <w:p w14:paraId="1B584748">
            <w:pPr>
              <w:spacing w:line="240" w:lineRule="auto"/>
              <w:ind w:left="-122" w:leftChars="-51" w:firstLine="96" w:firstLineChars="60"/>
              <w:jc w:val="center"/>
              <w:rPr>
                <w:color w:val="000000"/>
                <w:kern w:val="0"/>
                <w:sz w:val="16"/>
                <w:szCs w:val="18"/>
              </w:rPr>
            </w:pPr>
            <w:r>
              <w:rPr>
                <w:color w:val="000000"/>
                <w:kern w:val="0"/>
                <w:sz w:val="16"/>
                <w:szCs w:val="18"/>
              </w:rPr>
              <w:t>k=172（liquid）</w:t>
            </w:r>
          </w:p>
        </w:tc>
      </w:tr>
      <w:tr w14:paraId="1D332D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jc w:val="center"/>
        </w:trPr>
        <w:tc>
          <w:tcPr>
            <w:tcW w:w="0" w:type="auto"/>
            <w:tcBorders>
              <w:tl2br w:val="nil"/>
              <w:tr2bl w:val="nil"/>
            </w:tcBorders>
            <w:vAlign w:val="center"/>
          </w:tcPr>
          <w:p w14:paraId="0EE78A27">
            <w:pPr>
              <w:spacing w:line="240" w:lineRule="auto"/>
              <w:ind w:left="-122" w:leftChars="-51" w:firstLine="96" w:firstLineChars="60"/>
              <w:jc w:val="center"/>
              <w:rPr>
                <w:kern w:val="0"/>
                <w:sz w:val="16"/>
                <w:szCs w:val="18"/>
              </w:rPr>
            </w:pPr>
            <w:r>
              <w:rPr>
                <w:kern w:val="0"/>
                <w:sz w:val="16"/>
                <w:szCs w:val="18"/>
              </w:rPr>
              <w:t>Specific Heat Capacity</w:t>
            </w:r>
          </w:p>
          <w:p w14:paraId="63ABBD27">
            <w:pPr>
              <w:spacing w:line="240" w:lineRule="auto"/>
              <w:ind w:left="-122" w:leftChars="-51" w:firstLine="96" w:firstLineChars="60"/>
              <w:jc w:val="center"/>
              <w:rPr>
                <w:sz w:val="16"/>
                <w:szCs w:val="18"/>
              </w:rPr>
            </w:pPr>
            <w:r>
              <w:rPr>
                <w:kern w:val="0"/>
                <w:sz w:val="16"/>
                <w:szCs w:val="18"/>
              </w:rPr>
              <w:t>J(kg·K)</w:t>
            </w:r>
          </w:p>
        </w:tc>
        <w:tc>
          <w:tcPr>
            <w:tcW w:w="0" w:type="auto"/>
            <w:tcBorders>
              <w:tl2br w:val="nil"/>
              <w:tr2bl w:val="nil"/>
            </w:tcBorders>
            <w:vAlign w:val="center"/>
          </w:tcPr>
          <w:p w14:paraId="4E8469D8">
            <w:pPr>
              <w:spacing w:line="240" w:lineRule="auto"/>
              <w:ind w:left="-122" w:leftChars="-51" w:firstLine="96" w:firstLineChars="60"/>
              <w:jc w:val="center"/>
              <w:rPr>
                <w:color w:val="000000"/>
                <w:kern w:val="0"/>
                <w:sz w:val="16"/>
                <w:szCs w:val="18"/>
              </w:rPr>
            </w:pPr>
            <w:r>
              <w:rPr>
                <w:color w:val="000000"/>
                <w:kern w:val="0"/>
                <w:sz w:val="16"/>
                <w:szCs w:val="18"/>
              </w:rPr>
              <w:t>c=0.5411T+728.4（solid）</w:t>
            </w:r>
          </w:p>
          <w:p w14:paraId="6DE461CB">
            <w:pPr>
              <w:spacing w:line="240" w:lineRule="auto"/>
              <w:ind w:left="-122" w:leftChars="-51" w:firstLine="96" w:firstLineChars="60"/>
              <w:jc w:val="center"/>
              <w:rPr>
                <w:color w:val="000000"/>
                <w:kern w:val="0"/>
                <w:sz w:val="16"/>
                <w:szCs w:val="18"/>
              </w:rPr>
            </w:pPr>
            <w:r>
              <w:rPr>
                <w:color w:val="000000"/>
                <w:kern w:val="0"/>
                <w:sz w:val="16"/>
                <w:szCs w:val="18"/>
              </w:rPr>
              <w:t>c=1176.15（liquid）</w:t>
            </w:r>
          </w:p>
        </w:tc>
        <w:tc>
          <w:tcPr>
            <w:tcW w:w="0" w:type="auto"/>
            <w:tcBorders>
              <w:tl2br w:val="nil"/>
              <w:tr2bl w:val="nil"/>
            </w:tcBorders>
            <w:vAlign w:val="center"/>
          </w:tcPr>
          <w:p w14:paraId="6D889AC9">
            <w:pPr>
              <w:spacing w:line="240" w:lineRule="auto"/>
              <w:ind w:left="-122" w:leftChars="-51" w:firstLine="96" w:firstLineChars="60"/>
              <w:jc w:val="center"/>
              <w:rPr>
                <w:color w:val="000000"/>
                <w:kern w:val="0"/>
                <w:sz w:val="16"/>
                <w:szCs w:val="18"/>
              </w:rPr>
            </w:pPr>
            <w:r>
              <w:rPr>
                <w:color w:val="000000"/>
                <w:kern w:val="0"/>
                <w:sz w:val="16"/>
                <w:szCs w:val="18"/>
              </w:rPr>
              <w:t>c=0.1482T+327.7（solid）</w:t>
            </w:r>
          </w:p>
          <w:p w14:paraId="2CA6FC8B">
            <w:pPr>
              <w:spacing w:line="240" w:lineRule="auto"/>
              <w:ind w:left="-122" w:leftChars="-51" w:firstLine="96" w:firstLineChars="60"/>
              <w:jc w:val="center"/>
              <w:rPr>
                <w:color w:val="000000"/>
                <w:kern w:val="0"/>
                <w:sz w:val="16"/>
                <w:szCs w:val="18"/>
              </w:rPr>
            </w:pPr>
            <w:r>
              <w:rPr>
                <w:color w:val="000000"/>
                <w:kern w:val="0"/>
                <w:sz w:val="16"/>
                <w:szCs w:val="18"/>
              </w:rPr>
              <w:t>c=572.12（liquid）</w:t>
            </w:r>
          </w:p>
        </w:tc>
      </w:tr>
      <w:tr w14:paraId="3AC61F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0" w:type="auto"/>
            <w:tcBorders>
              <w:tl2br w:val="nil"/>
              <w:tr2bl w:val="nil"/>
            </w:tcBorders>
            <w:vAlign w:val="center"/>
          </w:tcPr>
          <w:p w14:paraId="78E00BA3">
            <w:pPr>
              <w:spacing w:line="240" w:lineRule="auto"/>
              <w:ind w:left="-122" w:leftChars="-51" w:firstLine="96" w:firstLineChars="60"/>
              <w:jc w:val="center"/>
              <w:rPr>
                <w:kern w:val="0"/>
                <w:sz w:val="16"/>
                <w:szCs w:val="18"/>
              </w:rPr>
            </w:pPr>
            <w:r>
              <w:rPr>
                <w:kern w:val="0"/>
                <w:sz w:val="16"/>
                <w:szCs w:val="18"/>
              </w:rPr>
              <w:t>Melting Point Tm(K)</w:t>
            </w:r>
          </w:p>
        </w:tc>
        <w:tc>
          <w:tcPr>
            <w:tcW w:w="0" w:type="auto"/>
            <w:tcBorders>
              <w:tl2br w:val="nil"/>
              <w:tr2bl w:val="nil"/>
            </w:tcBorders>
            <w:vAlign w:val="center"/>
          </w:tcPr>
          <w:p w14:paraId="462B6B98">
            <w:pPr>
              <w:spacing w:line="240" w:lineRule="auto"/>
              <w:ind w:left="-122" w:leftChars="-51" w:firstLine="96" w:firstLineChars="60"/>
              <w:jc w:val="center"/>
              <w:rPr>
                <w:sz w:val="16"/>
                <w:szCs w:val="18"/>
              </w:rPr>
            </w:pPr>
            <w:r>
              <w:rPr>
                <w:color w:val="000000"/>
                <w:kern w:val="0"/>
                <w:sz w:val="16"/>
                <w:szCs w:val="18"/>
              </w:rPr>
              <w:t>933.52</w:t>
            </w:r>
          </w:p>
        </w:tc>
        <w:tc>
          <w:tcPr>
            <w:tcW w:w="0" w:type="auto"/>
            <w:tcBorders>
              <w:tl2br w:val="nil"/>
              <w:tr2bl w:val="nil"/>
            </w:tcBorders>
            <w:vAlign w:val="center"/>
          </w:tcPr>
          <w:p w14:paraId="0ACB77F8">
            <w:pPr>
              <w:spacing w:line="240" w:lineRule="auto"/>
              <w:ind w:left="-122" w:leftChars="-51" w:firstLine="96" w:firstLineChars="60"/>
              <w:jc w:val="center"/>
              <w:rPr>
                <w:color w:val="000000"/>
                <w:kern w:val="0"/>
                <w:sz w:val="16"/>
                <w:szCs w:val="18"/>
              </w:rPr>
            </w:pPr>
            <w:r>
              <w:rPr>
                <w:color w:val="000000"/>
                <w:kern w:val="0"/>
                <w:sz w:val="16"/>
                <w:szCs w:val="18"/>
              </w:rPr>
              <w:t>1356.15</w:t>
            </w:r>
          </w:p>
        </w:tc>
      </w:tr>
      <w:tr w14:paraId="20C8A9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9" w:hRule="atLeast"/>
          <w:jc w:val="center"/>
        </w:trPr>
        <w:tc>
          <w:tcPr>
            <w:tcW w:w="0" w:type="auto"/>
            <w:tcBorders>
              <w:tl2br w:val="nil"/>
              <w:tr2bl w:val="nil"/>
            </w:tcBorders>
            <w:vAlign w:val="center"/>
          </w:tcPr>
          <w:p w14:paraId="645D9DFE">
            <w:pPr>
              <w:spacing w:line="240" w:lineRule="auto"/>
              <w:ind w:left="-122" w:leftChars="-51" w:firstLine="96" w:firstLineChars="60"/>
              <w:jc w:val="center"/>
              <w:rPr>
                <w:kern w:val="0"/>
                <w:sz w:val="16"/>
                <w:szCs w:val="18"/>
              </w:rPr>
            </w:pPr>
            <w:r>
              <w:rPr>
                <w:kern w:val="0"/>
                <w:sz w:val="16"/>
                <w:szCs w:val="18"/>
              </w:rPr>
              <w:t>Latent Heat L(kJ·kg</w:t>
            </w:r>
            <w:r>
              <w:rPr>
                <w:kern w:val="0"/>
                <w:sz w:val="16"/>
                <w:szCs w:val="18"/>
                <w:vertAlign w:val="superscript"/>
              </w:rPr>
              <w:t>-1</w:t>
            </w:r>
            <w:r>
              <w:rPr>
                <w:kern w:val="0"/>
                <w:sz w:val="16"/>
                <w:szCs w:val="18"/>
              </w:rPr>
              <w:t>)</w:t>
            </w:r>
          </w:p>
        </w:tc>
        <w:tc>
          <w:tcPr>
            <w:tcW w:w="0" w:type="auto"/>
            <w:tcBorders>
              <w:tl2br w:val="nil"/>
              <w:tr2bl w:val="nil"/>
            </w:tcBorders>
            <w:vAlign w:val="center"/>
          </w:tcPr>
          <w:p w14:paraId="76830817">
            <w:pPr>
              <w:spacing w:line="240" w:lineRule="auto"/>
              <w:ind w:left="-122" w:leftChars="-51" w:firstLine="96" w:firstLineChars="60"/>
              <w:jc w:val="center"/>
              <w:rPr>
                <w:sz w:val="16"/>
                <w:szCs w:val="18"/>
              </w:rPr>
            </w:pPr>
            <w:r>
              <w:rPr>
                <w:color w:val="000000"/>
                <w:kern w:val="0"/>
                <w:sz w:val="16"/>
                <w:szCs w:val="18"/>
              </w:rPr>
              <w:t>385</w:t>
            </w:r>
          </w:p>
        </w:tc>
        <w:tc>
          <w:tcPr>
            <w:tcW w:w="0" w:type="auto"/>
            <w:tcBorders>
              <w:tl2br w:val="nil"/>
              <w:tr2bl w:val="nil"/>
            </w:tcBorders>
            <w:vAlign w:val="center"/>
          </w:tcPr>
          <w:p w14:paraId="1BDA4D00">
            <w:pPr>
              <w:spacing w:line="240" w:lineRule="auto"/>
              <w:ind w:left="-122" w:leftChars="-51" w:firstLine="96" w:firstLineChars="60"/>
              <w:jc w:val="center"/>
              <w:rPr>
                <w:color w:val="000000"/>
                <w:kern w:val="0"/>
                <w:sz w:val="16"/>
                <w:szCs w:val="18"/>
              </w:rPr>
            </w:pPr>
            <w:r>
              <w:rPr>
                <w:color w:val="000000"/>
                <w:kern w:val="0"/>
                <w:sz w:val="16"/>
                <w:szCs w:val="18"/>
              </w:rPr>
              <w:t>188</w:t>
            </w:r>
          </w:p>
        </w:tc>
      </w:tr>
      <w:tr w14:paraId="6A38AE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 w:hRule="atLeast"/>
          <w:jc w:val="center"/>
        </w:trPr>
        <w:tc>
          <w:tcPr>
            <w:tcW w:w="0" w:type="auto"/>
            <w:tcBorders>
              <w:bottom w:val="nil"/>
              <w:tl2br w:val="nil"/>
              <w:tr2bl w:val="nil"/>
            </w:tcBorders>
            <w:vAlign w:val="center"/>
          </w:tcPr>
          <w:p w14:paraId="57A5D779">
            <w:pPr>
              <w:spacing w:line="240" w:lineRule="auto"/>
              <w:ind w:left="-122" w:leftChars="-51" w:firstLine="96" w:firstLineChars="60"/>
              <w:jc w:val="center"/>
              <w:rPr>
                <w:kern w:val="0"/>
                <w:sz w:val="16"/>
                <w:szCs w:val="18"/>
              </w:rPr>
            </w:pPr>
            <w:r>
              <w:rPr>
                <w:kern w:val="0"/>
                <w:sz w:val="16"/>
                <w:szCs w:val="18"/>
              </w:rPr>
              <w:t>Viscosity μ(kg·m</w:t>
            </w:r>
            <w:r>
              <w:rPr>
                <w:kern w:val="0"/>
                <w:sz w:val="16"/>
                <w:szCs w:val="18"/>
                <w:vertAlign w:val="superscript"/>
              </w:rPr>
              <w:t>-1</w:t>
            </w:r>
            <w:r>
              <w:rPr>
                <w:kern w:val="0"/>
                <w:sz w:val="16"/>
                <w:szCs w:val="18"/>
              </w:rPr>
              <w:t>·s</w:t>
            </w:r>
            <w:r>
              <w:rPr>
                <w:kern w:val="0"/>
                <w:sz w:val="16"/>
                <w:szCs w:val="18"/>
                <w:vertAlign w:val="superscript"/>
              </w:rPr>
              <w:t>-1</w:t>
            </w:r>
            <w:r>
              <w:rPr>
                <w:kern w:val="0"/>
                <w:sz w:val="16"/>
                <w:szCs w:val="18"/>
              </w:rPr>
              <w:t>)</w:t>
            </w:r>
          </w:p>
        </w:tc>
        <w:tc>
          <w:tcPr>
            <w:tcW w:w="0" w:type="auto"/>
            <w:tcBorders>
              <w:bottom w:val="nil"/>
              <w:tl2br w:val="nil"/>
              <w:tr2bl w:val="nil"/>
            </w:tcBorders>
            <w:vAlign w:val="center"/>
          </w:tcPr>
          <w:p w14:paraId="10482111">
            <w:pPr>
              <w:spacing w:line="240" w:lineRule="auto"/>
              <w:ind w:left="-122" w:leftChars="-51" w:firstLine="96" w:firstLineChars="60"/>
              <w:jc w:val="center"/>
              <w:rPr>
                <w:color w:val="000000"/>
                <w:kern w:val="0"/>
                <w:sz w:val="16"/>
                <w:szCs w:val="18"/>
              </w:rPr>
            </w:pPr>
            <w:r>
              <w:rPr>
                <w:color w:val="000000"/>
                <w:kern w:val="0"/>
                <w:sz w:val="16"/>
                <w:szCs w:val="18"/>
              </w:rPr>
              <w:t>μ=1（solid）</w:t>
            </w:r>
          </w:p>
          <w:p w14:paraId="5925BA11">
            <w:pPr>
              <w:spacing w:line="240" w:lineRule="auto"/>
              <w:ind w:left="-122" w:leftChars="-51" w:firstLine="96" w:firstLineChars="60"/>
              <w:jc w:val="center"/>
              <w:rPr>
                <w:color w:val="000000"/>
                <w:kern w:val="0"/>
                <w:sz w:val="16"/>
                <w:szCs w:val="18"/>
                <w:vertAlign w:val="superscript"/>
              </w:rPr>
            </w:pPr>
            <w:r>
              <w:rPr>
                <w:color w:val="000000"/>
                <w:kern w:val="0"/>
                <w:sz w:val="16"/>
                <w:szCs w:val="18"/>
              </w:rPr>
              <w:t>μ=-1.71×10</w:t>
            </w:r>
            <w:r>
              <w:rPr>
                <w:color w:val="000000"/>
                <w:kern w:val="0"/>
                <w:sz w:val="16"/>
                <w:szCs w:val="18"/>
                <w:vertAlign w:val="superscript"/>
              </w:rPr>
              <w:t>−6</w:t>
            </w:r>
            <w:r>
              <w:rPr>
                <w:color w:val="000000"/>
                <w:kern w:val="0"/>
                <w:sz w:val="16"/>
                <w:szCs w:val="18"/>
              </w:rPr>
              <w:t>T+2.90×10</w:t>
            </w:r>
            <w:r>
              <w:rPr>
                <w:color w:val="000000"/>
                <w:kern w:val="0"/>
                <w:sz w:val="16"/>
                <w:szCs w:val="18"/>
                <w:vertAlign w:val="superscript"/>
              </w:rPr>
              <w:t>−3</w:t>
            </w:r>
            <w:r>
              <w:rPr>
                <w:color w:val="000000"/>
                <w:kern w:val="0"/>
                <w:sz w:val="16"/>
                <w:szCs w:val="18"/>
              </w:rPr>
              <w:t>（liquid）</w:t>
            </w:r>
          </w:p>
        </w:tc>
        <w:tc>
          <w:tcPr>
            <w:tcW w:w="0" w:type="auto"/>
            <w:tcBorders>
              <w:bottom w:val="nil"/>
              <w:tl2br w:val="nil"/>
              <w:tr2bl w:val="nil"/>
            </w:tcBorders>
            <w:vAlign w:val="center"/>
          </w:tcPr>
          <w:p w14:paraId="175FF95E">
            <w:pPr>
              <w:spacing w:line="240" w:lineRule="auto"/>
              <w:ind w:left="-122" w:leftChars="-51" w:firstLine="96" w:firstLineChars="60"/>
              <w:jc w:val="center"/>
              <w:rPr>
                <w:color w:val="000000"/>
                <w:kern w:val="0"/>
                <w:sz w:val="16"/>
                <w:szCs w:val="18"/>
              </w:rPr>
            </w:pPr>
            <w:r>
              <w:rPr>
                <w:color w:val="000000"/>
                <w:kern w:val="0"/>
                <w:sz w:val="16"/>
                <w:szCs w:val="18"/>
              </w:rPr>
              <w:t>μ=1（solid）</w:t>
            </w:r>
          </w:p>
          <w:p w14:paraId="57EE40CC">
            <w:pPr>
              <w:spacing w:line="240" w:lineRule="auto"/>
              <w:ind w:left="-122" w:leftChars="-51" w:firstLine="96" w:firstLineChars="60"/>
              <w:jc w:val="center"/>
              <w:rPr>
                <w:color w:val="000000"/>
                <w:kern w:val="0"/>
                <w:sz w:val="16"/>
                <w:szCs w:val="18"/>
              </w:rPr>
            </w:pPr>
            <w:r>
              <w:rPr>
                <w:color w:val="000000"/>
                <w:kern w:val="0"/>
                <w:sz w:val="16"/>
                <w:szCs w:val="18"/>
              </w:rPr>
              <w:t>μ=-3.37×10</w:t>
            </w:r>
            <w:r>
              <w:rPr>
                <w:color w:val="000000"/>
                <w:kern w:val="0"/>
                <w:sz w:val="16"/>
                <w:szCs w:val="18"/>
                <w:vertAlign w:val="superscript"/>
              </w:rPr>
              <w:t>−6</w:t>
            </w:r>
            <w:r>
              <w:rPr>
                <w:color w:val="000000"/>
                <w:kern w:val="0"/>
                <w:sz w:val="16"/>
                <w:szCs w:val="18"/>
              </w:rPr>
              <w:t>T+8.35×10</w:t>
            </w:r>
            <w:r>
              <w:rPr>
                <w:color w:val="000000"/>
                <w:kern w:val="0"/>
                <w:sz w:val="16"/>
                <w:szCs w:val="18"/>
                <w:vertAlign w:val="superscript"/>
              </w:rPr>
              <w:t>−3</w:t>
            </w:r>
            <w:r>
              <w:rPr>
                <w:color w:val="000000"/>
                <w:kern w:val="0"/>
                <w:sz w:val="16"/>
                <w:szCs w:val="18"/>
              </w:rPr>
              <w:t>（liquid）</w:t>
            </w:r>
          </w:p>
        </w:tc>
      </w:tr>
      <w:tr w14:paraId="4F72E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0" w:type="auto"/>
            <w:tcBorders>
              <w:top w:val="nil"/>
              <w:bottom w:val="single" w:color="auto" w:sz="12" w:space="0"/>
              <w:tl2br w:val="nil"/>
              <w:tr2bl w:val="nil"/>
            </w:tcBorders>
            <w:vAlign w:val="center"/>
          </w:tcPr>
          <w:p w14:paraId="1B79D755">
            <w:pPr>
              <w:spacing w:line="240" w:lineRule="auto"/>
              <w:ind w:left="-122" w:leftChars="-51" w:firstLine="96" w:firstLineChars="60"/>
              <w:jc w:val="center"/>
              <w:rPr>
                <w:kern w:val="0"/>
                <w:sz w:val="16"/>
                <w:szCs w:val="18"/>
              </w:rPr>
            </w:pPr>
            <w:r>
              <w:rPr>
                <w:kern w:val="0"/>
                <w:sz w:val="16"/>
                <w:szCs w:val="18"/>
              </w:rPr>
              <w:t>Surface Tension Gradient</w:t>
            </w:r>
          </w:p>
          <w:p w14:paraId="2C468A9B">
            <w:pPr>
              <w:spacing w:line="240" w:lineRule="auto"/>
              <w:ind w:left="-122" w:leftChars="-51" w:firstLine="96" w:firstLineChars="60"/>
              <w:jc w:val="center"/>
              <w:rPr>
                <w:sz w:val="16"/>
                <w:szCs w:val="18"/>
              </w:rPr>
            </w:pPr>
            <w:r>
              <w:rPr>
                <w:kern w:val="0"/>
                <w:sz w:val="16"/>
                <w:szCs w:val="18"/>
              </w:rPr>
              <w:t>γ(N·m</w:t>
            </w:r>
            <w:r>
              <w:rPr>
                <w:kern w:val="0"/>
                <w:sz w:val="16"/>
                <w:szCs w:val="18"/>
                <w:vertAlign w:val="superscript"/>
              </w:rPr>
              <w:t>-1</w:t>
            </w:r>
            <w:r>
              <w:rPr>
                <w:kern w:val="0"/>
                <w:sz w:val="16"/>
                <w:szCs w:val="18"/>
              </w:rPr>
              <w:t>·K</w:t>
            </w:r>
            <w:r>
              <w:rPr>
                <w:kern w:val="0"/>
                <w:sz w:val="16"/>
                <w:szCs w:val="18"/>
                <w:vertAlign w:val="superscript"/>
              </w:rPr>
              <w:t>-1</w:t>
            </w:r>
            <w:r>
              <w:rPr>
                <w:kern w:val="0"/>
                <w:sz w:val="16"/>
                <w:szCs w:val="18"/>
              </w:rPr>
              <w:t>)</w:t>
            </w:r>
          </w:p>
        </w:tc>
        <w:tc>
          <w:tcPr>
            <w:tcW w:w="0" w:type="auto"/>
            <w:tcBorders>
              <w:top w:val="nil"/>
              <w:bottom w:val="single" w:color="auto" w:sz="12" w:space="0"/>
              <w:tl2br w:val="nil"/>
              <w:tr2bl w:val="nil"/>
            </w:tcBorders>
            <w:vAlign w:val="center"/>
          </w:tcPr>
          <w:p w14:paraId="29403507">
            <w:pPr>
              <w:spacing w:line="240" w:lineRule="auto"/>
              <w:ind w:left="-122" w:leftChars="-51" w:firstLine="96" w:firstLineChars="60"/>
              <w:jc w:val="center"/>
              <w:rPr>
                <w:sz w:val="16"/>
                <w:szCs w:val="18"/>
              </w:rPr>
            </w:pPr>
            <w:r>
              <w:rPr>
                <w:color w:val="000000"/>
                <w:kern w:val="0"/>
                <w:sz w:val="16"/>
                <w:szCs w:val="18"/>
              </w:rPr>
              <w:t>−0.6×10</w:t>
            </w:r>
            <w:r>
              <w:rPr>
                <w:color w:val="000000"/>
                <w:kern w:val="0"/>
                <w:sz w:val="16"/>
                <w:szCs w:val="18"/>
                <w:vertAlign w:val="superscript"/>
              </w:rPr>
              <w:t>−4</w:t>
            </w:r>
          </w:p>
        </w:tc>
        <w:tc>
          <w:tcPr>
            <w:tcW w:w="0" w:type="auto"/>
            <w:tcBorders>
              <w:top w:val="nil"/>
              <w:bottom w:val="single" w:color="auto" w:sz="12" w:space="0"/>
              <w:tl2br w:val="nil"/>
              <w:tr2bl w:val="nil"/>
            </w:tcBorders>
            <w:vAlign w:val="center"/>
          </w:tcPr>
          <w:p w14:paraId="1F3F036B">
            <w:pPr>
              <w:spacing w:line="240" w:lineRule="auto"/>
              <w:ind w:left="-122" w:leftChars="-51" w:firstLine="96" w:firstLineChars="60"/>
              <w:jc w:val="center"/>
              <w:rPr>
                <w:color w:val="000000"/>
                <w:kern w:val="0"/>
                <w:sz w:val="16"/>
                <w:szCs w:val="18"/>
              </w:rPr>
            </w:pPr>
            <w:r>
              <w:rPr>
                <w:color w:val="000000"/>
                <w:kern w:val="0"/>
                <w:sz w:val="16"/>
                <w:szCs w:val="18"/>
              </w:rPr>
              <w:t>−1.5625×10</w:t>
            </w:r>
            <w:r>
              <w:rPr>
                <w:color w:val="000000"/>
                <w:kern w:val="0"/>
                <w:sz w:val="16"/>
                <w:szCs w:val="18"/>
                <w:vertAlign w:val="superscript"/>
              </w:rPr>
              <w:t>−4</w:t>
            </w:r>
          </w:p>
        </w:tc>
      </w:tr>
      <w:bookmarkEnd w:id="3"/>
    </w:tbl>
    <w:p w14:paraId="0949401F">
      <w:pPr>
        <w:numPr>
          <w:ilvl w:val="1"/>
          <w:numId w:val="1"/>
        </w:numPr>
        <w:wordWrap w:val="0"/>
        <w:topLinePunct/>
        <w:spacing w:line="276" w:lineRule="auto"/>
        <w:ind w:left="0" w:firstLineChars="0"/>
        <w:rPr>
          <w:b/>
          <w:bCs/>
          <w:sz w:val="21"/>
          <w:szCs w:val="21"/>
        </w:rPr>
        <w:sectPr>
          <w:footnotePr>
            <w:pos w:val="beneathText"/>
          </w:footnotePr>
          <w:type w:val="continuous"/>
          <w:pgSz w:w="11906" w:h="16838"/>
          <w:pgMar w:top="1440" w:right="1800" w:bottom="1440" w:left="1800" w:header="851" w:footer="992" w:gutter="0"/>
          <w:cols w:space="425" w:num="1"/>
          <w:docGrid w:type="lines" w:linePitch="312" w:charSpace="0"/>
        </w:sectPr>
      </w:pPr>
    </w:p>
    <w:p w14:paraId="0695474E">
      <w:pPr>
        <w:numPr>
          <w:ilvl w:val="1"/>
          <w:numId w:val="1"/>
        </w:numPr>
        <w:wordWrap w:val="0"/>
        <w:topLinePunct/>
        <w:spacing w:line="276" w:lineRule="auto"/>
        <w:ind w:left="0" w:firstLineChars="0"/>
        <w:rPr>
          <w:b/>
          <w:bCs/>
          <w:sz w:val="21"/>
          <w:szCs w:val="21"/>
        </w:rPr>
      </w:pPr>
      <w:r>
        <w:rPr>
          <w:rFonts w:hint="eastAsia"/>
          <w:b/>
          <w:bCs/>
          <w:sz w:val="21"/>
          <w:szCs w:val="21"/>
        </w:rPr>
        <w:t>Initial and Boundary Condition Settings</w:t>
      </w:r>
    </w:p>
    <w:p w14:paraId="27DD2F30">
      <w:pPr>
        <w:spacing w:line="276" w:lineRule="auto"/>
        <w:ind w:firstLine="420"/>
        <w:rPr>
          <w:sz w:val="21"/>
          <w:szCs w:val="21"/>
        </w:rPr>
      </w:pPr>
      <w:r>
        <w:rPr>
          <w:rFonts w:hint="eastAsia"/>
          <w:sz w:val="21"/>
          <w:szCs w:val="21"/>
        </w:rPr>
        <w:t>To avoid the influence of the boundary conditions, the initial point of heat source loading is set as P</w:t>
      </w:r>
      <w:r>
        <w:rPr>
          <w:rFonts w:hint="eastAsia"/>
          <w:sz w:val="21"/>
          <w:szCs w:val="21"/>
          <w:vertAlign w:val="subscript"/>
        </w:rPr>
        <w:t>start</w:t>
      </w:r>
      <w:r>
        <w:rPr>
          <w:rFonts w:hint="eastAsia"/>
          <w:sz w:val="21"/>
          <w:szCs w:val="21"/>
        </w:rPr>
        <w:t xml:space="preserve"> (4, 0, 0), and the end point is P</w:t>
      </w:r>
      <w:r>
        <w:rPr>
          <w:rFonts w:hint="eastAsia"/>
          <w:sz w:val="21"/>
          <w:szCs w:val="21"/>
          <w:vertAlign w:val="subscript"/>
        </w:rPr>
        <w:t>end</w:t>
      </w:r>
      <w:r>
        <w:rPr>
          <w:rFonts w:hint="eastAsia"/>
          <w:sz w:val="21"/>
          <w:szCs w:val="21"/>
        </w:rPr>
        <w:t xml:space="preserve"> (16, 0, 0). To simplify the model, the following assumptions are proposed</w:t>
      </w:r>
      <w:r>
        <w:rPr>
          <w:rFonts w:hint="eastAsia"/>
          <w:sz w:val="20"/>
          <w:szCs w:val="20"/>
          <w:vertAlign w:val="superscript"/>
        </w:rPr>
        <w:fldChar w:fldCharType="begin"/>
      </w:r>
      <w:r>
        <w:rPr>
          <w:rFonts w:hint="eastAsia"/>
          <w:sz w:val="20"/>
          <w:szCs w:val="20"/>
          <w:vertAlign w:val="superscript"/>
        </w:rPr>
        <w:instrText xml:space="preserve"> REF _Ref16962 \r \h </w:instrText>
      </w:r>
      <w:r>
        <w:rPr>
          <w:sz w:val="20"/>
          <w:szCs w:val="20"/>
          <w:vertAlign w:val="superscript"/>
        </w:rPr>
        <w:instrText xml:space="preserve"> \* MERGEFORMAT </w:instrText>
      </w:r>
      <w:r>
        <w:rPr>
          <w:rFonts w:hint="eastAsia"/>
          <w:sz w:val="20"/>
          <w:szCs w:val="20"/>
          <w:vertAlign w:val="superscript"/>
        </w:rPr>
        <w:fldChar w:fldCharType="separate"/>
      </w:r>
      <w:r>
        <w:rPr>
          <w:sz w:val="20"/>
          <w:szCs w:val="20"/>
          <w:vertAlign w:val="superscript"/>
        </w:rPr>
        <w:t>[26]</w:t>
      </w:r>
      <w:r>
        <w:rPr>
          <w:rFonts w:hint="eastAsia"/>
          <w:sz w:val="20"/>
          <w:szCs w:val="20"/>
          <w:vertAlign w:val="superscript"/>
        </w:rPr>
        <w:fldChar w:fldCharType="end"/>
      </w:r>
      <w:r>
        <w:rPr>
          <w:rFonts w:hint="eastAsia"/>
          <w:sz w:val="21"/>
          <w:szCs w:val="21"/>
        </w:rPr>
        <w:t xml:space="preserve">:(1) Both liquid TU1 oxygen-free copper and liquid 6061 aluminum alloy are incompressible Newtonian </w:t>
      </w:r>
      <w:r>
        <w:rPr>
          <w:sz w:val="21"/>
          <w:szCs w:val="21"/>
        </w:rPr>
        <w:t>fluids. (2) The thermophysical properties of the materials are uniform, and some parameters remain constant.(3) Non-major elements of the materials are ignored. (4) The influence of protective gas during the welding process is ignored. (5) There is no gap between the materials. (6) Chemical reactions are not considered.</w:t>
      </w:r>
    </w:p>
    <w:p w14:paraId="6B681296">
      <w:pPr>
        <w:numPr>
          <w:ilvl w:val="1"/>
          <w:numId w:val="1"/>
        </w:numPr>
        <w:wordWrap w:val="0"/>
        <w:topLinePunct/>
        <w:spacing w:line="276" w:lineRule="auto"/>
        <w:ind w:left="0" w:firstLineChars="0"/>
        <w:rPr>
          <w:b/>
          <w:bCs/>
          <w:sz w:val="21"/>
          <w:szCs w:val="21"/>
        </w:rPr>
      </w:pPr>
      <w:r>
        <w:rPr>
          <w:rFonts w:hint="eastAsia"/>
          <w:b/>
          <w:bCs/>
          <w:sz w:val="21"/>
          <w:szCs w:val="21"/>
        </w:rPr>
        <w:t>Selection of Heat Source Model</w:t>
      </w:r>
    </w:p>
    <w:p w14:paraId="129DEFA5">
      <w:pPr>
        <w:spacing w:line="276" w:lineRule="auto"/>
        <w:ind w:firstLine="420"/>
        <w:rPr>
          <w:sz w:val="21"/>
          <w:szCs w:val="21"/>
        </w:rPr>
      </w:pPr>
      <w:r>
        <w:rPr>
          <w:sz w:val="21"/>
          <w:szCs w:val="21"/>
        </w:rPr>
        <w:t>Choosing a reasonable heat source model is the most critical step to complete laser welding simulation, which mainly depends on the actual welding conditions. In view of the heterogeneous copper-aluminum thin plates used as base metals in this paper, a double-ellipsoid heat source model is selected for numerical simulation. The schematic diagram of the double-ellipsoid heat source model is shown in Figure 3, and the governing equation is shown in Equation 1</w:t>
      </w:r>
      <w:r>
        <w:rPr>
          <w:sz w:val="20"/>
          <w:szCs w:val="20"/>
          <w:vertAlign w:val="superscript"/>
        </w:rPr>
        <w:fldChar w:fldCharType="begin"/>
      </w:r>
      <w:r>
        <w:rPr>
          <w:sz w:val="20"/>
          <w:szCs w:val="20"/>
          <w:vertAlign w:val="superscript"/>
        </w:rPr>
        <w:instrText xml:space="preserve"> REF _Ref17031 \r \h  \* MERGEFORMAT </w:instrText>
      </w:r>
      <w:r>
        <w:rPr>
          <w:sz w:val="20"/>
          <w:szCs w:val="20"/>
          <w:vertAlign w:val="superscript"/>
        </w:rPr>
        <w:fldChar w:fldCharType="separate"/>
      </w:r>
      <w:r>
        <w:rPr>
          <w:sz w:val="20"/>
          <w:szCs w:val="20"/>
          <w:vertAlign w:val="superscript"/>
        </w:rPr>
        <w:t>[27]</w:t>
      </w:r>
      <w:r>
        <w:rPr>
          <w:sz w:val="20"/>
          <w:szCs w:val="20"/>
          <w:vertAlign w:val="superscript"/>
        </w:rPr>
        <w:fldChar w:fldCharType="end"/>
      </w:r>
      <w:r>
        <w:rPr>
          <w:rFonts w:hint="eastAsia"/>
          <w:sz w:val="21"/>
          <w:szCs w:val="21"/>
        </w:rPr>
        <w:t>.The schematic diagram of its moving loading is shown in Figure 4.</w:t>
      </w:r>
    </w:p>
    <w:p w14:paraId="4FFF36D3">
      <w:pPr>
        <w:ind w:firstLine="420"/>
        <w:jc w:val="center"/>
        <w:rPr>
          <w:sz w:val="21"/>
          <w:szCs w:val="21"/>
        </w:rPr>
      </w:pPr>
      <w:r>
        <w:rPr>
          <w:sz w:val="21"/>
          <w:szCs w:val="21"/>
        </w:rPr>
        <w:drawing>
          <wp:inline distT="0" distB="0" distL="0" distR="0">
            <wp:extent cx="846455" cy="1901825"/>
            <wp:effectExtent l="0" t="0" r="0" b="3175"/>
            <wp:docPr id="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png"/>
                    <pic:cNvPicPr>
                      <a:picLocks noChangeAspect="1"/>
                    </pic:cNvPicPr>
                  </pic:nvPicPr>
                  <pic:blipFill>
                    <a:blip r:embed="rId14"/>
                    <a:stretch>
                      <a:fillRect/>
                    </a:stretch>
                  </pic:blipFill>
                  <pic:spPr>
                    <a:xfrm>
                      <a:off x="0" y="0"/>
                      <a:ext cx="855595" cy="1922672"/>
                    </a:xfrm>
                    <a:prstGeom prst="rect">
                      <a:avLst/>
                    </a:prstGeom>
                    <a:noFill/>
                    <a:ln>
                      <a:noFill/>
                    </a:ln>
                  </pic:spPr>
                </pic:pic>
              </a:graphicData>
            </a:graphic>
          </wp:inline>
        </w:drawing>
      </w:r>
    </w:p>
    <w:p w14:paraId="0CE72B1A">
      <w:pPr>
        <w:wordWrap w:val="0"/>
        <w:topLinePunct/>
        <w:ind w:firstLine="361"/>
        <w:jc w:val="center"/>
        <w:rPr>
          <w:sz w:val="21"/>
          <w:szCs w:val="21"/>
          <w:vertAlign w:val="superscript"/>
        </w:rPr>
      </w:pPr>
      <w:r>
        <w:rPr>
          <w:b/>
          <w:bCs/>
          <w:sz w:val="18"/>
          <w:szCs w:val="18"/>
        </w:rPr>
        <w:t>Fig.</w:t>
      </w:r>
      <w:r>
        <w:rPr>
          <w:rFonts w:hint="eastAsia"/>
          <w:b/>
          <w:bCs/>
          <w:sz w:val="18"/>
          <w:szCs w:val="18"/>
        </w:rPr>
        <w:t xml:space="preserve">3 </w:t>
      </w:r>
      <w:r>
        <w:rPr>
          <w:sz w:val="18"/>
          <w:szCs w:val="18"/>
        </w:rPr>
        <w:t>Double-ellipsoidal</w:t>
      </w:r>
      <w:r>
        <w:rPr>
          <w:rFonts w:hint="eastAsia"/>
          <w:sz w:val="18"/>
          <w:szCs w:val="18"/>
        </w:rPr>
        <w:t xml:space="preserve"> </w:t>
      </w:r>
      <w:r>
        <w:rPr>
          <w:sz w:val="18"/>
          <w:szCs w:val="18"/>
        </w:rPr>
        <w:t>heat</w:t>
      </w:r>
      <w:r>
        <w:rPr>
          <w:rFonts w:hint="eastAsia"/>
          <w:sz w:val="18"/>
          <w:szCs w:val="18"/>
        </w:rPr>
        <w:t xml:space="preserve"> </w:t>
      </w:r>
      <w:r>
        <w:rPr>
          <w:sz w:val="18"/>
          <w:szCs w:val="18"/>
        </w:rPr>
        <w:t>source</w:t>
      </w:r>
      <w:r>
        <w:rPr>
          <w:rFonts w:hint="eastAsia"/>
          <w:sz w:val="18"/>
          <w:szCs w:val="18"/>
        </w:rPr>
        <w:t xml:space="preserve"> </w:t>
      </w:r>
      <w:r>
        <w:rPr>
          <w:sz w:val="18"/>
          <w:szCs w:val="18"/>
        </w:rPr>
        <w:t>model.</w:t>
      </w:r>
    </w:p>
    <w:p w14:paraId="1B6D2DE2">
      <w:pPr>
        <w:pStyle w:val="34"/>
        <w:jc w:val="right"/>
        <w:rPr>
          <w:sz w:val="21"/>
          <w:szCs w:val="21"/>
          <w:vertAlign w:val="superscript"/>
        </w:rPr>
      </w:pPr>
      <w:r>
        <w:rPr>
          <w:position w:val="-30"/>
        </w:rPr>
        <w:object>
          <v:shape id="_x0000_i1029" o:spt="75" type="#_x0000_t75" style="height:35.35pt;width:319.8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5" r:id="rId15">
            <o:LockedField>false</o:LockedField>
          </o:OLEObject>
        </w:object>
      </w:r>
      <w:r>
        <w:rPr>
          <w:rFonts w:hint="eastAsia"/>
        </w:rPr>
        <w:t xml:space="preserve">           </w:t>
      </w:r>
      <w:r>
        <w:tab/>
      </w:r>
      <w:r>
        <w:rPr>
          <w:sz w:val="24"/>
          <w:szCs w:val="24"/>
        </w:rPr>
        <w:fldChar w:fldCharType="begin"/>
      </w:r>
      <w:r>
        <w:rPr>
          <w:sz w:val="24"/>
          <w:szCs w:val="24"/>
        </w:rPr>
        <w:instrText xml:space="preserve"> MACROBUTTON MTPlaceRef \* MERGEFORMAT </w:instrText>
      </w:r>
      <w:r>
        <w:rPr>
          <w:sz w:val="24"/>
          <w:szCs w:val="24"/>
        </w:rPr>
        <w:fldChar w:fldCharType="begin"/>
      </w:r>
      <w:r>
        <w:rPr>
          <w:sz w:val="24"/>
          <w:szCs w:val="24"/>
        </w:rPr>
        <w:instrText xml:space="preserve"> SEQ MTEqn \h \* MERGEFORMAT </w:instrText>
      </w:r>
      <w:r>
        <w:rPr>
          <w:sz w:val="24"/>
          <w:szCs w:val="24"/>
        </w:rPr>
        <w:fldChar w:fldCharType="end"/>
      </w:r>
      <w:r>
        <w:rPr>
          <w:sz w:val="24"/>
          <w:szCs w:val="24"/>
        </w:rPr>
        <w:instrText xml:space="preserve">(</w:instrText>
      </w:r>
      <w:r>
        <w:rPr>
          <w:sz w:val="24"/>
          <w:szCs w:val="24"/>
        </w:rPr>
        <w:fldChar w:fldCharType="begin"/>
      </w:r>
      <w:r>
        <w:rPr>
          <w:sz w:val="24"/>
          <w:szCs w:val="24"/>
        </w:rPr>
        <w:instrText xml:space="preserve"> SEQ MTSec \c \* Arabic \* MERGEFORMAT </w:instrText>
      </w:r>
      <w:r>
        <w:rPr>
          <w:sz w:val="24"/>
          <w:szCs w:val="24"/>
        </w:rPr>
        <w:fldChar w:fldCharType="separate"/>
      </w:r>
      <w:r>
        <w:rPr>
          <w:sz w:val="24"/>
          <w:szCs w:val="24"/>
        </w:rPr>
        <w:instrText xml:space="preserve">1</w:instrText>
      </w:r>
      <w:r>
        <w:rPr>
          <w:sz w:val="24"/>
          <w:szCs w:val="24"/>
        </w:rPr>
        <w:fldChar w:fldCharType="end"/>
      </w:r>
      <w:r>
        <w:rPr>
          <w:sz w:val="24"/>
          <w:szCs w:val="24"/>
        </w:rPr>
        <w:instrText xml:space="preserve">)</w:instrText>
      </w:r>
      <w:r>
        <w:rPr>
          <w:sz w:val="24"/>
          <w:szCs w:val="24"/>
        </w:rPr>
        <w:fldChar w:fldCharType="end"/>
      </w:r>
      <w:r>
        <w:fldChar w:fldCharType="begin"/>
      </w:r>
      <w:r>
        <w:instrText xml:space="preserve"> QUOTE </w:instrText>
      </w:r>
      <w:r>
        <w:rPr>
          <w:position w:val="-23"/>
        </w:rPr>
        <w:pict>
          <v:shape id="_x0000_i1030" o:spt="75" type="#_x0000_t75" style="height:28.7pt;width:100.7pt;" filled="f" o:preferrelative="t" stroked="f" coordsize="21600,21600"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A66879&quot;/&gt;&lt;wsp:rsid wsp:val=&quot;00011DAB&quot;/&gt;&lt;wsp:rsid wsp:val=&quot;00030E57&quot;/&gt;&lt;wsp:rsid wsp:val=&quot;00035D71&quot;/&gt;&lt;wsp:rsid wsp:val=&quot;00071526&quot;/&gt;&lt;wsp:rsid wsp:val=&quot;00081759&quot;/&gt;&lt;wsp:rsid wsp:val=&quot;00082353&quot;/&gt;&lt;wsp:rsid wsp:val=&quot;000A5A9E&quot;/&gt;&lt;wsp:rsid wsp:val=&quot;000B7A46&quot;/&gt;&lt;wsp:rsid wsp:val=&quot;000C77BB&quot;/&gt;&lt;wsp:rsid wsp:val=&quot;000D2207&quot;/&gt;&lt;wsp:rsid wsp:val=&quot;00114599&quot;/&gt;&lt;wsp:rsid wsp:val=&quot;0015206C&quot;/&gt;&lt;wsp:rsid wsp:val=&quot;001A6992&quot;/&gt;&lt;wsp:rsid wsp:val=&quot;002039AF&quot;/&gt;&lt;wsp:rsid wsp:val=&quot;00206A45&quot;/&gt;&lt;wsp:rsid wsp:val=&quot;002237F2&quot;/&gt;&lt;wsp:rsid wsp:val=&quot;00223C83&quot;/&gt;&lt;wsp:rsid wsp:val=&quot;002355B2&quot;/&gt;&lt;wsp:rsid wsp:val=&quot;00274625&quot;/&gt;&lt;wsp:rsid wsp:val=&quot;002A1E16&quot;/&gt;&lt;wsp:rsid wsp:val=&quot;002B4589&quot;/&gt;&lt;wsp:rsid wsp:val=&quot;00300D1D&quot;/&gt;&lt;wsp:rsid wsp:val=&quot;00307584&quot;/&gt;&lt;wsp:rsid wsp:val=&quot;003144CC&quot;/&gt;&lt;wsp:rsid wsp:val=&quot;00321BDF&quot;/&gt;&lt;wsp:rsid wsp:val=&quot;00332021&quot;/&gt;&lt;wsp:rsid wsp:val=&quot;00341EAA&quot;/&gt;&lt;wsp:rsid wsp:val=&quot;00354E85&quot;/&gt;&lt;wsp:rsid wsp:val=&quot;00367D54&quot;/&gt;&lt;wsp:rsid wsp:val=&quot;0038432E&quot;/&gt;&lt;wsp:rsid wsp:val=&quot;00394E4C&quot;/&gt;&lt;wsp:rsid wsp:val=&quot;003B61D3&quot;/&gt;&lt;wsp:rsid wsp:val=&quot;003D1124&quot;/&gt;&lt;wsp:rsid wsp:val=&quot;003F3BC2&quot;/&gt;&lt;wsp:rsid wsp:val=&quot;00416112&quot;/&gt;&lt;wsp:rsid wsp:val=&quot;00425823&quot;/&gt;&lt;wsp:rsid wsp:val=&quot;0043094C&quot;/&gt;&lt;wsp:rsid wsp:val=&quot;004536CF&quot;/&gt;&lt;wsp:rsid wsp:val=&quot;00457FA1&quot;/&gt;&lt;wsp:rsid wsp:val=&quot;0046219D&quot;/&gt;&lt;wsp:rsid wsp:val=&quot;004868AF&quot;/&gt;&lt;wsp:rsid wsp:val=&quot;004A3A23&quot;/&gt;&lt;wsp:rsid wsp:val=&quot;00505BB6&quot;/&gt;&lt;wsp:rsid wsp:val=&quot;00506520&quot;/&gt;&lt;wsp:rsid wsp:val=&quot;00522C57&quot;/&gt;&lt;wsp:rsid wsp:val=&quot;0053556A&quot;/&gt;&lt;wsp:rsid wsp:val=&quot;005370F2&quot;/&gt;&lt;wsp:rsid wsp:val=&quot;00551982&quot;/&gt;&lt;wsp:rsid wsp:val=&quot;00552BDA&quot;/&gt;&lt;wsp:rsid wsp:val=&quot;00560C8B&quot;/&gt;&lt;wsp:rsid wsp:val=&quot;00581128&quot;/&gt;&lt;wsp:rsid wsp:val=&quot;005C7E29&quot;/&gt;&lt;wsp:rsid wsp:val=&quot;006326C3&quot;/&gt;&lt;wsp:rsid wsp:val=&quot;00642058&quot;/&gt;&lt;wsp:rsid wsp:val=&quot;00646225&quot;/&gt;&lt;wsp:rsid wsp:val=&quot;00664BB3&quot;/&gt;&lt;wsp:rsid wsp:val=&quot;00684C87&quot;/&gt;&lt;wsp:rsid wsp:val=&quot;00693CAE&quot;/&gt;&lt;wsp:rsid wsp:val=&quot;006A6BD6&quot;/&gt;&lt;wsp:rsid wsp:val=&quot;006D00D0&quot;/&gt;&lt;wsp:rsid wsp:val=&quot;006E07FA&quot;/&gt;&lt;wsp:rsid wsp:val=&quot;00706D3B&quot;/&gt;&lt;wsp:rsid wsp:val=&quot;0075731D&quot;/&gt;&lt;wsp:rsid wsp:val=&quot;00770B61&quot;/&gt;&lt;wsp:rsid wsp:val=&quot;007B0917&quot;/&gt;&lt;wsp:rsid wsp:val=&quot;007E351B&quot;/&gt;&lt;wsp:rsid wsp:val=&quot;007F2725&quot;/&gt;&lt;wsp:rsid wsp:val=&quot;008154D5&quot;/&gt;&lt;wsp:rsid wsp:val=&quot;00822007&quot;/&gt;&lt;wsp:rsid wsp:val=&quot;0083008E&quot;/&gt;&lt;wsp:rsid wsp:val=&quot;008363EA&quot;/&gt;&lt;wsp:rsid wsp:val=&quot;00882884&quot;/&gt;&lt;wsp:rsid wsp:val=&quot;008D7A25&quot;/&gt;&lt;wsp:rsid wsp:val=&quot;008E5A8E&quot;/&gt;&lt;wsp:rsid wsp:val=&quot;008E6033&quot;/&gt;&lt;wsp:rsid wsp:val=&quot;0091633F&quot;/&gt;&lt;wsp:rsid wsp:val=&quot;00922737&quot;/&gt;&lt;wsp:rsid wsp:val=&quot;00942754&quot;/&gt;&lt;wsp:rsid wsp:val=&quot;00961DEC&quot;/&gt;&lt;wsp:rsid wsp:val=&quot;009847E7&quot;/&gt;&lt;wsp:rsid wsp:val=&quot;00993C96&quot;/&gt;&lt;wsp:rsid wsp:val=&quot;009B77CD&quot;/&gt;&lt;wsp:rsid wsp:val=&quot;00A07320&quot;/&gt;&lt;wsp:rsid wsp:val=&quot;00A20276&quot;/&gt;&lt;wsp:rsid wsp:val=&quot;00A43B59&quot;/&gt;&lt;wsp:rsid wsp:val=&quot;00A44AE6&quot;/&gt;&lt;wsp:rsid wsp:val=&quot;00A4785A&quot;/&gt;&lt;wsp:rsid wsp:val=&quot;00A504ED&quot;/&gt;&lt;wsp:rsid wsp:val=&quot;00A66879&quot;/&gt;&lt;wsp:rsid wsp:val=&quot;00A71D9B&quot;/&gt;&lt;wsp:rsid wsp:val=&quot;00AE3E87&quot;/&gt;&lt;wsp:rsid wsp:val=&quot;00B0667F&quot;/&gt;&lt;wsp:rsid wsp:val=&quot;00B169B9&quot;/&gt;&lt;wsp:rsid wsp:val=&quot;00B5540B&quot;/&gt;&lt;wsp:rsid wsp:val=&quot;00B66D59&quot;/&gt;&lt;wsp:rsid wsp:val=&quot;00BB2F4C&quot;/&gt;&lt;wsp:rsid wsp:val=&quot;00BC3333&quot;/&gt;&lt;wsp:rsid wsp:val=&quot;00BC4827&quot;/&gt;&lt;wsp:rsid wsp:val=&quot;00BE32A6&quot;/&gt;&lt;wsp:rsid wsp:val=&quot;00C74AAD&quot;/&gt;&lt;wsp:rsid wsp:val=&quot;00C93BBA&quot;/&gt;&lt;wsp:rsid wsp:val=&quot;00CA35C4&quot;/&gt;&lt;wsp:rsid wsp:val=&quot;00CD45BE&quot;/&gt;&lt;wsp:rsid wsp:val=&quot;00D00CE1&quot;/&gt;&lt;wsp:rsid wsp:val=&quot;00D07A7F&quot;/&gt;&lt;wsp:rsid wsp:val=&quot;00D15277&quot;/&gt;&lt;wsp:rsid wsp:val=&quot;00D62FDC&quot;/&gt;&lt;wsp:rsid wsp:val=&quot;00D75FEE&quot;/&gt;&lt;wsp:rsid wsp:val=&quot;00D87331&quot;/&gt;&lt;wsp:rsid wsp:val=&quot;00D912BC&quot;/&gt;&lt;wsp:rsid wsp:val=&quot;00DB1CD1&quot;/&gt;&lt;wsp:rsid wsp:val=&quot;00DB68E8&quot;/&gt;&lt;wsp:rsid wsp:val=&quot;00E03835&quot;/&gt;&lt;wsp:rsid wsp:val=&quot;00E33359&quot;/&gt;&lt;wsp:rsid wsp:val=&quot;00E34981&quot;/&gt;&lt;wsp:rsid wsp:val=&quot;00E54351&quot;/&gt;&lt;wsp:rsid wsp:val=&quot;00E928B5&quot;/&gt;&lt;wsp:rsid wsp:val=&quot;00E930FC&quot;/&gt;&lt;wsp:rsid wsp:val=&quot;00E96191&quot;/&gt;&lt;wsp:rsid wsp:val=&quot;00EB50E2&quot;/&gt;&lt;wsp:rsid wsp:val=&quot;00EB751D&quot;/&gt;&lt;wsp:rsid wsp:val=&quot;00EC326D&quot;/&gt;&lt;wsp:rsid wsp:val=&quot;00EE5DC7&quot;/&gt;&lt;wsp:rsid wsp:val=&quot;00EF0F57&quot;/&gt;&lt;wsp:rsid wsp:val=&quot;00F03A96&quot;/&gt;&lt;wsp:rsid wsp:val=&quot;00F35EA2&quot;/&gt;&lt;wsp:rsid wsp:val=&quot;00F47357&quot;/&gt;&lt;wsp:rsid wsp:val=&quot;00F66B88&quot;/&gt;&lt;wsp:rsid wsp:val=&quot;00F729B7&quot;/&gt;&lt;wsp:rsid wsp:val=&quot;00F95CD2&quot;/&gt;&lt;/wsp:rsids&gt;&lt;/w:docPr&gt;&lt;w:body&gt;&lt;wx:sect&gt;&lt;w:p wsp:rsidR=&quot;00000000&quot; wsp:rsidRDefault=&quot;000C77BB&quot; wsp:rsidP=&quot;000C77BB&quot;&gt;&lt;w:pPr&gt;&lt;w:ind w:first-line=&quot;420&quot;/&gt;&lt;/w:pPr&gt;&lt;m:oMathPara&gt;&lt;m:oMath&gt;&lt;m:r&gt;&lt;w:rPr&gt;&lt;w:rFonts w:ascii=&quot;Cambria Math&quot; w:h-ansi=&quot;Cambria Math&quot;/&gt;&lt;wx:font wx:val=&quot;Cambria Math&quot;/&gt;&lt;w:i/&gt;&lt;w:sz w:val=&quot;21&quot;/&gt;&lt;w:sz-cs w:val=&quot;21&quot;/&gt;&lt;/w:rPr&gt;&lt;m:t&gt;q&lt;/m:t&gt;&lt;/m:r&gt;&lt;m:d&gt;&lt;m:dPr&gt;&lt;m:ctrlPr&gt;&lt;w:rPr&gt;&lt;w:rFonts w:ascii=&quot;Cambria Math&quot; w:h-ansi=&quot;Cambria Math&quot;/&gt;&lt;wx:font wx:val=&quot;Cambria Math&quot;/&gt;&lt;w:sz w:val=&quot;21&quot;/&gt;&lt;w:sz-cs w:val=&quot;21&quot;/&gt;&lt;/w:rPr&gt;&lt;/m:ctrlPr&gt;&lt;/m:dPr&gt;&lt;m:e&gt;&lt;m:r&gt;&lt;w:rPr&gt;&lt;w:rFonts w:ascii=&quot;Cambria Math&quot; w:h-ansi=&quot;Cambria Math&quot;/&gt;&lt;wx:font wx:val=&quot;Cambria Math&quot;/&gt;&lt;w:i/&gt;&lt;w:sz w:val=&quot;21&quot;/&gt;&lt;w:sz-cs w:val=&quot;21&quot;/&gt;&lt;/w:rPr&gt;&lt;m:t&gt;r&lt;/m:t&gt;&lt;/m:r&gt;&lt;/m:e&gt;&lt;/m:d&gt;&lt;m:r&gt;&lt;m:rPr&gt;&lt;m:sty m:val=&quot;p&quot;/&gt;&lt;/m:rPr&gt;&lt;w:rPr&gt;&lt;w:rFonts w:ascii=&quot;Cambria Math&quot; w:h-ansi=&quot;Cambria Math&quot;/&gt;&lt;wx:font wx:val=&quot;Cambria Math&quot;/&gt;&lt;w:sz w:val=&quot;21&quot;/&gt;&lt;w:sz-cs w:val=&quot;21&quot;/&gt;&lt;/w:rPr&gt;&lt;m:t&gt;=&lt;/m:t&gt;&lt;/m:r&gt;&lt;m:f&gt;&lt;m:fPr&gt;&lt;m:ctrlPr&gt;&lt;w:rPr&gt;&lt;w:rFonts w:ascii=&quot;Cambria Math&quot; w:h-ansi=&quot;Cambria Math&quot;/&gt;&lt;wx:font wx:val=&quot;Cambria Math&quot;/&gt;&lt;w:sz w:val=&quot;21&quot;/&gt;&lt;w:sz-cs w:val=&quot;21&quot;/&gt;&lt;/w:rPr&gt;&lt;/m:ctrlPr&gt;&lt;/m:fPr&gt;&lt;m:num&gt;&lt;m:r&gt;&lt;m:rPr&gt;&lt;m:sty m:val=&quot;p&quot;/&gt;&lt;/m:rPr&gt;&lt;w:rPr&gt;&lt;w:rFonts w:ascii=&quot;Cambria Math&quot; w:h-ansi=&quot;Cambria Math&quot;/&gt;&lt;wx:font wx:val=&quot;Cambria Math&quot;/&gt;&lt;w:sz w:val=&quot;21&quot;/&gt;&lt;w:sz-cs w:val=&quot;21&quot;/&gt;&lt;/w:rPr&gt;&lt;m:t&gt;3&lt;/m:t&gt;&lt;/m:r&gt;&lt;m:r&gt;&lt;w:rPr&gt;&lt;w:rFonts w:ascii=&quot;Cambria Math&quot; w:h-ansi=&quot;Cambria Math&quot;/&gt;&lt;wx:font wx:val=&quot;Cambria Math&quot;/&gt;&lt;w:i/&gt;&lt;w:sz w:val=&quot;21&quot;/&gt;&lt;w:sz-cs w:val=&quot;21&quot;/&gt;&lt;/w:rPr&gt;&lt;m:t&gt;ηp&lt;/m:t&gt;&lt;/m:r&gt;&lt;/m:num&gt;&lt;m:den&gt;&lt;m:r&gt;&lt;w:rPr&gt;&lt;w:rFonts w:ascii=&quot;Cambria Math&quot; w:h-ansi=&quot;Cambria Math&quot;/&gt;&lt;wx:font wx:val=&quot;Cambria Math&quot;/&gt;&lt;w:i/&gt;&lt;w:sz w:val=&quot;21&quot;/&gt;&lt;w:sz-cs w:val=&quot;21&quot;/&gt;&lt;/w:rPr&gt;&lt;m:t&gt;π&lt;/m:t&gt;&lt;/m:r&gt;&lt;m:sSup&gt;&lt;m:sSupPr&gt;&lt;m:ctrlPr&gt;&lt;:v:v:v:v:v:v:v:vw:alrPr&gt;&lt;w:rFonts w:ascii=&quot;Cambria Math&quot; w:h-ansi=&quot;Cambria Math&quot;/&gt;&lt;wx:font wx:val=&quot;Cambria Math&quot;/&gt;&lt;w:sz w:val=&quot;21&quot;/&gt;&lt;w:sz-cs w:val=&quot;21&quot;/&gt;&lt;/w:rPr&gt;&lt;/m:ctrlPr&gt;&lt;/m:sSupPr&gt;&lt;m:e&gt;&lt;m:r&gt;&lt;w:rPr&gt;&lt;w:rFonts w:ascii=&quot;Cambria Math&quot; w:h-ansi=&quot;Cambria Math&quot;/&gt;&lt;wx:font wx:val=&quot;Cambria Math&quot;/&gt;&lt;w:i/&gt;&lt;w:sz w:val=&quot;21&quot;/&gt;&lt;w:sz-cs w:val=&quot;21&quot;/&gt;&lt;/w:rPr&gt;&lt;m:t&gt;R&lt;/m:t&gt;&lt;/m:r&gt;&lt;/m:e&gt;&lt;m:sup&gt;&lt;m:r&gt;&lt;m:rPr&gt;&lt;m:sty m:val=&quot;p&quot;/&gt;&lt;/m:rPr&gt;&lt;w:rPr&gt;&lt;w:rFonts w:ascii=&quot;Cambria Math&quot; w:h-ansi=&quot;Cambria Math&quot;/&gt;&lt;wx:font wx:val=&quot;Cambria Math&quot;/&gt;&lt;w:sz w:val=&quot;21&quot;/&gt;&lt;w:sz-cs w:val=&quot;21&quot;/&gt;&lt;/w:rPr&gt;&lt;m:t&gt;2&lt;/m:t&gt;&lt;/m:r&gt;&lt;/m:sup&gt;&lt;/m:sSup&gt;&lt;/m:den&gt;&lt;/m:f&gt;&lt;m:func&gt;&lt;m:funcPr&gt;&lt;m:ctrlPr&gt;&lt;w:rPr&gt;&lt;w:rFonts w:ascii=&quot;Cambria Math&quot; w:h-ansi=&quot;Cambria Math&quot;/&gt;&lt;wx:font wx:val=&quot;Cambria Math&quot;/&gt;&lt;w:sz w:val=&quot;21&quot;/&gt;&lt;w:sz-cs w:val=&quot;21&quot;/&gt;&lt;/w:rPr&gt;&lt;/m:ctrlPr&gt;&lt;/m:funcPr&gt;&lt;m:fName&gt;&lt;m:r&gt;&lt;w:rPr&gt;&lt;w:rFonts w:ascii=&quot;Cambria Math&quot; w:h-ansi=&quot;Cambria Math&quot;/&gt;&lt;wx:font wx:val=&quot;Cambria Math&quot;/&gt;&lt;w:i/&gt;&lt;w:sz w:val=&quot;21&quot;/&gt;&lt;w:sz-cs w:val=&quot;21&quot;/&gt;&lt;/w:rPr&gt;&lt;m:t&gt;exp&lt;/m:t&gt;&lt;/m:r&gt;&lt;/m:fName&gt;&lt;m:e&gt;&lt;m:r&gt;&lt;m:rPr&gt;&lt;m:sty m:val=&quot;p&quot;/&gt;&lt;/m:rPr&gt;&lt;w:rPr&gt;&lt;w:rFonts w:ascii=&quot;Cambria Math&quot; w:h-ansi=&quot;Cambria Math&quot;/&gt;&lt;wx:font wx:val=&quot;Cambria Math&quot;/&gt;&lt;w:sz w:val=&quot;21&quot;/&gt;&lt;w:sz-cs w:val=&quot;21&quot;/&gt;&lt;/w:rPr&gt;&lt;m:t&gt;(&lt;/m:t&gt;&lt;/m:r&gt;&lt;/m:e&gt;&lt;/m:func&gt;&lt;m:r&gt;&lt;m:rPr&gt;&lt;m:sty m:val=&quot;p&quot;/&gt;&lt;/m:rPr&gt;&lt;w:rPr&gt;&lt;w:rFonts w:ascii=&quot;Cambria Math&quot; w:h-ansi=&quot;Cambria Math&quot;/&gt;&lt;wx:font wx:val=&quot;Cambria Math&quot;/&gt;&lt;w:sz w:val=&quot;21&quot;/&gt;&lt;w:sz-cs w:val=&quot;21&quot;/&gt;&lt;/w:rPr&gt;&lt;m:t&gt;-&lt;/m:t&gt;&lt;/m:r&gt;&lt;m:f&gt;&lt;m:fPr&gt;&lt;m:ctrlPr&gt;&lt;w:rPr&gt;&lt;w:rFonts w:ascii=&quot;Cambria Math&quot; w:h-ansi=&quot;Cambria Math&quot;/&gt;&lt;wx:font wx:val=&quot;Cambria Math&quot;/&gt;&lt;w:sz w:val=&quot;21&quot;/&gt;&lt;w:sz-cs w:val=&quot;21&quot;/&gt;&lt;/w:rPr&gt;&lt;/m:ctrlPr&gt;&lt;/m:fPr&gt;&lt;m:num&gt;&lt;m:r&gt;&lt;m:rPr&gt;&lt;m:sty m:val=&quot;p&quot;/&gt;&lt;/m:rPr&gt;&lt;w:rPr&gt;&lt;w:rFonts w:ascii=&quot;Cambria Math&quot; w:h-ansi=&quot;Cambria Math&quot;/&gt;&lt;wx:font wx:val=&quot;Cambria Math&quot;/&gt;&lt;w:sz w:val=&quot;21&quot;/&gt;&lt;w:sz-cs w:val=&quot;21&quot;/&gt;&lt;/w:rPr&gt;&lt;m:t&gt;3&lt;/m:t&gt;&lt;/m:r&gt;&lt;m:sSup&gt;&lt;m:sSupPr&gt;&lt;m:ctrlPr&gt;&lt;w:rPr&gt;&lt;w:rFonts w:ascii=&quot;Cambria Math&quot; w:h-ansi=&quot;Cambria Math&quot;/&gt;&lt;wx:font wx:val=&quot;Cambria Math&quot;/&gt;&lt;w:sz w:val=&quot;21&quot;/&gt;&lt;w:sz-cs w:val=&quot;21&quot;/&gt;&lt;/w:rPr&gt;&lt;/m:ctrlPr&gt;&lt;/m:sSupPr&gt;&lt;m:e&gt;&lt;m:r&gt;&lt;w:rPr&gt;&lt;w:rFonts w:ascii=&quot;Cambria Math&quot; w:h-ansi=&quot;Cambria Math&quot;/&gt;&lt;wx:font wx:val=&quot;Cambria Math&quot;/&gt;&lt;w:i/&gt;&lt;w:sz w:val=&quot;21&quot;/&gt;&lt;w:sz-cs w:val=&quot;21&quot;/&gt;&lt;/w:rPr&gt;&lt;m:t&gt;r&lt;/m:t&gt;&lt;/m:r&gt;&lt;/m:e&gt;&lt;m:sup&gt;&lt;m:r&gt;&lt;m:rPr&gt;&lt;m:sty m:val=&quot;p&quot;/&gt;&lt;/m:rPr&gt;&lt;w:rPr&gt;&lt;w:rFonts w:ascii=&quot;Cambria Math&quot; w:h-ansi=&quot;Cambria Math&quot;/&gt;&lt;wx:font wx:val=&quot;Cambria Math&quot;/&gt;&lt;w:sz w:val=&quot;21&quot;/&gt;&lt;w:sz-cs w:val=&quot;21&quot;/&gt;&lt;/w:rPr&gt;&lt;m:t&gt;2&lt;/m:t&gt;&lt;/m:r&gt;&lt;/m:sup&gt;&lt;/m:sSup&gt;&lt;/m:num&gt;&lt;m:den&gt;&lt;m:sSup&gt;&lt;m:sSupPr&gt;&lt;m:ctrlPr&gt;&lt;w:rPr&gt;&lt;w:rFonts w:ascii=&quot;Cambria Math&quot; w:h-ansi=&quot;Cambria Math&quot;/&gt;&lt;wx:font wx:val=&quot;Cambria Math&quot;/&gt;&lt;w:sz w:val=&quot;21&quot;/&gt;&lt;w:sz-cs w:val=&quot;21&quot;/&gt;&lt;/w:rPr&gt;&lt;/m:ctrlPr&gt;&lt;/m:sSupPr&gt;&lt;m:e&gt;&lt;m:r&gt;&lt;w:rPr&gt;&lt;w:rFonts w:ascii=&quot;Cambria Math&quot; w:h-ansi=&quot;Cambria Math&quot;/&gt;&lt;wx:font wx:val=&quot;Cambria Math&quot;/&gt;&lt;w:i/&gt;&lt;w:sz w:val=&quot;21&quot;/&gt;&lt;w:sz-cs w:val=&quot;21&quot;/&gt;&lt;/w:rPr&gt;&lt;m:t&gt;R&lt;/m:t&gt;&lt;/m:r&gt;&lt;/m:e&gt;&lt;m:sup&gt;&lt;m:r&gt;&lt;m:rPr&gt;&lt;m:sty m:val=&quot;p&quot;/&gt;&lt;/m:rPr&gt;&lt;w:rPr&gt;&lt;w:rFonts w:ascii=&quot;Cambria Math&quot; w:h-ansi=&quot;Cambria Math&quot;/&gt;&lt;wx:font wx:val=&quot;Cambria Math&quot;/&gt;&lt;w:sz w:val=&quot;21&quot;/&gt;&lt;w:sz-cs w:val=&quot;21&quot;/&gt;&lt;/w:rPr&gt;&lt;m:t&gt;2&lt;/m:t&gt;&lt;/m:r&gt;&lt;/m:sup&gt;&lt;/m:sSup&gt;&lt;/m:den&gt;&lt;/m:f&gt;&lt;m:r&gt;&lt;m:rPr&gt;&lt;m:sty m:val=&quot;p&quot;/&gt;&lt;/m:rPr&gt;&lt;w:rPr&gt;&lt;w:rFonts w:ascii=&quot;Cambria Math&quot; w:h-ansi=&quot;Cambria Math&quot;/&gt;&lt;wx:font wx:val=&quot;Cambria Math&quot;/&gt;&lt;w:sz w:val=&quot;21&quot;/&gt;&lt;w:sz-cs w:val=&quot;21&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7" chromakey="#FFFFFF" o:title=""/>
            <o:lock v:ext="edit" aspectratio="t"/>
            <w10:wrap type="none"/>
            <w10:anchorlock/>
          </v:shape>
        </w:pict>
      </w:r>
      <w:r>
        <w:instrText xml:space="preserve"> </w:instrText>
      </w:r>
      <w:r>
        <w:fldChar w:fldCharType="separate"/>
      </w:r>
      <w:r>
        <w:fldChar w:fldCharType="end"/>
      </w:r>
    </w:p>
    <w:p w14:paraId="4685FBBC">
      <w:pPr>
        <w:spacing w:line="276" w:lineRule="auto"/>
        <w:ind w:firstLine="420"/>
        <w:rPr>
          <w:sz w:val="21"/>
          <w:szCs w:val="21"/>
        </w:rPr>
      </w:pPr>
      <w:bookmarkStart w:id="4" w:name="OLE_LINK7"/>
      <w:r>
        <w:rPr>
          <w:sz w:val="21"/>
          <w:szCs w:val="21"/>
        </w:rPr>
        <w:t xml:space="preserve">In the equation, Q represents the heat source power in W; </w:t>
      </w:r>
      <w:r>
        <w:rPr>
          <w:position w:val="-6"/>
          <w:sz w:val="21"/>
          <w:szCs w:val="21"/>
        </w:rPr>
        <w:object>
          <v:shape id="_x0000_i1031" o:spt="75" type="#_x0000_t75" style="height:11.95pt;width:43.75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26" r:id="rId18">
            <o:LockedField>false</o:LockedField>
          </o:OLEObject>
        </w:object>
      </w:r>
      <w:r>
        <w:rPr>
          <w:sz w:val="21"/>
          <w:szCs w:val="21"/>
        </w:rPr>
        <w:t xml:space="preserve">mm denotes the laser beam focusing radius; b represents the heat source depth in m; </w:t>
      </w:r>
      <w:r>
        <w:rPr>
          <w:position w:val="-10"/>
          <w:sz w:val="21"/>
          <w:szCs w:val="21"/>
        </w:rPr>
        <w:object>
          <v:shape id="_x0000_i1032" o:spt="75" type="#_x0000_t75" style="height:14.15pt;width:28.7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27" r:id="rId20">
            <o:LockedField>false</o:LockedField>
          </o:OLEObject>
        </w:object>
      </w:r>
      <w:r>
        <w:rPr>
          <w:sz w:val="21"/>
          <w:szCs w:val="21"/>
        </w:rPr>
        <w:t xml:space="preserve">mm is the welding starting point; v denotes the welding speed in m/s; t represents time in s; and </w:t>
      </w:r>
      <w:r>
        <w:rPr>
          <w:position w:val="-6"/>
          <w:sz w:val="21"/>
          <w:szCs w:val="21"/>
        </w:rPr>
        <w:object>
          <v:shape id="_x0000_i1033" o:spt="75" type="#_x0000_t75" style="height:12.8pt;width:26.95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28" r:id="rId22">
            <o:LockedField>false</o:LockedField>
          </o:OLEObject>
        </w:object>
      </w:r>
      <w:r>
        <w:rPr>
          <w:sz w:val="21"/>
          <w:szCs w:val="21"/>
        </w:rPr>
        <w:t>mm indicates the total thickness of the workpiece.</w:t>
      </w:r>
    </w:p>
    <w:bookmarkEnd w:id="4"/>
    <w:p w14:paraId="1D1743D3">
      <w:pPr>
        <w:ind w:firstLine="0" w:firstLineChars="0"/>
        <w:jc w:val="center"/>
        <w:rPr>
          <w:sz w:val="21"/>
          <w:szCs w:val="21"/>
        </w:rPr>
      </w:pPr>
      <w:r>
        <w:rPr>
          <w:sz w:val="20"/>
        </w:rPr>
        <w:drawing>
          <wp:inline distT="0" distB="0" distL="114300" distR="114300">
            <wp:extent cx="2743835" cy="1175385"/>
            <wp:effectExtent l="0" t="0" r="18415" b="5715"/>
            <wp:docPr id="14"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2"/>
                    <pic:cNvPicPr>
                      <a:picLocks noChangeAspect="1"/>
                    </pic:cNvPicPr>
                  </pic:nvPicPr>
                  <pic:blipFill>
                    <a:blip r:embed="rId24"/>
                    <a:stretch>
                      <a:fillRect/>
                    </a:stretch>
                  </pic:blipFill>
                  <pic:spPr>
                    <a:xfrm>
                      <a:off x="0" y="0"/>
                      <a:ext cx="2743835" cy="1175385"/>
                    </a:xfrm>
                    <a:prstGeom prst="rect">
                      <a:avLst/>
                    </a:prstGeom>
                    <a:noFill/>
                    <a:ln>
                      <a:noFill/>
                    </a:ln>
                  </pic:spPr>
                </pic:pic>
              </a:graphicData>
            </a:graphic>
          </wp:inline>
        </w:drawing>
      </w:r>
    </w:p>
    <w:p w14:paraId="2091B80B">
      <w:pPr>
        <w:wordWrap w:val="0"/>
        <w:topLinePunct/>
        <w:spacing w:line="240" w:lineRule="auto"/>
        <w:ind w:firstLine="0" w:firstLineChars="0"/>
        <w:jc w:val="center"/>
        <w:rPr>
          <w:b/>
          <w:bCs/>
          <w:sz w:val="18"/>
          <w:szCs w:val="18"/>
        </w:rPr>
      </w:pPr>
      <w:r>
        <w:rPr>
          <w:rFonts w:hint="eastAsia"/>
          <w:b/>
          <w:bCs/>
          <w:sz w:val="18"/>
          <w:szCs w:val="18"/>
        </w:rPr>
        <w:t xml:space="preserve">Fig.4 </w:t>
      </w:r>
      <w:r>
        <w:rPr>
          <w:sz w:val="18"/>
          <w:szCs w:val="18"/>
        </w:rPr>
        <w:t>Schematic diagram of heat source moving loading</w:t>
      </w:r>
    </w:p>
    <w:p w14:paraId="114E2EED">
      <w:pPr>
        <w:numPr>
          <w:ilvl w:val="0"/>
          <w:numId w:val="1"/>
        </w:numPr>
        <w:wordWrap w:val="0"/>
        <w:spacing w:line="276" w:lineRule="auto"/>
        <w:ind w:firstLineChars="0"/>
        <w:rPr>
          <w:b/>
          <w:bCs/>
          <w:szCs w:val="24"/>
        </w:rPr>
      </w:pPr>
      <w:r>
        <w:rPr>
          <w:rFonts w:hint="eastAsia"/>
          <w:b/>
          <w:bCs/>
          <w:szCs w:val="24"/>
        </w:rPr>
        <w:t>Research on Heat and Mass Transfer Processes</w:t>
      </w:r>
    </w:p>
    <w:p w14:paraId="7F6B0506">
      <w:pPr>
        <w:numPr>
          <w:ilvl w:val="1"/>
          <w:numId w:val="1"/>
        </w:numPr>
        <w:wordWrap w:val="0"/>
        <w:spacing w:line="276" w:lineRule="auto"/>
        <w:ind w:left="0" w:firstLineChars="0"/>
        <w:rPr>
          <w:b/>
          <w:bCs/>
          <w:sz w:val="21"/>
          <w:szCs w:val="21"/>
        </w:rPr>
      </w:pPr>
      <w:r>
        <w:rPr>
          <w:rFonts w:hint="eastAsia"/>
          <w:b/>
          <w:bCs/>
          <w:sz w:val="21"/>
          <w:szCs w:val="21"/>
        </w:rPr>
        <w:t>Simulation, Calculation, and Analysis of Temperature Field in Laser Deep Penetration Welding of Copper-Aluminum Dissimilar Metals</w:t>
      </w:r>
    </w:p>
    <w:p w14:paraId="47ACA998">
      <w:pPr>
        <w:numPr>
          <w:ilvl w:val="2"/>
          <w:numId w:val="1"/>
        </w:numPr>
        <w:spacing w:line="276" w:lineRule="auto"/>
        <w:ind w:firstLineChars="0"/>
        <w:rPr>
          <w:b/>
          <w:bCs/>
          <w:sz w:val="18"/>
          <w:szCs w:val="18"/>
        </w:rPr>
      </w:pPr>
      <w:r>
        <w:rPr>
          <w:rFonts w:hint="eastAsia"/>
          <w:b/>
          <w:bCs/>
          <w:sz w:val="18"/>
          <w:szCs w:val="18"/>
        </w:rPr>
        <w:t>Verification of Heat Source Model</w:t>
      </w:r>
    </w:p>
    <w:p w14:paraId="45F31425">
      <w:pPr>
        <w:tabs>
          <w:tab w:val="left" w:pos="985"/>
        </w:tabs>
        <w:spacing w:line="240" w:lineRule="auto"/>
        <w:ind w:firstLine="420"/>
        <w:outlineLvl w:val="2"/>
        <w:rPr>
          <w:sz w:val="21"/>
          <w:szCs w:val="21"/>
        </w:rPr>
      </w:pPr>
      <w:r>
        <w:rPr>
          <w:sz w:val="21"/>
          <w:szCs w:val="21"/>
        </w:rPr>
        <w:t>The comparison between the simulated cross-section when the laser beam is moved to the weld center and the experimental weld cross-section is shown in Figure 5. Obviously, the boundary lines basically coincide, the shape and size of the simulated molten pool are close to those of the actual weld, and the temperature in this area exceeds the melting point of the base metal. It indicates that the selected double-ellipsoid heat source model is reasonable for simulating the laser deep penetration welding process of thin-plate copper/aluminum dissimilar metals, and meanwhile verifies the reliability of the numerical simulation in this paper.</w:t>
      </w:r>
    </w:p>
    <w:p w14:paraId="1958A6CF">
      <w:pPr>
        <w:tabs>
          <w:tab w:val="left" w:pos="985"/>
        </w:tabs>
        <w:topLinePunct/>
        <w:spacing w:line="240" w:lineRule="auto"/>
        <w:ind w:firstLine="0" w:firstLineChars="0"/>
        <w:jc w:val="center"/>
        <w:outlineLvl w:val="2"/>
        <w:rPr>
          <w:b/>
          <w:spacing w:val="-10"/>
          <w:sz w:val="21"/>
        </w:rPr>
      </w:pPr>
      <w:r>
        <w:rPr>
          <w:sz w:val="20"/>
        </w:rPr>
        <w:drawing>
          <wp:inline distT="0" distB="0" distL="114300" distR="114300">
            <wp:extent cx="2174875" cy="940435"/>
            <wp:effectExtent l="0" t="0" r="0" b="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25"/>
                    <a:stretch>
                      <a:fillRect/>
                    </a:stretch>
                  </pic:blipFill>
                  <pic:spPr>
                    <a:xfrm>
                      <a:off x="0" y="0"/>
                      <a:ext cx="2189502" cy="947243"/>
                    </a:xfrm>
                    <a:prstGeom prst="rect">
                      <a:avLst/>
                    </a:prstGeom>
                    <a:noFill/>
                    <a:ln>
                      <a:noFill/>
                    </a:ln>
                  </pic:spPr>
                </pic:pic>
              </a:graphicData>
            </a:graphic>
          </wp:inline>
        </w:drawing>
      </w:r>
    </w:p>
    <w:p w14:paraId="79042518">
      <w:pPr>
        <w:tabs>
          <w:tab w:val="left" w:pos="985"/>
        </w:tabs>
        <w:wordWrap w:val="0"/>
        <w:topLinePunct/>
        <w:spacing w:line="240" w:lineRule="auto"/>
        <w:ind w:firstLine="0" w:firstLineChars="0"/>
        <w:jc w:val="center"/>
        <w:outlineLvl w:val="2"/>
        <w:rPr>
          <w:b/>
          <w:spacing w:val="-10"/>
          <w:sz w:val="21"/>
        </w:rPr>
      </w:pPr>
      <w:r>
        <w:rPr>
          <w:b/>
          <w:bCs/>
          <w:color w:val="000000"/>
          <w:sz w:val="18"/>
          <w:szCs w:val="18"/>
        </w:rPr>
        <w:t>Fig.</w:t>
      </w:r>
      <w:r>
        <w:rPr>
          <w:rFonts w:hint="eastAsia"/>
          <w:b/>
          <w:bCs/>
          <w:color w:val="000000"/>
          <w:sz w:val="18"/>
          <w:szCs w:val="18"/>
        </w:rPr>
        <w:t>5</w:t>
      </w:r>
      <w:r>
        <w:rPr>
          <w:rFonts w:hint="eastAsia"/>
          <w:b/>
          <w:bCs/>
          <w:color w:val="000000"/>
          <w:sz w:val="20"/>
          <w:szCs w:val="20"/>
        </w:rPr>
        <w:t xml:space="preserve"> </w:t>
      </w:r>
      <w:r>
        <w:rPr>
          <w:sz w:val="18"/>
          <w:szCs w:val="18"/>
        </w:rPr>
        <w:t>Comparison between simulated and tested molten pool morphology</w:t>
      </w:r>
    </w:p>
    <w:p w14:paraId="2F0FF804">
      <w:pPr>
        <w:numPr>
          <w:ilvl w:val="2"/>
          <w:numId w:val="1"/>
        </w:numPr>
        <w:spacing w:line="276" w:lineRule="auto"/>
        <w:ind w:firstLineChars="0"/>
        <w:rPr>
          <w:b/>
          <w:bCs/>
          <w:sz w:val="18"/>
          <w:szCs w:val="18"/>
        </w:rPr>
      </w:pPr>
      <w:r>
        <w:rPr>
          <w:rFonts w:hint="eastAsia"/>
          <w:b/>
          <w:bCs/>
          <w:sz w:val="18"/>
          <w:szCs w:val="18"/>
        </w:rPr>
        <w:t>Heat Transfer Process in Laser Deep Penetration Welding</w:t>
      </w:r>
    </w:p>
    <w:p w14:paraId="12AA7351">
      <w:pPr>
        <w:ind w:firstLine="420"/>
        <w:outlineLvl w:val="2"/>
        <w:rPr>
          <w:sz w:val="21"/>
          <w:szCs w:val="21"/>
        </w:rPr>
      </w:pPr>
      <w:r>
        <w:rPr>
          <w:sz w:val="21"/>
          <w:szCs w:val="21"/>
        </w:rPr>
        <w:t>The numerical simulation results of the temperature field show that the heat transfer processes under different parameters in this paper have similarity. To make the characteristics of heat and mass transfer more obvious, this section selects the 5th group of parameters with the highest laser power (</w:t>
      </w:r>
      <w:r>
        <w:rPr>
          <w:position w:val="-6"/>
          <w:sz w:val="21"/>
          <w:szCs w:val="21"/>
        </w:rPr>
        <w:object>
          <v:shape id="_x0000_i1034" o:spt="75" type="#_x0000_t75" style="height:11.95pt;width:34.9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29" r:id="rId26">
            <o:LockedField>false</o:LockedField>
          </o:OLEObject>
        </w:object>
      </w:r>
      <w:r>
        <w:rPr>
          <w:sz w:val="21"/>
          <w:szCs w:val="21"/>
        </w:rPr>
        <w:t xml:space="preserve">W, </w:t>
      </w:r>
      <w:r>
        <w:rPr>
          <w:position w:val="-6"/>
          <w:sz w:val="21"/>
          <w:szCs w:val="21"/>
        </w:rPr>
        <w:object>
          <v:shape id="_x0000_i1035" o:spt="75" type="#_x0000_t75" style="height:11.95pt;width:28.7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0" r:id="rId28">
            <o:LockedField>false</o:LockedField>
          </o:OLEObject>
        </w:object>
      </w:r>
      <w:r>
        <w:rPr>
          <w:sz w:val="21"/>
          <w:szCs w:val="21"/>
        </w:rPr>
        <w:t>mm/s) to analyze the heat and mass transfer process of laser deep penetration welding of thin-plate copper-aluminum dissimilar metals. To analyze the temperature variation law during the welding process more clearly, the heat source is selected to move along the weld direction on the upper surface to three time points A, B, and C to study the temperature field distribution and the corresponding cross-sectional heat transfer process nephograms. The corresponding temperature distribution nephograms and cross-sectional heat transfer process nephograms are shown in Figure 6 and Figure 7.</w:t>
      </w:r>
    </w:p>
    <w:p w14:paraId="3016B74E">
      <w:pPr>
        <w:topLinePunct/>
        <w:ind w:left="480" w:leftChars="200" w:firstLine="0" w:firstLineChars="0"/>
        <w:jc w:val="center"/>
        <w:outlineLvl w:val="2"/>
        <w:rPr>
          <w:sz w:val="21"/>
          <w:szCs w:val="21"/>
        </w:rPr>
      </w:pPr>
      <w:r>
        <w:rPr>
          <w:rFonts w:hint="eastAsia"/>
          <w:sz w:val="21"/>
          <w:szCs w:val="21"/>
        </w:rPr>
        <w:drawing>
          <wp:inline distT="0" distB="0" distL="114300" distR="114300">
            <wp:extent cx="2499360" cy="656590"/>
            <wp:effectExtent l="0" t="0" r="15240" b="10160"/>
            <wp:docPr id="7" name="图片 29" descr="资源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9" descr="资源 72"/>
                    <pic:cNvPicPr>
                      <a:picLocks noChangeAspect="1"/>
                    </pic:cNvPicPr>
                  </pic:nvPicPr>
                  <pic:blipFill>
                    <a:blip r:embed="rId30"/>
                    <a:stretch>
                      <a:fillRect/>
                    </a:stretch>
                  </pic:blipFill>
                  <pic:spPr>
                    <a:xfrm>
                      <a:off x="0" y="0"/>
                      <a:ext cx="2499360" cy="656590"/>
                    </a:xfrm>
                    <a:prstGeom prst="rect">
                      <a:avLst/>
                    </a:prstGeom>
                    <a:noFill/>
                    <a:ln>
                      <a:noFill/>
                    </a:ln>
                  </pic:spPr>
                </pic:pic>
              </a:graphicData>
            </a:graphic>
          </wp:inline>
        </w:drawing>
      </w:r>
    </w:p>
    <w:p w14:paraId="37EABB1D">
      <w:pPr>
        <w:numPr>
          <w:ilvl w:val="0"/>
          <w:numId w:val="2"/>
        </w:numPr>
        <w:tabs>
          <w:tab w:val="left" w:pos="985"/>
        </w:tabs>
        <w:ind w:firstLine="420"/>
        <w:jc w:val="center"/>
        <w:rPr>
          <w:sz w:val="21"/>
          <w:szCs w:val="21"/>
        </w:rPr>
      </w:pPr>
      <w:r>
        <w:rPr>
          <w:position w:val="-10"/>
          <w:sz w:val="21"/>
          <w:szCs w:val="21"/>
        </w:rPr>
        <w:object>
          <v:shape id="_x0000_i1036" o:spt="75" type="#_x0000_t75" style="height:13.7pt;width:42.85pt;" o:ole="t" filled="f" o:preferrelative="t" stroked="f" coordsize="21600,21600">
            <v:path/>
            <v:fill on="f" focussize="0,0"/>
            <v:stroke on="f" joinstyle="miter"/>
            <v:imagedata r:id="rId32" o:title=""/>
            <o:lock v:ext="edit" aspectratio="t"/>
            <w10:wrap type="none"/>
            <w10:anchorlock/>
          </v:shape>
          <o:OLEObject Type="Embed" ProgID="Equation.DSMT4" ShapeID="_x0000_i1036" DrawAspect="Content" ObjectID="_1468075731" r:id="rId31">
            <o:LockedField>false</o:LockedField>
          </o:OLEObject>
        </w:object>
      </w:r>
      <w:r>
        <w:rPr>
          <w:rFonts w:hint="eastAsia"/>
          <w:sz w:val="21"/>
          <w:szCs w:val="21"/>
        </w:rPr>
        <w:t>s</w:t>
      </w:r>
    </w:p>
    <w:p w14:paraId="23943D57">
      <w:pPr>
        <w:tabs>
          <w:tab w:val="left" w:pos="985"/>
        </w:tabs>
        <w:ind w:left="420" w:firstLine="0" w:firstLineChars="0"/>
        <w:jc w:val="center"/>
        <w:rPr>
          <w:sz w:val="21"/>
          <w:szCs w:val="21"/>
        </w:rPr>
      </w:pPr>
      <w:r>
        <w:rPr>
          <w:rFonts w:hint="eastAsia"/>
          <w:sz w:val="21"/>
          <w:szCs w:val="21"/>
        </w:rPr>
        <w:drawing>
          <wp:inline distT="0" distB="0" distL="114300" distR="114300">
            <wp:extent cx="2499360" cy="659130"/>
            <wp:effectExtent l="0" t="0" r="0" b="7620"/>
            <wp:docPr id="6" name="图片 28" descr="资源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8" descr="资源 62"/>
                    <pic:cNvPicPr>
                      <a:picLocks noChangeAspect="1"/>
                    </pic:cNvPicPr>
                  </pic:nvPicPr>
                  <pic:blipFill>
                    <a:blip r:embed="rId33"/>
                    <a:stretch>
                      <a:fillRect/>
                    </a:stretch>
                  </pic:blipFill>
                  <pic:spPr>
                    <a:xfrm>
                      <a:off x="0" y="0"/>
                      <a:ext cx="2499360" cy="659130"/>
                    </a:xfrm>
                    <a:prstGeom prst="rect">
                      <a:avLst/>
                    </a:prstGeom>
                    <a:noFill/>
                    <a:ln>
                      <a:noFill/>
                    </a:ln>
                  </pic:spPr>
                </pic:pic>
              </a:graphicData>
            </a:graphic>
          </wp:inline>
        </w:drawing>
      </w:r>
    </w:p>
    <w:p w14:paraId="2D093595">
      <w:pPr>
        <w:numPr>
          <w:ilvl w:val="0"/>
          <w:numId w:val="2"/>
        </w:numPr>
        <w:tabs>
          <w:tab w:val="left" w:pos="985"/>
        </w:tabs>
        <w:ind w:firstLine="420"/>
        <w:jc w:val="center"/>
        <w:rPr>
          <w:sz w:val="21"/>
          <w:szCs w:val="21"/>
        </w:rPr>
      </w:pPr>
      <w:r>
        <w:rPr>
          <w:position w:val="-10"/>
          <w:sz w:val="21"/>
          <w:szCs w:val="21"/>
        </w:rPr>
        <w:object>
          <v:shape id="_x0000_i1037" o:spt="75" type="#_x0000_t75" style="height:13.7pt;width:44.15pt;" o:ole="t" filled="f" o:preferrelative="t" stroked="f" coordsize="21600,21600">
            <v:path/>
            <v:fill on="f" focussize="0,0"/>
            <v:stroke on="f" joinstyle="miter"/>
            <v:imagedata r:id="rId35" o:title=""/>
            <o:lock v:ext="edit" aspectratio="t"/>
            <w10:wrap type="none"/>
            <w10:anchorlock/>
          </v:shape>
          <o:OLEObject Type="Embed" ProgID="Equation.DSMT4" ShapeID="_x0000_i1037" DrawAspect="Content" ObjectID="_1468075732" r:id="rId34">
            <o:LockedField>false</o:LockedField>
          </o:OLEObject>
        </w:object>
      </w:r>
    </w:p>
    <w:p w14:paraId="23C14B2F">
      <w:pPr>
        <w:tabs>
          <w:tab w:val="left" w:pos="985"/>
        </w:tabs>
        <w:ind w:left="420" w:firstLine="0" w:firstLineChars="0"/>
        <w:jc w:val="center"/>
        <w:rPr>
          <w:sz w:val="21"/>
          <w:szCs w:val="21"/>
        </w:rPr>
      </w:pPr>
      <w:r>
        <w:rPr>
          <w:sz w:val="21"/>
          <w:szCs w:val="21"/>
        </w:rPr>
        <w:drawing>
          <wp:inline distT="0" distB="0" distL="114300" distR="114300">
            <wp:extent cx="2497455" cy="659130"/>
            <wp:effectExtent l="0" t="0" r="17145" b="7620"/>
            <wp:docPr id="8" name="图片 30" descr="资源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0" descr="资源 52"/>
                    <pic:cNvPicPr>
                      <a:picLocks noChangeAspect="1"/>
                    </pic:cNvPicPr>
                  </pic:nvPicPr>
                  <pic:blipFill>
                    <a:blip r:embed="rId36"/>
                    <a:stretch>
                      <a:fillRect/>
                    </a:stretch>
                  </pic:blipFill>
                  <pic:spPr>
                    <a:xfrm>
                      <a:off x="0" y="0"/>
                      <a:ext cx="2497455" cy="659130"/>
                    </a:xfrm>
                    <a:prstGeom prst="rect">
                      <a:avLst/>
                    </a:prstGeom>
                    <a:noFill/>
                    <a:ln>
                      <a:noFill/>
                    </a:ln>
                  </pic:spPr>
                </pic:pic>
              </a:graphicData>
            </a:graphic>
          </wp:inline>
        </w:drawing>
      </w:r>
    </w:p>
    <w:p w14:paraId="496DFDD9">
      <w:pPr>
        <w:numPr>
          <w:ilvl w:val="0"/>
          <w:numId w:val="2"/>
        </w:numPr>
        <w:tabs>
          <w:tab w:val="left" w:pos="985"/>
        </w:tabs>
        <w:ind w:firstLine="420"/>
        <w:jc w:val="center"/>
        <w:rPr>
          <w:sz w:val="21"/>
          <w:szCs w:val="21"/>
        </w:rPr>
      </w:pPr>
      <w:r>
        <w:rPr>
          <w:position w:val="-10"/>
          <w:sz w:val="21"/>
          <w:szCs w:val="21"/>
        </w:rPr>
        <w:object>
          <v:shape id="_x0000_i1038" o:spt="75" type="#_x0000_t75" style="height:13.7pt;width:42.85pt;" o:ole="t" filled="f" o:preferrelative="t" stroked="f" coordsize="21600,21600">
            <v:path/>
            <v:fill on="f" focussize="0,0"/>
            <v:stroke on="f" joinstyle="miter"/>
            <v:imagedata r:id="rId38" o:title=""/>
            <o:lock v:ext="edit" aspectratio="t"/>
            <w10:wrap type="none"/>
            <w10:anchorlock/>
          </v:shape>
          <o:OLEObject Type="Embed" ProgID="Equation.DSMT4" ShapeID="_x0000_i1038" DrawAspect="Content" ObjectID="_1468075733" r:id="rId37">
            <o:LockedField>false</o:LockedField>
          </o:OLEObject>
        </w:object>
      </w:r>
      <w:r>
        <w:rPr>
          <w:rFonts w:hint="eastAsia"/>
          <w:sz w:val="21"/>
          <w:szCs w:val="21"/>
        </w:rPr>
        <w:t>s</w:t>
      </w:r>
    </w:p>
    <w:p w14:paraId="1BB05B61">
      <w:pPr>
        <w:tabs>
          <w:tab w:val="left" w:pos="985"/>
        </w:tabs>
        <w:spacing w:line="240" w:lineRule="auto"/>
        <w:ind w:firstLine="0" w:firstLineChars="0"/>
        <w:jc w:val="center"/>
        <w:outlineLvl w:val="2"/>
        <w:rPr>
          <w:sz w:val="21"/>
          <w:szCs w:val="21"/>
        </w:rPr>
      </w:pPr>
      <w:r>
        <w:rPr>
          <w:b/>
          <w:bCs/>
          <w:color w:val="000000"/>
          <w:sz w:val="18"/>
          <w:szCs w:val="18"/>
        </w:rPr>
        <w:t>Fig.</w:t>
      </w:r>
      <w:r>
        <w:rPr>
          <w:rFonts w:hint="eastAsia"/>
          <w:b/>
          <w:bCs/>
          <w:color w:val="000000"/>
          <w:sz w:val="18"/>
          <w:szCs w:val="18"/>
        </w:rPr>
        <w:t>6</w:t>
      </w:r>
      <w:r>
        <w:rPr>
          <w:rFonts w:hint="eastAsia"/>
          <w:b/>
          <w:bCs/>
          <w:color w:val="000000"/>
          <w:sz w:val="20"/>
          <w:szCs w:val="20"/>
        </w:rPr>
        <w:t xml:space="preserve"> </w:t>
      </w:r>
      <w:r>
        <w:rPr>
          <w:sz w:val="18"/>
          <w:szCs w:val="18"/>
        </w:rPr>
        <w:t>Cloud image of heat transfer processes on the upper surface (</w:t>
      </w:r>
      <w:r>
        <w:rPr>
          <w:position w:val="-6"/>
          <w:sz w:val="21"/>
          <w:szCs w:val="21"/>
        </w:rPr>
        <w:object>
          <v:shape id="_x0000_i1039" o:spt="75" type="#_x0000_t75" style="height:11.95pt;width:38.85pt;" o:ole="t" filled="f" o:preferrelative="t" stroked="f" coordsize="21600,21600">
            <v:path/>
            <v:fill on="f" focussize="0,0"/>
            <v:stroke on="f" joinstyle="miter"/>
            <v:imagedata r:id="rId40" o:title=""/>
            <o:lock v:ext="edit" aspectratio="t"/>
            <w10:wrap type="none"/>
            <w10:anchorlock/>
          </v:shape>
          <o:OLEObject Type="Embed" ProgID="Equation.DSMT4" ShapeID="_x0000_i1039" DrawAspect="Content" ObjectID="_1468075734" r:id="rId39">
            <o:LockedField>false</o:LockedField>
          </o:OLEObject>
        </w:object>
      </w:r>
      <w:r>
        <w:rPr>
          <w:sz w:val="18"/>
          <w:szCs w:val="18"/>
        </w:rPr>
        <w:t xml:space="preserve">W, </w:t>
      </w:r>
      <w:bookmarkStart w:id="5" w:name="OLE_LINK1"/>
      <w:r>
        <w:rPr>
          <w:position w:val="-6"/>
          <w:sz w:val="21"/>
          <w:szCs w:val="21"/>
        </w:rPr>
        <w:object>
          <v:shape id="_x0000_i1040" o:spt="75" type="#_x0000_t75" style="height:11.95pt;width:23.85pt;" o:ole="t" filled="f" o:preferrelative="t" stroked="f" coordsize="21600,21600">
            <v:path/>
            <v:fill on="f" focussize="0,0"/>
            <v:stroke on="f" joinstyle="miter"/>
            <v:imagedata r:id="rId42" o:title=""/>
            <o:lock v:ext="edit" aspectratio="t"/>
            <w10:wrap type="none"/>
            <w10:anchorlock/>
          </v:shape>
          <o:OLEObject Type="Embed" ProgID="Equation.DSMT4" ShapeID="_x0000_i1040" DrawAspect="Content" ObjectID="_1468075735" r:id="rId41">
            <o:LockedField>false</o:LockedField>
          </o:OLEObject>
        </w:object>
      </w:r>
      <w:bookmarkEnd w:id="5"/>
      <w:r>
        <w:rPr>
          <w:sz w:val="18"/>
          <w:szCs w:val="18"/>
        </w:rPr>
        <w:t>mm/s)</w:t>
      </w:r>
    </w:p>
    <w:p w14:paraId="57AE6124">
      <w:pPr>
        <w:spacing w:line="276" w:lineRule="auto"/>
        <w:ind w:firstLine="420"/>
        <w:outlineLvl w:val="2"/>
        <w:rPr>
          <w:sz w:val="21"/>
          <w:szCs w:val="21"/>
        </w:rPr>
      </w:pPr>
      <w:r>
        <w:rPr>
          <w:sz w:val="21"/>
          <w:szCs w:val="21"/>
        </w:rPr>
        <w:t>Figure 6 shows that under the high-power density of laser deep penetration welding, the temperature of the welded parts rises sharply. At times t</w:t>
      </w:r>
      <w:r>
        <w:rPr>
          <w:sz w:val="21"/>
          <w:szCs w:val="21"/>
          <w:vertAlign w:val="subscript"/>
        </w:rPr>
        <w:t>1</w:t>
      </w:r>
      <w:r>
        <w:rPr>
          <w:sz w:val="21"/>
          <w:szCs w:val="21"/>
        </w:rPr>
        <w:t>, t</w:t>
      </w:r>
      <w:r>
        <w:rPr>
          <w:sz w:val="21"/>
          <w:szCs w:val="21"/>
          <w:vertAlign w:val="subscript"/>
        </w:rPr>
        <w:t>2</w:t>
      </w:r>
      <w:r>
        <w:rPr>
          <w:sz w:val="21"/>
          <w:szCs w:val="21"/>
        </w:rPr>
        <w:t xml:space="preserve"> and t</w:t>
      </w:r>
      <w:r>
        <w:rPr>
          <w:sz w:val="21"/>
          <w:szCs w:val="21"/>
          <w:vertAlign w:val="subscript"/>
        </w:rPr>
        <w:t>3</w:t>
      </w:r>
      <w:r>
        <w:rPr>
          <w:sz w:val="21"/>
          <w:szCs w:val="21"/>
        </w:rPr>
        <w:t>, the shape of the red high-temperature region fluctuates slightly. The shape of the molten pool is stable, symmetric along the central trajectory of the laser beam, and presents a relatively regular elliptical shape. At time t</w:t>
      </w:r>
      <w:r>
        <w:rPr>
          <w:sz w:val="21"/>
          <w:szCs w:val="21"/>
          <w:vertAlign w:val="subscript"/>
        </w:rPr>
        <w:t>1</w:t>
      </w:r>
      <w:r>
        <w:rPr>
          <w:sz w:val="21"/>
          <w:szCs w:val="21"/>
        </w:rPr>
        <w:t>, the laser beam irradiation raises the surface temperature of the welded parts from room temperature to above the melting point of copper (1360 K), causing the base metal to melt. At time t</w:t>
      </w:r>
      <w:r>
        <w:rPr>
          <w:sz w:val="21"/>
          <w:szCs w:val="21"/>
          <w:vertAlign w:val="subscript"/>
        </w:rPr>
        <w:t>2</w:t>
      </w:r>
      <w:r>
        <w:rPr>
          <w:sz w:val="21"/>
          <w:szCs w:val="21"/>
        </w:rPr>
        <w:t>, the temperature gradient at the rear end of the laser beam continues to decrease. Although the temperature gradient at the front end remains relatively large, the heat-affected zone (HAZ) at the front expands slightly, indicating that the temperature gradient at the front is slightly reduced. This suggests that the movement rate of the laser beam is slightly lower than the thermal conduction rate of the metal along the welding direction. At time t</w:t>
      </w:r>
      <w:r>
        <w:rPr>
          <w:sz w:val="21"/>
          <w:szCs w:val="21"/>
          <w:vertAlign w:val="subscript"/>
        </w:rPr>
        <w:t>3</w:t>
      </w:r>
      <w:r>
        <w:rPr>
          <w:sz w:val="21"/>
          <w:szCs w:val="21"/>
        </w:rPr>
        <w:t>, with continuous energy input from the laser beam, the meteor-shaped trailing tail becomes more pronounced, the heat-affected zone expands, and the shape of the molten pool remains essentially unchanged, though its area increases.</w:t>
      </w:r>
    </w:p>
    <w:p w14:paraId="57CD7EA8">
      <w:pPr>
        <w:topLinePunct/>
        <w:spacing w:line="276" w:lineRule="auto"/>
        <w:ind w:firstLine="0" w:firstLineChars="0"/>
        <w:jc w:val="center"/>
        <w:outlineLvl w:val="2"/>
        <w:rPr>
          <w:sz w:val="21"/>
          <w:szCs w:val="21"/>
        </w:rPr>
      </w:pPr>
      <w:r>
        <w:rPr>
          <w:rFonts w:hint="eastAsia"/>
          <w:sz w:val="21"/>
          <w:szCs w:val="21"/>
        </w:rPr>
        <w:drawing>
          <wp:inline distT="0" distB="0" distL="114300" distR="114300">
            <wp:extent cx="2499360" cy="937895"/>
            <wp:effectExtent l="0" t="0" r="15240" b="14605"/>
            <wp:docPr id="9" name="图片 31" descr="(a)t1=0.0292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1" descr="(a)t1=0.0292 s"/>
                    <pic:cNvPicPr>
                      <a:picLocks noChangeAspect="1"/>
                    </pic:cNvPicPr>
                  </pic:nvPicPr>
                  <pic:blipFill>
                    <a:blip r:embed="rId43"/>
                    <a:stretch>
                      <a:fillRect/>
                    </a:stretch>
                  </pic:blipFill>
                  <pic:spPr>
                    <a:xfrm>
                      <a:off x="0" y="0"/>
                      <a:ext cx="2499360" cy="937895"/>
                    </a:xfrm>
                    <a:prstGeom prst="rect">
                      <a:avLst/>
                    </a:prstGeom>
                    <a:noFill/>
                    <a:ln>
                      <a:noFill/>
                    </a:ln>
                  </pic:spPr>
                </pic:pic>
              </a:graphicData>
            </a:graphic>
          </wp:inline>
        </w:drawing>
      </w:r>
    </w:p>
    <w:p w14:paraId="39372432">
      <w:pPr>
        <w:numPr>
          <w:ilvl w:val="0"/>
          <w:numId w:val="3"/>
        </w:numPr>
        <w:tabs>
          <w:tab w:val="left" w:pos="985"/>
        </w:tabs>
        <w:ind w:firstLine="0" w:firstLineChars="0"/>
        <w:jc w:val="center"/>
        <w:rPr>
          <w:sz w:val="18"/>
          <w:szCs w:val="18"/>
        </w:rPr>
      </w:pPr>
      <w:r>
        <w:rPr>
          <w:position w:val="-10"/>
          <w:sz w:val="21"/>
          <w:szCs w:val="21"/>
        </w:rPr>
        <w:object>
          <v:shape id="_x0000_i1041" o:spt="75" type="#_x0000_t75" style="height:13.7pt;width:42.85pt;" o:ole="t" filled="f" o:preferrelative="t" stroked="f" coordsize="21600,21600">
            <v:path/>
            <v:fill on="f" focussize="0,0"/>
            <v:stroke on="f" joinstyle="miter"/>
            <v:imagedata r:id="rId45" o:title=""/>
            <o:lock v:ext="edit" aspectratio="t"/>
            <w10:wrap type="none"/>
            <w10:anchorlock/>
          </v:shape>
          <o:OLEObject Type="Embed" ProgID="Equation.DSMT4" ShapeID="_x0000_i1041" DrawAspect="Content" ObjectID="_1468075736" r:id="rId44">
            <o:LockedField>false</o:LockedField>
          </o:OLEObject>
        </w:object>
      </w:r>
      <w:r>
        <w:rPr>
          <w:rFonts w:hint="eastAsia"/>
          <w:sz w:val="21"/>
          <w:szCs w:val="21"/>
        </w:rPr>
        <w:t>s</w:t>
      </w:r>
    </w:p>
    <w:p w14:paraId="1EC7674A">
      <w:pPr>
        <w:tabs>
          <w:tab w:val="left" w:pos="985"/>
        </w:tabs>
        <w:ind w:firstLine="0" w:firstLineChars="0"/>
        <w:jc w:val="center"/>
        <w:rPr>
          <w:sz w:val="18"/>
          <w:szCs w:val="18"/>
        </w:rPr>
      </w:pPr>
      <w:r>
        <w:drawing>
          <wp:inline distT="0" distB="0" distL="114300" distR="114300">
            <wp:extent cx="2499360" cy="1015365"/>
            <wp:effectExtent l="0" t="0" r="15240" b="13335"/>
            <wp:docPr id="10" name="图片 32" descr="(c)t3=0.1092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 descr="(c)t3=0.1092 s"/>
                    <pic:cNvPicPr>
                      <a:picLocks noChangeAspect="1"/>
                    </pic:cNvPicPr>
                  </pic:nvPicPr>
                  <pic:blipFill>
                    <a:blip r:embed="rId46"/>
                    <a:stretch>
                      <a:fillRect/>
                    </a:stretch>
                  </pic:blipFill>
                  <pic:spPr>
                    <a:xfrm>
                      <a:off x="0" y="0"/>
                      <a:ext cx="2499360" cy="1015365"/>
                    </a:xfrm>
                    <a:prstGeom prst="rect">
                      <a:avLst/>
                    </a:prstGeom>
                    <a:noFill/>
                    <a:ln>
                      <a:noFill/>
                    </a:ln>
                  </pic:spPr>
                </pic:pic>
              </a:graphicData>
            </a:graphic>
          </wp:inline>
        </w:drawing>
      </w:r>
    </w:p>
    <w:p w14:paraId="1B70EF37">
      <w:pPr>
        <w:numPr>
          <w:ilvl w:val="0"/>
          <w:numId w:val="3"/>
        </w:numPr>
        <w:tabs>
          <w:tab w:val="left" w:pos="985"/>
        </w:tabs>
        <w:ind w:firstLine="0" w:firstLineChars="0"/>
        <w:jc w:val="center"/>
        <w:rPr>
          <w:sz w:val="18"/>
          <w:szCs w:val="18"/>
        </w:rPr>
      </w:pPr>
      <w:r>
        <w:rPr>
          <w:position w:val="-10"/>
          <w:sz w:val="21"/>
          <w:szCs w:val="21"/>
        </w:rPr>
        <w:object>
          <v:shape id="_x0000_i1042" o:spt="75" type="#_x0000_t75" style="height:13.7pt;width:44.15pt;" o:ole="t" filled="f" o:preferrelative="t" stroked="f" coordsize="21600,21600">
            <v:path/>
            <v:fill on="f" focussize="0,0"/>
            <v:stroke on="f" joinstyle="miter"/>
            <v:imagedata r:id="rId48" o:title=""/>
            <o:lock v:ext="edit" aspectratio="t"/>
            <w10:wrap type="none"/>
            <w10:anchorlock/>
          </v:shape>
          <o:OLEObject Type="Embed" ProgID="Equation.DSMT4" ShapeID="_x0000_i1042" DrawAspect="Content" ObjectID="_1468075737" r:id="rId47">
            <o:LockedField>false</o:LockedField>
          </o:OLEObject>
        </w:object>
      </w:r>
      <w:r>
        <w:rPr>
          <w:rFonts w:hint="eastAsia"/>
          <w:sz w:val="21"/>
          <w:szCs w:val="21"/>
        </w:rPr>
        <w:t>s</w:t>
      </w:r>
    </w:p>
    <w:p w14:paraId="5F70BDDF">
      <w:pPr>
        <w:tabs>
          <w:tab w:val="left" w:pos="985"/>
        </w:tabs>
        <w:ind w:firstLine="0" w:firstLineChars="0"/>
        <w:jc w:val="center"/>
        <w:rPr>
          <w:sz w:val="18"/>
          <w:szCs w:val="18"/>
        </w:rPr>
      </w:pPr>
      <w:r>
        <w:rPr>
          <w:sz w:val="18"/>
          <w:szCs w:val="18"/>
        </w:rPr>
        <w:drawing>
          <wp:inline distT="0" distB="0" distL="114300" distR="114300">
            <wp:extent cx="2499360" cy="1030605"/>
            <wp:effectExtent l="0" t="0" r="15240" b="17145"/>
            <wp:docPr id="11" name="图片 33" descr="(e)t5=0.1892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3" descr="(e)t5=0.1892 s"/>
                    <pic:cNvPicPr>
                      <a:picLocks noChangeAspect="1"/>
                    </pic:cNvPicPr>
                  </pic:nvPicPr>
                  <pic:blipFill>
                    <a:blip r:embed="rId49"/>
                    <a:stretch>
                      <a:fillRect/>
                    </a:stretch>
                  </pic:blipFill>
                  <pic:spPr>
                    <a:xfrm>
                      <a:off x="0" y="0"/>
                      <a:ext cx="2499360" cy="1030605"/>
                    </a:xfrm>
                    <a:prstGeom prst="rect">
                      <a:avLst/>
                    </a:prstGeom>
                    <a:noFill/>
                    <a:ln>
                      <a:noFill/>
                    </a:ln>
                  </pic:spPr>
                </pic:pic>
              </a:graphicData>
            </a:graphic>
          </wp:inline>
        </w:drawing>
      </w:r>
    </w:p>
    <w:p w14:paraId="0B3F1068">
      <w:pPr>
        <w:numPr>
          <w:ilvl w:val="0"/>
          <w:numId w:val="3"/>
        </w:numPr>
        <w:tabs>
          <w:tab w:val="left" w:pos="985"/>
        </w:tabs>
        <w:ind w:firstLine="0" w:firstLineChars="0"/>
        <w:jc w:val="center"/>
        <w:rPr>
          <w:sz w:val="18"/>
          <w:szCs w:val="18"/>
        </w:rPr>
      </w:pPr>
      <w:r>
        <w:rPr>
          <w:position w:val="-10"/>
          <w:sz w:val="21"/>
          <w:szCs w:val="21"/>
        </w:rPr>
        <w:object>
          <v:shape id="_x0000_i1043" o:spt="75" type="#_x0000_t75" style="height:13.7pt;width:42.85pt;" o:ole="t" filled="f" o:preferrelative="t" stroked="f" coordsize="21600,21600">
            <v:path/>
            <v:fill on="f" focussize="0,0"/>
            <v:stroke on="f" joinstyle="miter"/>
            <v:imagedata r:id="rId51" o:title=""/>
            <o:lock v:ext="edit" aspectratio="t"/>
            <w10:wrap type="none"/>
            <w10:anchorlock/>
          </v:shape>
          <o:OLEObject Type="Embed" ProgID="Equation.DSMT4" ShapeID="_x0000_i1043" DrawAspect="Content" ObjectID="_1468075738" r:id="rId50">
            <o:LockedField>false</o:LockedField>
          </o:OLEObject>
        </w:object>
      </w:r>
      <w:r>
        <w:rPr>
          <w:sz w:val="21"/>
          <w:szCs w:val="21"/>
        </w:rPr>
        <w:t>s</w:t>
      </w:r>
    </w:p>
    <w:p w14:paraId="58F330AA">
      <w:pPr>
        <w:tabs>
          <w:tab w:val="left" w:pos="985"/>
        </w:tabs>
        <w:spacing w:line="240" w:lineRule="auto"/>
        <w:ind w:firstLine="0" w:firstLineChars="0"/>
        <w:jc w:val="center"/>
        <w:outlineLvl w:val="2"/>
        <w:rPr>
          <w:spacing w:val="-2"/>
          <w:sz w:val="21"/>
        </w:rPr>
      </w:pPr>
      <w:r>
        <w:rPr>
          <w:b/>
          <w:bCs/>
          <w:color w:val="000000"/>
          <w:sz w:val="18"/>
          <w:szCs w:val="18"/>
        </w:rPr>
        <w:t>Fig.</w:t>
      </w:r>
      <w:r>
        <w:rPr>
          <w:rFonts w:hint="eastAsia"/>
          <w:b/>
          <w:bCs/>
          <w:color w:val="000000"/>
          <w:sz w:val="18"/>
          <w:szCs w:val="18"/>
        </w:rPr>
        <w:t>7</w:t>
      </w:r>
      <w:r>
        <w:rPr>
          <w:rFonts w:hint="eastAsia"/>
          <w:b/>
          <w:bCs/>
          <w:color w:val="000000"/>
          <w:sz w:val="20"/>
          <w:szCs w:val="20"/>
        </w:rPr>
        <w:t xml:space="preserve"> </w:t>
      </w:r>
      <w:r>
        <w:rPr>
          <w:sz w:val="18"/>
          <w:szCs w:val="18"/>
        </w:rPr>
        <w:t>Cloud view of cross-sectional heat transfer process (</w:t>
      </w:r>
      <w:r>
        <w:rPr>
          <w:position w:val="-6"/>
          <w:sz w:val="21"/>
          <w:szCs w:val="21"/>
        </w:rPr>
        <w:object>
          <v:shape id="_x0000_i1044" o:spt="75" type="#_x0000_t75" style="height:11.95pt;width:34.9pt;" o:ole="t" filled="f" o:preferrelative="t" stroked="f" coordsize="21600,21600">
            <v:path/>
            <v:fill on="f" focussize="0,0"/>
            <v:stroke on="f" joinstyle="miter"/>
            <v:imagedata r:id="rId53" o:title=""/>
            <o:lock v:ext="edit" aspectratio="t"/>
            <w10:wrap type="none"/>
            <w10:anchorlock/>
          </v:shape>
          <o:OLEObject Type="Embed" ProgID="Equation.DSMT4" ShapeID="_x0000_i1044" DrawAspect="Content" ObjectID="_1468075739" r:id="rId52">
            <o:LockedField>false</o:LockedField>
          </o:OLEObject>
        </w:object>
      </w:r>
      <w:r>
        <w:rPr>
          <w:sz w:val="18"/>
          <w:szCs w:val="18"/>
        </w:rPr>
        <w:t xml:space="preserve">W, </w:t>
      </w:r>
      <w:r>
        <w:rPr>
          <w:position w:val="-6"/>
          <w:sz w:val="21"/>
          <w:szCs w:val="21"/>
        </w:rPr>
        <w:object>
          <v:shape id="_x0000_i1045" o:spt="75" type="#_x0000_t75" style="height:11.95pt;width:23.85pt;" o:ole="t" filled="f" o:preferrelative="t" stroked="f" coordsize="21600,21600">
            <v:path/>
            <v:fill on="f" focussize="0,0"/>
            <v:stroke on="f" joinstyle="miter"/>
            <v:imagedata r:id="rId55" o:title=""/>
            <o:lock v:ext="edit" aspectratio="t"/>
            <w10:wrap type="none"/>
            <w10:anchorlock/>
          </v:shape>
          <o:OLEObject Type="Embed" ProgID="Equation.DSMT4" ShapeID="_x0000_i1045" DrawAspect="Content" ObjectID="_1468075740" r:id="rId54">
            <o:LockedField>false</o:LockedField>
          </o:OLEObject>
        </w:object>
      </w:r>
      <w:r>
        <w:rPr>
          <w:sz w:val="18"/>
          <w:szCs w:val="18"/>
        </w:rPr>
        <w:t>mm/s)</w:t>
      </w:r>
    </w:p>
    <w:p w14:paraId="049EC94C">
      <w:pPr>
        <w:spacing w:line="276" w:lineRule="auto"/>
        <w:ind w:firstLine="420"/>
        <w:outlineLvl w:val="2"/>
        <w:rPr>
          <w:spacing w:val="-2"/>
          <w:sz w:val="21"/>
        </w:rPr>
      </w:pPr>
      <w:r>
        <w:rPr>
          <w:sz w:val="21"/>
          <w:szCs w:val="21"/>
        </w:rPr>
        <w:t>Figure 7 shows that during the laser deep penetration welding of thin-plate copper-aluminum dissimilar metals, the morphology of the cross-sectional molten pool presents an open-narrowing "bowl" shape. The melting width of the upper copper layer is generally smaller than that of the lower aluminum layer, and the melting width near the copper-aluminum interface is the largest. Due to the high power density of the laser beam forming deep penetration welding, the laser beam directly irradiates the deep-layer aluminum, narrowing the gap in laser energy directly absorbed by the two materials. Combined with heat transfer to the lower-layer aluminum and the fact that the melting point of copper is higher than that of aluminum, the overall melting width on the copper side is smaller than that on the aluminum side. The temperature field distribution shows an overall increase over time, with heat conduction in the longitudinal direction slightly greater than that in the lateral directions. This is caused by the keyhole effect in laser deep penetration welding, which allows laser energy to act deeply in the longitudinal direction. The molten pool area and the heat-affected zone (HAZ) expand as welding proceeds. At 0.1092 seconds, the molten pool area reaches stability and no longer expands, while the HAZ continues to expand. Near the center of the laser beam, the isotherms in the region are concave from the edges toward the center and dense, indicating an extremely large temperature gradient.</w:t>
      </w:r>
    </w:p>
    <w:p w14:paraId="5A9D0C6C">
      <w:pPr>
        <w:numPr>
          <w:ilvl w:val="1"/>
          <w:numId w:val="1"/>
        </w:numPr>
        <w:wordWrap w:val="0"/>
        <w:spacing w:line="276" w:lineRule="auto"/>
        <w:ind w:left="0" w:firstLineChars="0"/>
        <w:rPr>
          <w:b/>
          <w:bCs/>
          <w:sz w:val="21"/>
          <w:szCs w:val="21"/>
        </w:rPr>
      </w:pPr>
      <w:r>
        <w:rPr>
          <w:rFonts w:hint="eastAsia"/>
          <w:b/>
          <w:bCs/>
          <w:sz w:val="21"/>
          <w:szCs w:val="21"/>
        </w:rPr>
        <w:t>Mass Transfer Process in Laser Deep Penetration Welding</w:t>
      </w:r>
    </w:p>
    <w:p w14:paraId="6FB21AFD">
      <w:pPr>
        <w:spacing w:line="276" w:lineRule="auto"/>
        <w:ind w:firstLine="0" w:firstLineChars="0"/>
        <w:jc w:val="center"/>
        <w:rPr>
          <w:b/>
          <w:bCs/>
          <w:sz w:val="21"/>
          <w:szCs w:val="21"/>
        </w:rPr>
      </w:pPr>
      <w:r>
        <w:rPr>
          <w:sz w:val="18"/>
          <w:szCs w:val="18"/>
        </w:rPr>
        <w:drawing>
          <wp:inline distT="0" distB="0" distL="114300" distR="114300">
            <wp:extent cx="2499360" cy="1110615"/>
            <wp:effectExtent l="0" t="0" r="15240" b="13335"/>
            <wp:docPr id="15" name="图片 121" descr="(a)t1=0.0292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1" descr="(a)t1=0.0292 s"/>
                    <pic:cNvPicPr>
                      <a:picLocks noChangeAspect="1"/>
                    </pic:cNvPicPr>
                  </pic:nvPicPr>
                  <pic:blipFill>
                    <a:blip r:embed="rId56"/>
                    <a:stretch>
                      <a:fillRect/>
                    </a:stretch>
                  </pic:blipFill>
                  <pic:spPr>
                    <a:xfrm>
                      <a:off x="0" y="0"/>
                      <a:ext cx="2499360" cy="1110615"/>
                    </a:xfrm>
                    <a:prstGeom prst="rect">
                      <a:avLst/>
                    </a:prstGeom>
                    <a:noFill/>
                    <a:ln>
                      <a:noFill/>
                    </a:ln>
                  </pic:spPr>
                </pic:pic>
              </a:graphicData>
            </a:graphic>
          </wp:inline>
        </w:drawing>
      </w:r>
    </w:p>
    <w:p w14:paraId="0BB533E1">
      <w:pPr>
        <w:numPr>
          <w:ilvl w:val="0"/>
          <w:numId w:val="4"/>
        </w:numPr>
        <w:tabs>
          <w:tab w:val="left" w:pos="985"/>
        </w:tabs>
        <w:ind w:firstLine="420"/>
        <w:jc w:val="center"/>
        <w:rPr>
          <w:b/>
          <w:bCs/>
          <w:sz w:val="21"/>
          <w:szCs w:val="21"/>
        </w:rPr>
      </w:pPr>
      <w:r>
        <w:rPr>
          <w:position w:val="-10"/>
          <w:sz w:val="21"/>
          <w:szCs w:val="21"/>
        </w:rPr>
        <w:object>
          <v:shape id="_x0000_i1046" o:spt="75" type="#_x0000_t75" style="height:13.7pt;width:42.85pt;" o:ole="t" filled="f" o:preferrelative="t" stroked="f" coordsize="21600,21600">
            <v:path/>
            <v:fill on="f" focussize="0,0"/>
            <v:stroke on="f" joinstyle="miter"/>
            <v:imagedata r:id="rId58" o:title=""/>
            <o:lock v:ext="edit" aspectratio="t"/>
            <w10:wrap type="none"/>
            <w10:anchorlock/>
          </v:shape>
          <o:OLEObject Type="Embed" ProgID="Equation.DSMT4" ShapeID="_x0000_i1046" DrawAspect="Content" ObjectID="_1468075741" r:id="rId57">
            <o:LockedField>false</o:LockedField>
          </o:OLEObject>
        </w:object>
      </w:r>
      <w:r>
        <w:rPr>
          <w:rFonts w:hint="eastAsia"/>
          <w:sz w:val="21"/>
          <w:szCs w:val="21"/>
        </w:rPr>
        <w:t>s</w:t>
      </w:r>
    </w:p>
    <w:p w14:paraId="53D964FF">
      <w:pPr>
        <w:tabs>
          <w:tab w:val="left" w:pos="985"/>
        </w:tabs>
        <w:ind w:firstLine="0" w:firstLineChars="0"/>
        <w:jc w:val="center"/>
        <w:rPr>
          <w:b/>
          <w:bCs/>
          <w:sz w:val="21"/>
          <w:szCs w:val="21"/>
        </w:rPr>
      </w:pPr>
      <w:r>
        <w:rPr>
          <w:sz w:val="18"/>
          <w:szCs w:val="18"/>
        </w:rPr>
        <w:drawing>
          <wp:inline distT="0" distB="0" distL="114300" distR="114300">
            <wp:extent cx="2498725" cy="1112520"/>
            <wp:effectExtent l="0" t="0" r="15875" b="11430"/>
            <wp:docPr id="16" name="图片 122" descr="(c)t3=0.1092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2" descr="(c)t3=0.1092 s"/>
                    <pic:cNvPicPr>
                      <a:picLocks noChangeAspect="1"/>
                    </pic:cNvPicPr>
                  </pic:nvPicPr>
                  <pic:blipFill>
                    <a:blip r:embed="rId59"/>
                    <a:stretch>
                      <a:fillRect/>
                    </a:stretch>
                  </pic:blipFill>
                  <pic:spPr>
                    <a:xfrm>
                      <a:off x="0" y="0"/>
                      <a:ext cx="2498725" cy="1112520"/>
                    </a:xfrm>
                    <a:prstGeom prst="rect">
                      <a:avLst/>
                    </a:prstGeom>
                    <a:noFill/>
                    <a:ln>
                      <a:noFill/>
                    </a:ln>
                  </pic:spPr>
                </pic:pic>
              </a:graphicData>
            </a:graphic>
          </wp:inline>
        </w:drawing>
      </w:r>
    </w:p>
    <w:p w14:paraId="6241AADA">
      <w:pPr>
        <w:numPr>
          <w:ilvl w:val="0"/>
          <w:numId w:val="4"/>
        </w:numPr>
        <w:tabs>
          <w:tab w:val="left" w:pos="985"/>
        </w:tabs>
        <w:ind w:firstLine="420"/>
        <w:jc w:val="center"/>
        <w:rPr>
          <w:b/>
          <w:bCs/>
          <w:sz w:val="21"/>
          <w:szCs w:val="21"/>
        </w:rPr>
      </w:pPr>
      <w:r>
        <w:rPr>
          <w:position w:val="-10"/>
          <w:sz w:val="21"/>
          <w:szCs w:val="21"/>
        </w:rPr>
        <w:object>
          <v:shape id="_x0000_i1047" o:spt="75" type="#_x0000_t75" style="height:13.7pt;width:44.15pt;" o:ole="t" filled="f" o:preferrelative="t" stroked="f" coordsize="21600,21600">
            <v:path/>
            <v:fill on="f" focussize="0,0"/>
            <v:stroke on="f" joinstyle="miter"/>
            <v:imagedata r:id="rId61" o:title=""/>
            <o:lock v:ext="edit" aspectratio="t"/>
            <w10:wrap type="none"/>
            <w10:anchorlock/>
          </v:shape>
          <o:OLEObject Type="Embed" ProgID="Equation.DSMT4" ShapeID="_x0000_i1047" DrawAspect="Content" ObjectID="_1468075742" r:id="rId60">
            <o:LockedField>false</o:LockedField>
          </o:OLEObject>
        </w:object>
      </w:r>
      <w:r>
        <w:rPr>
          <w:rFonts w:hint="eastAsia"/>
          <w:sz w:val="21"/>
          <w:szCs w:val="21"/>
        </w:rPr>
        <w:t>s</w:t>
      </w:r>
    </w:p>
    <w:p w14:paraId="56047DA7">
      <w:pPr>
        <w:tabs>
          <w:tab w:val="left" w:pos="985"/>
        </w:tabs>
        <w:ind w:firstLine="0" w:firstLineChars="0"/>
        <w:jc w:val="center"/>
        <w:rPr>
          <w:b/>
          <w:bCs/>
          <w:sz w:val="21"/>
          <w:szCs w:val="21"/>
        </w:rPr>
      </w:pPr>
      <w:r>
        <w:rPr>
          <w:sz w:val="18"/>
          <w:szCs w:val="18"/>
        </w:rPr>
        <w:drawing>
          <wp:inline distT="0" distB="0" distL="114300" distR="114300">
            <wp:extent cx="2496185" cy="1107440"/>
            <wp:effectExtent l="0" t="0" r="18415" b="16510"/>
            <wp:docPr id="17" name="图片 126" descr="(e)t5=0.1892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6" descr="(e)t5=0.1892 s"/>
                    <pic:cNvPicPr>
                      <a:picLocks noChangeAspect="1"/>
                    </pic:cNvPicPr>
                  </pic:nvPicPr>
                  <pic:blipFill>
                    <a:blip r:embed="rId62"/>
                    <a:stretch>
                      <a:fillRect/>
                    </a:stretch>
                  </pic:blipFill>
                  <pic:spPr>
                    <a:xfrm>
                      <a:off x="0" y="0"/>
                      <a:ext cx="2496185" cy="1107440"/>
                    </a:xfrm>
                    <a:prstGeom prst="rect">
                      <a:avLst/>
                    </a:prstGeom>
                    <a:noFill/>
                    <a:ln>
                      <a:noFill/>
                    </a:ln>
                  </pic:spPr>
                </pic:pic>
              </a:graphicData>
            </a:graphic>
          </wp:inline>
        </w:drawing>
      </w:r>
    </w:p>
    <w:p w14:paraId="0555428B">
      <w:pPr>
        <w:numPr>
          <w:ilvl w:val="0"/>
          <w:numId w:val="4"/>
        </w:numPr>
        <w:tabs>
          <w:tab w:val="left" w:pos="985"/>
        </w:tabs>
        <w:ind w:firstLine="420"/>
        <w:jc w:val="center"/>
        <w:rPr>
          <w:sz w:val="18"/>
          <w:szCs w:val="18"/>
        </w:rPr>
      </w:pPr>
      <w:r>
        <w:rPr>
          <w:position w:val="-10"/>
          <w:sz w:val="21"/>
          <w:szCs w:val="21"/>
        </w:rPr>
        <w:object>
          <v:shape id="_x0000_i1048" o:spt="75" type="#_x0000_t75" style="height:13.7pt;width:42.85pt;" o:ole="t" filled="f" o:preferrelative="t" stroked="f" coordsize="21600,21600">
            <v:path/>
            <v:fill on="f" focussize="0,0"/>
            <v:stroke on="f" joinstyle="miter"/>
            <v:imagedata r:id="rId64" o:title=""/>
            <o:lock v:ext="edit" aspectratio="t"/>
            <w10:wrap type="none"/>
            <w10:anchorlock/>
          </v:shape>
          <o:OLEObject Type="Embed" ProgID="Equation.DSMT4" ShapeID="_x0000_i1048" DrawAspect="Content" ObjectID="_1468075743" r:id="rId63">
            <o:LockedField>false</o:LockedField>
          </o:OLEObject>
        </w:object>
      </w:r>
      <w:r>
        <w:rPr>
          <w:rFonts w:hint="eastAsia"/>
          <w:sz w:val="21"/>
          <w:szCs w:val="21"/>
        </w:rPr>
        <w:t>s</w:t>
      </w:r>
    </w:p>
    <w:p w14:paraId="32E67DED">
      <w:pPr>
        <w:tabs>
          <w:tab w:val="left" w:pos="985"/>
        </w:tabs>
        <w:spacing w:line="240" w:lineRule="auto"/>
        <w:ind w:firstLine="0" w:firstLineChars="0"/>
        <w:jc w:val="center"/>
        <w:outlineLvl w:val="2"/>
        <w:rPr>
          <w:b/>
          <w:spacing w:val="-2"/>
          <w:sz w:val="21"/>
        </w:rPr>
      </w:pPr>
      <w:r>
        <w:rPr>
          <w:b/>
          <w:bCs/>
          <w:color w:val="000000"/>
          <w:sz w:val="18"/>
          <w:szCs w:val="18"/>
        </w:rPr>
        <w:t>Fig.</w:t>
      </w:r>
      <w:r>
        <w:rPr>
          <w:rFonts w:hint="eastAsia"/>
          <w:b/>
          <w:bCs/>
          <w:color w:val="000000"/>
          <w:sz w:val="18"/>
          <w:szCs w:val="18"/>
        </w:rPr>
        <w:t>8</w:t>
      </w:r>
      <w:r>
        <w:rPr>
          <w:rFonts w:hint="eastAsia"/>
          <w:b/>
          <w:bCs/>
          <w:color w:val="000000"/>
          <w:sz w:val="20"/>
          <w:szCs w:val="20"/>
        </w:rPr>
        <w:t xml:space="preserve"> </w:t>
      </w:r>
      <w:r>
        <w:rPr>
          <w:sz w:val="18"/>
          <w:szCs w:val="18"/>
        </w:rPr>
        <w:t>Cloud image of mass transfer process (</w:t>
      </w:r>
      <w:r>
        <w:rPr>
          <w:position w:val="-6"/>
          <w:sz w:val="21"/>
          <w:szCs w:val="21"/>
        </w:rPr>
        <w:object>
          <v:shape id="_x0000_i1049" o:spt="75" type="#_x0000_t75" style="height:11.95pt;width:34.9pt;" o:ole="t" filled="f" o:preferrelative="t" stroked="f" coordsize="21600,21600">
            <v:path/>
            <v:fill on="f" focussize="0,0"/>
            <v:stroke on="f" joinstyle="miter"/>
            <v:imagedata r:id="rId66" o:title=""/>
            <o:lock v:ext="edit" aspectratio="t"/>
            <w10:wrap type="none"/>
            <w10:anchorlock/>
          </v:shape>
          <o:OLEObject Type="Embed" ProgID="Equation.DSMT4" ShapeID="_x0000_i1049" DrawAspect="Content" ObjectID="_1468075744" r:id="rId65">
            <o:LockedField>false</o:LockedField>
          </o:OLEObject>
        </w:object>
      </w:r>
      <w:r>
        <w:rPr>
          <w:sz w:val="18"/>
          <w:szCs w:val="18"/>
        </w:rPr>
        <w:t xml:space="preserve">W, </w:t>
      </w:r>
      <w:r>
        <w:rPr>
          <w:position w:val="-6"/>
          <w:sz w:val="21"/>
          <w:szCs w:val="21"/>
        </w:rPr>
        <w:object>
          <v:shape id="_x0000_i1050" o:spt="75" type="#_x0000_t75" style="height:11.95pt;width:23.85pt;" o:ole="t" filled="f" o:preferrelative="t" stroked="f" coordsize="21600,21600">
            <v:path/>
            <v:fill on="f" focussize="0,0"/>
            <v:stroke on="f" joinstyle="miter"/>
            <v:imagedata r:id="rId68" o:title=""/>
            <o:lock v:ext="edit" aspectratio="t"/>
            <w10:wrap type="none"/>
            <w10:anchorlock/>
          </v:shape>
          <o:OLEObject Type="Embed" ProgID="Equation.DSMT4" ShapeID="_x0000_i1050" DrawAspect="Content" ObjectID="_1468075745" r:id="rId67">
            <o:LockedField>false</o:LockedField>
          </o:OLEObject>
        </w:object>
      </w:r>
      <w:r>
        <w:rPr>
          <w:sz w:val="18"/>
          <w:szCs w:val="18"/>
        </w:rPr>
        <w:t>mm/s)</w:t>
      </w:r>
    </w:p>
    <w:p w14:paraId="4F79C61D">
      <w:pPr>
        <w:spacing w:line="276" w:lineRule="auto"/>
        <w:ind w:firstLine="420"/>
        <w:rPr>
          <w:sz w:val="21"/>
          <w:szCs w:val="21"/>
        </w:rPr>
      </w:pPr>
      <w:r>
        <w:rPr>
          <w:sz w:val="21"/>
          <w:szCs w:val="21"/>
        </w:rPr>
        <w:t>The intermetallic mass transfer process in laser deep penetration welding of thin - plate copper - aluminum dissimilar metals is manifested as the distribution variation of copper and aluminum elements. In line with the heat transfer analysis, after removing the air phase, the metal phase fields at time points t</w:t>
      </w:r>
      <w:r>
        <w:rPr>
          <w:sz w:val="21"/>
          <w:szCs w:val="21"/>
          <w:vertAlign w:val="subscript"/>
        </w:rPr>
        <w:t>1</w:t>
      </w:r>
      <w:r>
        <w:rPr>
          <w:sz w:val="21"/>
          <w:szCs w:val="21"/>
        </w:rPr>
        <w:t xml:space="preserve"> to t</w:t>
      </w:r>
      <w:r>
        <w:rPr>
          <w:sz w:val="21"/>
          <w:szCs w:val="21"/>
          <w:vertAlign w:val="subscript"/>
        </w:rPr>
        <w:t>3</w:t>
      </w:r>
      <w:r>
        <w:rPr>
          <w:sz w:val="21"/>
          <w:szCs w:val="21"/>
        </w:rPr>
        <w:t xml:space="preserve"> covering the entire welding process were selected for observation and analysis. The results are shown in Figure 8. The gradient from blue to red in the figure indicates that the aluminum element content increases from 0% to 100%, that is, the copper element content decreases from 100% to 0%. Overall, it presents as "aluminum intruding into copper", that is, during welding, the lower-layer aluminum migrates to the upper-layer copper region in a heated fluid state. It acts together with laser energy to liquefy copper and fully mix them, and then cools and solidifies into a weld.</w:t>
      </w:r>
    </w:p>
    <w:p w14:paraId="0DB21849">
      <w:pPr>
        <w:spacing w:line="276" w:lineRule="auto"/>
        <w:ind w:firstLine="420"/>
        <w:rPr>
          <w:b/>
          <w:bCs/>
        </w:rPr>
      </w:pPr>
      <w:r>
        <w:rPr>
          <w:sz w:val="21"/>
          <w:szCs w:val="21"/>
        </w:rPr>
        <w:t>At the start of welding, part of the copper absorbs laser energy and sublimes into vapor to form a keyhole, while part of the aluminum liquefies, peels off from the lower layer, and tends to recoil upward, as shown in Figure 8(a).The formation and expansion of the keyhole allow the laser to directly irradiate the lower-layer aluminum, triggering more aluminum to liquefy and surge upward. At this time, due to the reduction in local metal content at the two side edges of the aluminum recoil, a small amount of liquid copper intrudes downward under the action of gravity, resulting in the "copper intruding into aluminum" phenomenon, as shown in Figure 8(b).With the continuous input of laser energy, the "aluminum intrusion into copper" intensifies, and the "copper intrusion into aluminum" almost disappears. This is because the upwelling of a large amount of liquefied aluminum is restricted by the opening on the copper side, and the liquid aluminum at the edges is blocked by solid copper, gradually filling the edge area, as shown in Figure 8(c).</w:t>
      </w:r>
      <w:r>
        <w:rPr>
          <w:rFonts w:hint="eastAsia"/>
          <w:sz w:val="21"/>
          <w:szCs w:val="21"/>
        </w:rPr>
        <w:t xml:space="preserve"> </w:t>
      </w:r>
    </w:p>
    <w:p w14:paraId="045A6285">
      <w:pPr>
        <w:numPr>
          <w:ilvl w:val="0"/>
          <w:numId w:val="1"/>
        </w:numPr>
        <w:wordWrap w:val="0"/>
        <w:spacing w:line="276" w:lineRule="auto"/>
        <w:ind w:firstLineChars="0"/>
        <w:rPr>
          <w:b/>
          <w:bCs/>
          <w:szCs w:val="24"/>
        </w:rPr>
      </w:pPr>
      <w:r>
        <w:rPr>
          <w:rFonts w:hint="eastAsia"/>
          <w:b/>
          <w:bCs/>
          <w:szCs w:val="24"/>
        </w:rPr>
        <w:t>Laser Deep Penetration Welding Tests</w:t>
      </w:r>
    </w:p>
    <w:p w14:paraId="1A822C0F">
      <w:pPr>
        <w:numPr>
          <w:ilvl w:val="1"/>
          <w:numId w:val="1"/>
        </w:numPr>
        <w:wordWrap w:val="0"/>
        <w:spacing w:line="276" w:lineRule="auto"/>
        <w:ind w:left="0" w:firstLineChars="0"/>
        <w:rPr>
          <w:b/>
          <w:bCs/>
          <w:sz w:val="21"/>
          <w:szCs w:val="21"/>
        </w:rPr>
      </w:pPr>
      <w:r>
        <w:rPr>
          <w:rFonts w:hint="eastAsia"/>
          <w:b/>
          <w:bCs/>
          <w:sz w:val="21"/>
          <w:szCs w:val="21"/>
        </w:rPr>
        <w:t>Comparison of Penetration Width and Depth</w:t>
      </w:r>
    </w:p>
    <w:p w14:paraId="0EE10794">
      <w:pPr>
        <w:pStyle w:val="27"/>
        <w:tabs>
          <w:tab w:val="left" w:pos="1297"/>
        </w:tabs>
        <w:wordWrap w:val="0"/>
        <w:spacing w:before="63" w:line="240" w:lineRule="auto"/>
        <w:rPr>
          <w:rFonts w:ascii="宋体"/>
          <w:spacing w:val="-2"/>
        </w:rPr>
      </w:pPr>
      <w:r>
        <w:rPr>
          <w:rFonts w:hint="eastAsia"/>
          <w:sz w:val="21"/>
          <w:szCs w:val="21"/>
        </w:rPr>
        <w:t xml:space="preserve">The comparison of penetration width and depth will further enhance the reliability of the numerical simulation in this paper. The penetration width refers to the maximum horizontal distance between the two boundaries of the weld, while the penetration depth refers to the vertical distance from the workpiece surface to the deepest part of the </w:t>
      </w:r>
      <w:r>
        <w:rPr>
          <w:sz w:val="21"/>
          <w:szCs w:val="21"/>
        </w:rPr>
        <w:t>fusion. As</w:t>
      </w:r>
      <w:r>
        <w:rPr>
          <w:rFonts w:hint="eastAsia"/>
          <w:sz w:val="21"/>
          <w:szCs w:val="21"/>
        </w:rPr>
        <w:t xml:space="preserve"> shown in Figure 9, it should be noted that due to the melting point of aluminum being much lower than that of copper, the maximum horizontal distance of the boundary occurs at the copper-aluminum interface, so this is where the penetration width is measured. Because the surface of the upper copper layer is thermally deformed, which affects the accuracy of penetration depth measurement, the measurement starts from the relatively flat copper-aluminum interface and proceeds downward. The obtained value needs to add the thickness of the copper side (0.3 mm) as the penetration depth measurement value. To reduce accidental errors, two measurements are taken for each, and the average value is used as the measurement result of the penetration width and depth.</w:t>
      </w:r>
    </w:p>
    <w:p w14:paraId="69EC8138">
      <w:pPr>
        <w:tabs>
          <w:tab w:val="left" w:pos="985"/>
        </w:tabs>
        <w:spacing w:line="240" w:lineRule="auto"/>
        <w:ind w:firstLine="0" w:firstLineChars="0"/>
        <w:jc w:val="center"/>
        <w:outlineLvl w:val="2"/>
        <w:rPr>
          <w:b/>
          <w:spacing w:val="-2"/>
          <w:sz w:val="21"/>
        </w:rPr>
      </w:pPr>
      <w:r>
        <w:rPr>
          <w:b/>
          <w:spacing w:val="-2"/>
          <w:sz w:val="21"/>
        </w:rPr>
        <w:drawing>
          <wp:inline distT="0" distB="0" distL="114300" distR="114300">
            <wp:extent cx="2890520" cy="1079500"/>
            <wp:effectExtent l="0" t="0" r="5080" b="6350"/>
            <wp:docPr id="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7"/>
                    <pic:cNvPicPr>
                      <a:picLocks noChangeAspect="1"/>
                    </pic:cNvPicPr>
                  </pic:nvPicPr>
                  <pic:blipFill>
                    <a:blip r:embed="rId69"/>
                    <a:stretch>
                      <a:fillRect/>
                    </a:stretch>
                  </pic:blipFill>
                  <pic:spPr>
                    <a:xfrm>
                      <a:off x="0" y="0"/>
                      <a:ext cx="2890800" cy="1080000"/>
                    </a:xfrm>
                    <a:prstGeom prst="rect">
                      <a:avLst/>
                    </a:prstGeom>
                    <a:noFill/>
                    <a:ln>
                      <a:noFill/>
                    </a:ln>
                  </pic:spPr>
                </pic:pic>
              </a:graphicData>
            </a:graphic>
          </wp:inline>
        </w:drawing>
      </w:r>
    </w:p>
    <w:p w14:paraId="312633FC">
      <w:pPr>
        <w:tabs>
          <w:tab w:val="left" w:pos="851"/>
        </w:tabs>
        <w:spacing w:before="69"/>
        <w:ind w:right="140" w:firstLine="0" w:firstLineChars="0"/>
        <w:jc w:val="center"/>
        <w:rPr>
          <w:spacing w:val="-2"/>
          <w:sz w:val="20"/>
          <w:szCs w:val="21"/>
        </w:rPr>
      </w:pPr>
      <w:r>
        <w:rPr>
          <w:b/>
          <w:bCs/>
          <w:color w:val="000000"/>
          <w:sz w:val="18"/>
          <w:szCs w:val="18"/>
        </w:rPr>
        <w:t>Fig.</w:t>
      </w:r>
      <w:r>
        <w:rPr>
          <w:rFonts w:hint="eastAsia"/>
          <w:b/>
          <w:bCs/>
          <w:color w:val="000000"/>
          <w:sz w:val="18"/>
          <w:szCs w:val="18"/>
        </w:rPr>
        <w:t xml:space="preserve">9 </w:t>
      </w:r>
      <w:r>
        <w:rPr>
          <w:sz w:val="18"/>
          <w:szCs w:val="20"/>
        </w:rPr>
        <w:t>Width</w:t>
      </w:r>
      <w:r>
        <w:rPr>
          <w:spacing w:val="-11"/>
          <w:sz w:val="18"/>
          <w:szCs w:val="20"/>
        </w:rPr>
        <w:t xml:space="preserve"> </w:t>
      </w:r>
      <w:r>
        <w:rPr>
          <w:sz w:val="18"/>
          <w:szCs w:val="20"/>
        </w:rPr>
        <w:t>and</w:t>
      </w:r>
      <w:r>
        <w:rPr>
          <w:spacing w:val="-10"/>
          <w:sz w:val="18"/>
          <w:szCs w:val="20"/>
        </w:rPr>
        <w:t xml:space="preserve"> </w:t>
      </w:r>
      <w:r>
        <w:rPr>
          <w:sz w:val="18"/>
          <w:szCs w:val="20"/>
        </w:rPr>
        <w:t>depth</w:t>
      </w:r>
      <w:r>
        <w:rPr>
          <w:spacing w:val="-9"/>
          <w:sz w:val="18"/>
          <w:szCs w:val="20"/>
        </w:rPr>
        <w:t xml:space="preserve"> </w:t>
      </w:r>
      <w:r>
        <w:rPr>
          <w:sz w:val="18"/>
          <w:szCs w:val="20"/>
        </w:rPr>
        <w:t>measurement</w:t>
      </w:r>
      <w:r>
        <w:rPr>
          <w:spacing w:val="-10"/>
          <w:sz w:val="18"/>
          <w:szCs w:val="20"/>
        </w:rPr>
        <w:t xml:space="preserve"> </w:t>
      </w:r>
      <w:r>
        <w:rPr>
          <w:sz w:val="18"/>
          <w:szCs w:val="20"/>
        </w:rPr>
        <w:t>diagram</w:t>
      </w:r>
      <w:r>
        <w:rPr>
          <w:spacing w:val="-7"/>
          <w:sz w:val="18"/>
          <w:szCs w:val="20"/>
        </w:rPr>
        <w:t xml:space="preserve"> </w:t>
      </w:r>
      <w:r>
        <w:rPr>
          <w:sz w:val="18"/>
          <w:szCs w:val="20"/>
        </w:rPr>
        <w:t>(</w:t>
      </w:r>
      <w:r>
        <w:rPr>
          <w:position w:val="-6"/>
          <w:sz w:val="21"/>
          <w:szCs w:val="21"/>
        </w:rPr>
        <w:object>
          <v:shape id="_x0000_i1051" o:spt="75" type="#_x0000_t75" style="height:11.95pt;width:34.9pt;" o:ole="t" filled="f" o:preferrelative="t" stroked="f" coordsize="21600,21600">
            <v:path/>
            <v:fill on="f" focussize="0,0"/>
            <v:stroke on="f" joinstyle="miter"/>
            <v:imagedata r:id="rId71" o:title=""/>
            <o:lock v:ext="edit" aspectratio="t"/>
            <w10:wrap type="none"/>
            <w10:anchorlock/>
          </v:shape>
          <o:OLEObject Type="Embed" ProgID="Equation.DSMT4" ShapeID="_x0000_i1051" DrawAspect="Content" ObjectID="_1468075746" r:id="rId70">
            <o:LockedField>false</o:LockedField>
          </o:OLEObject>
        </w:object>
      </w:r>
      <w:r>
        <w:rPr>
          <w:sz w:val="18"/>
          <w:szCs w:val="20"/>
        </w:rPr>
        <w:t>W,</w:t>
      </w:r>
      <w:r>
        <w:rPr>
          <w:spacing w:val="-12"/>
          <w:sz w:val="18"/>
          <w:szCs w:val="20"/>
        </w:rPr>
        <w:t xml:space="preserve"> </w:t>
      </w:r>
      <w:r>
        <w:rPr>
          <w:position w:val="-6"/>
          <w:sz w:val="21"/>
          <w:szCs w:val="21"/>
        </w:rPr>
        <w:object>
          <v:shape id="_x0000_i1052" o:spt="75" type="#_x0000_t75" style="height:11.95pt;width:23.85pt;" o:ole="t" filled="f" o:preferrelative="t" stroked="f" coordsize="21600,21600">
            <v:path/>
            <v:fill on="f" focussize="0,0"/>
            <v:stroke on="f" joinstyle="miter"/>
            <v:imagedata r:id="rId73" o:title=""/>
            <o:lock v:ext="edit" aspectratio="t"/>
            <w10:wrap type="none"/>
            <w10:anchorlock/>
          </v:shape>
          <o:OLEObject Type="Embed" ProgID="Equation.DSMT4" ShapeID="_x0000_i1052" DrawAspect="Content" ObjectID="_1468075747" r:id="rId72">
            <o:LockedField>false</o:LockedField>
          </o:OLEObject>
        </w:object>
      </w:r>
      <w:r>
        <w:rPr>
          <w:spacing w:val="-2"/>
          <w:sz w:val="18"/>
          <w:szCs w:val="20"/>
        </w:rPr>
        <w:t>mm/s)</w:t>
      </w:r>
    </w:p>
    <w:p w14:paraId="21A520F1">
      <w:pPr>
        <w:numPr>
          <w:ilvl w:val="1"/>
          <w:numId w:val="1"/>
        </w:numPr>
        <w:wordWrap w:val="0"/>
        <w:spacing w:line="276" w:lineRule="auto"/>
        <w:ind w:left="0" w:firstLineChars="0"/>
        <w:rPr>
          <w:b/>
          <w:bCs/>
          <w:sz w:val="21"/>
          <w:szCs w:val="21"/>
        </w:rPr>
      </w:pPr>
      <w:r>
        <w:rPr>
          <w:b/>
          <w:bCs/>
          <w:sz w:val="21"/>
          <w:szCs w:val="21"/>
        </w:rPr>
        <w:t>Weld Morphology Characteristics</w:t>
      </w:r>
    </w:p>
    <w:p w14:paraId="56ED8196">
      <w:pPr>
        <w:pStyle w:val="31"/>
        <w:rPr>
          <w:sz w:val="21"/>
          <w:szCs w:val="21"/>
        </w:rPr>
      </w:pPr>
      <w:r>
        <w:rPr>
          <w:rFonts w:hint="eastAsia"/>
          <w:sz w:val="21"/>
          <w:szCs w:val="21"/>
        </w:rPr>
        <w:t>The weld morphology characteristics under the optimal laser power parameters (</w:t>
      </w:r>
      <w:r>
        <w:rPr>
          <w:position w:val="-6"/>
          <w:sz w:val="21"/>
          <w:szCs w:val="21"/>
        </w:rPr>
        <w:object>
          <v:shape id="_x0000_i1053" o:spt="75" type="#_x0000_t75" style="height:11.95pt;width:34.9pt;" o:ole="t" filled="f" o:preferrelative="t" stroked="f" coordsize="21600,21600">
            <v:path/>
            <v:fill on="f" focussize="0,0"/>
            <v:stroke on="f" joinstyle="miter"/>
            <v:imagedata r:id="rId75" o:title=""/>
            <o:lock v:ext="edit" aspectratio="t"/>
            <w10:wrap type="none"/>
            <w10:anchorlock/>
          </v:shape>
          <o:OLEObject Type="Embed" ProgID="Equation.DSMT4" ShapeID="_x0000_i1053" DrawAspect="Content" ObjectID="_1468075748" r:id="rId74">
            <o:LockedField>false</o:LockedField>
          </o:OLEObject>
        </w:object>
      </w:r>
      <w:r>
        <w:rPr>
          <w:rFonts w:hint="eastAsia"/>
          <w:sz w:val="21"/>
          <w:szCs w:val="21"/>
        </w:rPr>
        <w:t xml:space="preserve">W, </w:t>
      </w:r>
      <w:r>
        <w:rPr>
          <w:position w:val="-6"/>
          <w:sz w:val="21"/>
          <w:szCs w:val="21"/>
        </w:rPr>
        <w:object>
          <v:shape id="_x0000_i1054" o:spt="75" type="#_x0000_t75" style="height:11.95pt;width:23.85pt;" o:ole="t" filled="f" o:preferrelative="t" stroked="f" coordsize="21600,21600">
            <v:path/>
            <v:fill on="f" focussize="0,0"/>
            <v:stroke on="f" joinstyle="miter"/>
            <v:imagedata r:id="rId77" o:title=""/>
            <o:lock v:ext="edit" aspectratio="t"/>
            <w10:wrap type="none"/>
            <w10:anchorlock/>
          </v:shape>
          <o:OLEObject Type="Embed" ProgID="Equation.DSMT4" ShapeID="_x0000_i1054" DrawAspect="Content" ObjectID="_1468075749" r:id="rId76">
            <o:LockedField>false</o:LockedField>
          </o:OLEObject>
        </w:object>
      </w:r>
      <w:r>
        <w:rPr>
          <w:rFonts w:hint="eastAsia"/>
          <w:sz w:val="21"/>
          <w:szCs w:val="21"/>
        </w:rPr>
        <w:t xml:space="preserve">mm/s) deduced in this paper were observed using an Axio Observer D1M microscope, as shown in Figure 10. In the surface morphology, the weld fish-scale patterns of the thin-plate copper-aluminum dissimilar metals are obvious, and the boundary line between the base metal and the weld is straight. This helps to improve the mechanical properties of the weld, as well as enhance its corrosion resistance and fatigue </w:t>
      </w:r>
      <w:r>
        <w:rPr>
          <w:sz w:val="21"/>
          <w:szCs w:val="21"/>
        </w:rPr>
        <w:t>resistance. In</w:t>
      </w:r>
      <w:r>
        <w:rPr>
          <w:rFonts w:hint="eastAsia"/>
          <w:sz w:val="21"/>
          <w:szCs w:val="21"/>
        </w:rPr>
        <w:t xml:space="preserve"> the cross-sectional morphology, due to the enhanced influence of the keyhole effect, both the "aluminum intrusion into copper" phenomenon and the bulges on both sides are weakened.</w:t>
      </w:r>
    </w:p>
    <w:p w14:paraId="2BE89F42">
      <w:pPr>
        <w:pStyle w:val="31"/>
        <w:wordWrap w:val="0"/>
        <w:topLinePunct/>
        <w:ind w:firstLine="0" w:firstLineChars="0"/>
        <w:jc w:val="center"/>
        <w:rPr>
          <w:sz w:val="18"/>
          <w:szCs w:val="18"/>
        </w:rPr>
      </w:pPr>
      <w:bookmarkStart w:id="6" w:name="_Ref8642"/>
      <w:r>
        <w:rPr>
          <w:sz w:val="21"/>
          <w:szCs w:val="21"/>
        </w:rPr>
        <w:drawing>
          <wp:inline distT="0" distB="0" distL="114300" distR="114300">
            <wp:extent cx="2868930" cy="1079500"/>
            <wp:effectExtent l="0" t="0" r="7620" b="6350"/>
            <wp:docPr id="12" name="图片 34" descr="资源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4" descr="资源 202"/>
                    <pic:cNvPicPr>
                      <a:picLocks noChangeAspect="1"/>
                    </pic:cNvPicPr>
                  </pic:nvPicPr>
                  <pic:blipFill>
                    <a:blip r:embed="rId78"/>
                    <a:stretch>
                      <a:fillRect/>
                    </a:stretch>
                  </pic:blipFill>
                  <pic:spPr>
                    <a:xfrm>
                      <a:off x="0" y="0"/>
                      <a:ext cx="2869200" cy="1080000"/>
                    </a:xfrm>
                    <a:prstGeom prst="rect">
                      <a:avLst/>
                    </a:prstGeom>
                    <a:noFill/>
                    <a:ln>
                      <a:noFill/>
                    </a:ln>
                  </pic:spPr>
                </pic:pic>
              </a:graphicData>
            </a:graphic>
          </wp:inline>
        </w:drawing>
      </w:r>
    </w:p>
    <w:p w14:paraId="70912EA2">
      <w:pPr>
        <w:pStyle w:val="31"/>
        <w:wordWrap w:val="0"/>
        <w:topLinePunct/>
        <w:ind w:firstLine="0" w:firstLineChars="0"/>
        <w:jc w:val="center"/>
        <w:rPr>
          <w:sz w:val="18"/>
          <w:szCs w:val="18"/>
        </w:rPr>
      </w:pPr>
      <w:r>
        <w:rPr>
          <w:rFonts w:hint="eastAsia"/>
          <w:sz w:val="18"/>
          <w:szCs w:val="18"/>
        </w:rPr>
        <w:t>（a）Surface Morphology；（b）Cross-Sectional Morphology</w:t>
      </w:r>
    </w:p>
    <w:bookmarkEnd w:id="6"/>
    <w:p w14:paraId="0CB6E036">
      <w:pPr>
        <w:ind w:firstLine="0" w:firstLineChars="0"/>
        <w:jc w:val="center"/>
        <w:rPr>
          <w:sz w:val="21"/>
        </w:rPr>
      </w:pPr>
      <w:r>
        <w:rPr>
          <w:b/>
          <w:bCs/>
          <w:color w:val="000000"/>
          <w:sz w:val="18"/>
          <w:szCs w:val="18"/>
        </w:rPr>
        <w:t>Fig</w:t>
      </w:r>
      <w:r>
        <w:rPr>
          <w:b/>
          <w:spacing w:val="-2"/>
          <w:sz w:val="18"/>
          <w:szCs w:val="18"/>
        </w:rPr>
        <w:t>.</w:t>
      </w:r>
      <w:r>
        <w:rPr>
          <w:rFonts w:hint="eastAsia"/>
          <w:b/>
          <w:spacing w:val="-2"/>
          <w:sz w:val="18"/>
          <w:szCs w:val="18"/>
        </w:rPr>
        <w:t>10</w:t>
      </w:r>
      <w:r>
        <w:rPr>
          <w:rFonts w:hint="eastAsia"/>
          <w:b/>
          <w:spacing w:val="-2"/>
          <w:sz w:val="20"/>
          <w:szCs w:val="21"/>
        </w:rPr>
        <w:t xml:space="preserve"> </w:t>
      </w:r>
      <w:r>
        <w:rPr>
          <w:sz w:val="18"/>
          <w:szCs w:val="20"/>
        </w:rPr>
        <w:t>Weld</w:t>
      </w:r>
      <w:r>
        <w:rPr>
          <w:rFonts w:hint="eastAsia"/>
          <w:sz w:val="18"/>
          <w:szCs w:val="20"/>
        </w:rPr>
        <w:t xml:space="preserve"> </w:t>
      </w:r>
      <w:r>
        <w:rPr>
          <w:sz w:val="18"/>
          <w:szCs w:val="20"/>
        </w:rPr>
        <w:t>morphology</w:t>
      </w:r>
      <w:r>
        <w:rPr>
          <w:rFonts w:hint="eastAsia"/>
          <w:sz w:val="18"/>
          <w:szCs w:val="20"/>
        </w:rPr>
        <w:t xml:space="preserve"> </w:t>
      </w:r>
      <w:r>
        <w:rPr>
          <w:sz w:val="18"/>
          <w:szCs w:val="20"/>
        </w:rPr>
        <w:t>of</w:t>
      </w:r>
      <w:r>
        <w:rPr>
          <w:rFonts w:hint="eastAsia"/>
          <w:sz w:val="18"/>
          <w:szCs w:val="20"/>
        </w:rPr>
        <w:t xml:space="preserve"> </w:t>
      </w:r>
      <w:r>
        <w:rPr>
          <w:sz w:val="18"/>
          <w:szCs w:val="20"/>
        </w:rPr>
        <w:t>thin-plate</w:t>
      </w:r>
      <w:r>
        <w:rPr>
          <w:rFonts w:hint="eastAsia"/>
          <w:sz w:val="18"/>
          <w:szCs w:val="20"/>
        </w:rPr>
        <w:t xml:space="preserve"> </w:t>
      </w:r>
      <w:r>
        <w:rPr>
          <w:sz w:val="18"/>
          <w:szCs w:val="20"/>
        </w:rPr>
        <w:t>heterogeneous</w:t>
      </w:r>
      <w:r>
        <w:rPr>
          <w:rFonts w:hint="eastAsia"/>
          <w:sz w:val="18"/>
          <w:szCs w:val="20"/>
        </w:rPr>
        <w:t xml:space="preserve"> </w:t>
      </w:r>
      <w:r>
        <w:rPr>
          <w:sz w:val="18"/>
          <w:szCs w:val="20"/>
        </w:rPr>
        <w:t>aluminum</w:t>
      </w:r>
      <w:r>
        <w:rPr>
          <w:rFonts w:hint="eastAsia"/>
          <w:sz w:val="18"/>
          <w:szCs w:val="20"/>
        </w:rPr>
        <w:t xml:space="preserve"> </w:t>
      </w:r>
      <w:r>
        <w:rPr>
          <w:sz w:val="18"/>
          <w:szCs w:val="20"/>
        </w:rPr>
        <w:t>alloy</w:t>
      </w:r>
      <w:r>
        <w:rPr>
          <w:rFonts w:hint="eastAsia"/>
          <w:sz w:val="18"/>
          <w:szCs w:val="20"/>
        </w:rPr>
        <w:t xml:space="preserve"> </w:t>
      </w:r>
      <w:r>
        <w:rPr>
          <w:sz w:val="18"/>
          <w:szCs w:val="20"/>
        </w:rPr>
        <w:t>welded</w:t>
      </w:r>
      <w:r>
        <w:rPr>
          <w:rFonts w:hint="eastAsia"/>
          <w:sz w:val="18"/>
          <w:szCs w:val="20"/>
        </w:rPr>
        <w:t xml:space="preserve"> </w:t>
      </w:r>
      <w:r>
        <w:rPr>
          <w:sz w:val="18"/>
          <w:szCs w:val="20"/>
        </w:rPr>
        <w:t>joint</w:t>
      </w:r>
      <w:r>
        <w:rPr>
          <w:rFonts w:hint="eastAsia"/>
          <w:sz w:val="18"/>
          <w:szCs w:val="20"/>
        </w:rPr>
        <w:t xml:space="preserve"> </w:t>
      </w:r>
      <w:r>
        <w:rPr>
          <w:sz w:val="18"/>
          <w:szCs w:val="20"/>
        </w:rPr>
        <w:t>under</w:t>
      </w:r>
      <w:r>
        <w:rPr>
          <w:rFonts w:hint="eastAsia"/>
          <w:sz w:val="18"/>
          <w:szCs w:val="20"/>
        </w:rPr>
        <w:t xml:space="preserve"> </w:t>
      </w:r>
      <w:r>
        <w:rPr>
          <w:sz w:val="18"/>
          <w:szCs w:val="20"/>
        </w:rPr>
        <w:t>optimum</w:t>
      </w:r>
      <w:r>
        <w:rPr>
          <w:rFonts w:hint="eastAsia"/>
          <w:sz w:val="18"/>
          <w:szCs w:val="20"/>
        </w:rPr>
        <w:t xml:space="preserve"> </w:t>
      </w:r>
      <w:r>
        <w:rPr>
          <w:sz w:val="18"/>
          <w:szCs w:val="20"/>
        </w:rPr>
        <w:t>laser</w:t>
      </w:r>
      <w:r>
        <w:rPr>
          <w:rFonts w:hint="eastAsia"/>
          <w:sz w:val="18"/>
          <w:szCs w:val="20"/>
        </w:rPr>
        <w:t xml:space="preserve"> </w:t>
      </w:r>
      <w:r>
        <w:rPr>
          <w:sz w:val="18"/>
          <w:szCs w:val="20"/>
        </w:rPr>
        <w:t>power(</w:t>
      </w:r>
      <w:bookmarkStart w:id="7" w:name="OLE_LINK2"/>
      <w:r>
        <w:rPr>
          <w:position w:val="-6"/>
          <w:sz w:val="21"/>
          <w:szCs w:val="21"/>
        </w:rPr>
        <w:object>
          <v:shape id="_x0000_i1055" o:spt="75" type="#_x0000_t75" style="height:11.95pt;width:34.9pt;" o:ole="t" filled="f" o:preferrelative="t" stroked="f" coordsize="21600,21600">
            <v:path/>
            <v:fill on="f" focussize="0,0"/>
            <v:stroke on="f" joinstyle="miter"/>
            <v:imagedata r:id="rId80" o:title=""/>
            <o:lock v:ext="edit" aspectratio="t"/>
            <w10:wrap type="none"/>
            <w10:anchorlock/>
          </v:shape>
          <o:OLEObject Type="Embed" ProgID="Equation.DSMT4" ShapeID="_x0000_i1055" DrawAspect="Content" ObjectID="_1468075750" r:id="rId79">
            <o:LockedField>false</o:LockedField>
          </o:OLEObject>
        </w:object>
      </w:r>
      <w:bookmarkEnd w:id="7"/>
      <w:r>
        <w:rPr>
          <w:sz w:val="18"/>
          <w:szCs w:val="20"/>
        </w:rPr>
        <w:t>W,</w:t>
      </w:r>
      <w:r>
        <w:rPr>
          <w:sz w:val="21"/>
          <w:szCs w:val="21"/>
        </w:rPr>
        <w:t xml:space="preserve"> </w:t>
      </w:r>
      <w:r>
        <w:rPr>
          <w:position w:val="-6"/>
          <w:sz w:val="21"/>
          <w:szCs w:val="21"/>
        </w:rPr>
        <w:object>
          <v:shape id="_x0000_i1056" o:spt="75" type="#_x0000_t75" style="height:11.95pt;width:23.85pt;" o:ole="t" filled="f" o:preferrelative="t" stroked="f" coordsize="21600,21600">
            <v:path/>
            <v:fill on="f" focussize="0,0"/>
            <v:stroke on="f" joinstyle="miter"/>
            <v:imagedata r:id="rId82" o:title=""/>
            <o:lock v:ext="edit" aspectratio="t"/>
            <w10:wrap type="none"/>
            <w10:anchorlock/>
          </v:shape>
          <o:OLEObject Type="Embed" ProgID="Equation.DSMT4" ShapeID="_x0000_i1056" DrawAspect="Content" ObjectID="_1468075751" r:id="rId81">
            <o:LockedField>false</o:LockedField>
          </o:OLEObject>
        </w:object>
      </w:r>
      <w:r>
        <w:rPr>
          <w:sz w:val="18"/>
          <w:szCs w:val="20"/>
        </w:rPr>
        <w:t xml:space="preserve"> mm/s) :(a) surface</w:t>
      </w:r>
      <w:r>
        <w:rPr>
          <w:rFonts w:hint="eastAsia"/>
          <w:sz w:val="18"/>
          <w:szCs w:val="20"/>
        </w:rPr>
        <w:t xml:space="preserve"> </w:t>
      </w:r>
      <w:r>
        <w:rPr>
          <w:sz w:val="18"/>
          <w:szCs w:val="20"/>
        </w:rPr>
        <w:t>morphology;(b) cross-sectional</w:t>
      </w:r>
      <w:r>
        <w:rPr>
          <w:rFonts w:hint="eastAsia"/>
          <w:sz w:val="18"/>
          <w:szCs w:val="20"/>
        </w:rPr>
        <w:t xml:space="preserve"> </w:t>
      </w:r>
      <w:r>
        <w:rPr>
          <w:sz w:val="18"/>
          <w:szCs w:val="20"/>
        </w:rPr>
        <w:t>morphology</w:t>
      </w:r>
    </w:p>
    <w:p w14:paraId="5EC425B2">
      <w:pPr>
        <w:pStyle w:val="31"/>
        <w:ind w:firstLineChars="0"/>
        <w:rPr>
          <w:sz w:val="21"/>
          <w:szCs w:val="21"/>
        </w:rPr>
      </w:pPr>
      <w:r>
        <w:rPr>
          <w:rFonts w:hint="eastAsia"/>
          <w:sz w:val="21"/>
          <w:szCs w:val="21"/>
        </w:rPr>
        <w:t>The weld morphology characteristics under the optimal welding speed parameters (</w:t>
      </w:r>
      <w:r>
        <w:rPr>
          <w:position w:val="-6"/>
          <w:sz w:val="21"/>
          <w:szCs w:val="21"/>
        </w:rPr>
        <w:object>
          <v:shape id="_x0000_i1057" o:spt="75" type="#_x0000_t75" style="height:11.95pt;width:28.7pt;" o:ole="t" filled="f" o:preferrelative="t" stroked="f" coordsize="21600,21600">
            <v:path/>
            <v:fill on="f" focussize="0,0"/>
            <v:stroke on="f" joinstyle="miter"/>
            <v:imagedata r:id="rId84" o:title=""/>
            <o:lock v:ext="edit" aspectratio="t"/>
            <w10:wrap type="none"/>
            <w10:anchorlock/>
          </v:shape>
          <o:OLEObject Type="Embed" ProgID="Equation.DSMT4" ShapeID="_x0000_i1057" DrawAspect="Content" ObjectID="_1468075752" r:id="rId83">
            <o:LockedField>false</o:LockedField>
          </o:OLEObject>
        </w:object>
      </w:r>
      <w:r>
        <w:rPr>
          <w:rFonts w:hint="eastAsia"/>
          <w:sz w:val="21"/>
          <w:szCs w:val="21"/>
        </w:rPr>
        <w:t xml:space="preserve">mm/s, </w:t>
      </w:r>
      <w:r>
        <w:rPr>
          <w:position w:val="-6"/>
          <w:sz w:val="21"/>
          <w:szCs w:val="21"/>
        </w:rPr>
        <w:object>
          <v:shape id="_x0000_i1058" o:spt="75" type="#_x0000_t75" style="height:11.95pt;width:30.05pt;" o:ole="t" filled="f" o:preferrelative="t" stroked="f" coordsize="21600,21600">
            <v:path/>
            <v:fill on="f" focussize="0,0"/>
            <v:stroke on="f" joinstyle="miter"/>
            <v:imagedata r:id="rId86" o:title=""/>
            <o:lock v:ext="edit" aspectratio="t"/>
            <w10:wrap type="none"/>
            <w10:anchorlock/>
          </v:shape>
          <o:OLEObject Type="Embed" ProgID="Equation.DSMT4" ShapeID="_x0000_i1058" DrawAspect="Content" ObjectID="_1468075753" r:id="rId85">
            <o:LockedField>false</o:LockedField>
          </o:OLEObject>
        </w:object>
      </w:r>
      <w:r>
        <w:rPr>
          <w:rFonts w:hint="eastAsia"/>
          <w:sz w:val="21"/>
          <w:szCs w:val="21"/>
        </w:rPr>
        <w:t>W) deduced in this paper are shown in Figure 11.When the welding speed is 55 mm/s, the surface morphology and cross-sectional morphology overall exhibit clear fish-scale patterns and well-mixed copper-aluminum fusion, indicating good weld quality. This makes 55 mm/s a suitable welding speed for laser deep penetration welding of thin-plate copper-aluminum dissimilar metals.</w:t>
      </w:r>
    </w:p>
    <w:p w14:paraId="25E712B4">
      <w:pPr>
        <w:pStyle w:val="31"/>
        <w:ind w:firstLine="0" w:firstLineChars="0"/>
        <w:jc w:val="center"/>
        <w:rPr>
          <w:b/>
          <w:bCs/>
          <w:color w:val="FF0000"/>
          <w:u w:val="single"/>
        </w:rPr>
      </w:pPr>
      <w:r>
        <w:drawing>
          <wp:inline distT="0" distB="0" distL="114300" distR="114300">
            <wp:extent cx="1439545" cy="1079500"/>
            <wp:effectExtent l="0" t="0" r="8255" b="6350"/>
            <wp:docPr id="18" name="图片 9" descr="C:/Users/26434/Desktop/激光焊接图片更改/9a.png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descr="C:/Users/26434/Desktop/激光焊接图片更改/9a.png9a"/>
                    <pic:cNvPicPr>
                      <a:picLocks noChangeAspect="1"/>
                    </pic:cNvPicPr>
                  </pic:nvPicPr>
                  <pic:blipFill>
                    <a:blip r:embed="rId87"/>
                    <a:srcRect t="157" b="157"/>
                    <a:stretch>
                      <a:fillRect/>
                    </a:stretch>
                  </pic:blipFill>
                  <pic:spPr>
                    <a:xfrm>
                      <a:off x="0" y="0"/>
                      <a:ext cx="1440000" cy="1080000"/>
                    </a:xfrm>
                    <a:prstGeom prst="rect">
                      <a:avLst/>
                    </a:prstGeom>
                    <a:noFill/>
                    <a:ln>
                      <a:noFill/>
                    </a:ln>
                  </pic:spPr>
                </pic:pic>
              </a:graphicData>
            </a:graphic>
          </wp:inline>
        </w:drawing>
      </w:r>
      <w:r>
        <w:drawing>
          <wp:inline distT="0" distB="0" distL="114300" distR="114300">
            <wp:extent cx="1439545" cy="1079500"/>
            <wp:effectExtent l="0" t="0" r="8255" b="6350"/>
            <wp:docPr id="19" name="图片 76" descr="C:/Users/26434/Desktop/激光焊接图片更改/9(b).png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6" descr="C:/Users/26434/Desktop/激光焊接图片更改/9(b).png9(b)"/>
                    <pic:cNvPicPr>
                      <a:picLocks noChangeAspect="1"/>
                    </pic:cNvPicPr>
                  </pic:nvPicPr>
                  <pic:blipFill>
                    <a:blip r:embed="rId88"/>
                    <a:srcRect t="157" b="157"/>
                    <a:stretch>
                      <a:fillRect/>
                    </a:stretch>
                  </pic:blipFill>
                  <pic:spPr>
                    <a:xfrm>
                      <a:off x="0" y="0"/>
                      <a:ext cx="1440000" cy="1080000"/>
                    </a:xfrm>
                    <a:prstGeom prst="rect">
                      <a:avLst/>
                    </a:prstGeom>
                    <a:noFill/>
                    <a:ln>
                      <a:noFill/>
                    </a:ln>
                  </pic:spPr>
                </pic:pic>
              </a:graphicData>
            </a:graphic>
          </wp:inline>
        </w:drawing>
      </w:r>
    </w:p>
    <w:p w14:paraId="2CC55297">
      <w:pPr>
        <w:ind w:firstLine="361"/>
        <w:jc w:val="center"/>
        <w:rPr>
          <w:b/>
          <w:bCs/>
        </w:rPr>
      </w:pPr>
      <w:r>
        <w:rPr>
          <w:b/>
          <w:bCs/>
          <w:color w:val="000000"/>
          <w:sz w:val="18"/>
          <w:szCs w:val="18"/>
        </w:rPr>
        <w:t>Fig.</w:t>
      </w:r>
      <w:r>
        <w:rPr>
          <w:rFonts w:hint="eastAsia"/>
          <w:b/>
          <w:bCs/>
          <w:color w:val="000000"/>
          <w:sz w:val="18"/>
          <w:szCs w:val="18"/>
        </w:rPr>
        <w:t>11</w:t>
      </w:r>
      <w:r>
        <w:rPr>
          <w:rFonts w:hint="eastAsia"/>
          <w:b/>
          <w:bCs/>
          <w:color w:val="000000"/>
          <w:sz w:val="20"/>
          <w:szCs w:val="20"/>
        </w:rPr>
        <w:t xml:space="preserve"> </w:t>
      </w:r>
      <w:r>
        <w:rPr>
          <w:sz w:val="18"/>
          <w:szCs w:val="20"/>
        </w:rPr>
        <w:t>Weld</w:t>
      </w:r>
      <w:r>
        <w:rPr>
          <w:rFonts w:hint="eastAsia"/>
          <w:sz w:val="18"/>
          <w:szCs w:val="20"/>
        </w:rPr>
        <w:t xml:space="preserve"> </w:t>
      </w:r>
      <w:r>
        <w:rPr>
          <w:sz w:val="18"/>
          <w:szCs w:val="20"/>
        </w:rPr>
        <w:t>morphology</w:t>
      </w:r>
      <w:r>
        <w:rPr>
          <w:rFonts w:hint="eastAsia"/>
          <w:sz w:val="18"/>
          <w:szCs w:val="20"/>
        </w:rPr>
        <w:t xml:space="preserve"> </w:t>
      </w:r>
      <w:r>
        <w:rPr>
          <w:sz w:val="18"/>
          <w:szCs w:val="20"/>
        </w:rPr>
        <w:t>of</w:t>
      </w:r>
      <w:r>
        <w:rPr>
          <w:rFonts w:hint="eastAsia"/>
          <w:sz w:val="18"/>
          <w:szCs w:val="20"/>
        </w:rPr>
        <w:t xml:space="preserve"> </w:t>
      </w:r>
      <w:r>
        <w:rPr>
          <w:sz w:val="18"/>
          <w:szCs w:val="20"/>
        </w:rPr>
        <w:t>thin-plate</w:t>
      </w:r>
      <w:r>
        <w:rPr>
          <w:rFonts w:hint="eastAsia"/>
          <w:sz w:val="18"/>
          <w:szCs w:val="20"/>
        </w:rPr>
        <w:t xml:space="preserve"> </w:t>
      </w:r>
      <w:r>
        <w:rPr>
          <w:sz w:val="18"/>
          <w:szCs w:val="20"/>
        </w:rPr>
        <w:t>heterogeneous</w:t>
      </w:r>
      <w:r>
        <w:rPr>
          <w:rFonts w:hint="eastAsia"/>
          <w:sz w:val="18"/>
          <w:szCs w:val="20"/>
        </w:rPr>
        <w:t xml:space="preserve"> </w:t>
      </w:r>
      <w:r>
        <w:rPr>
          <w:sz w:val="18"/>
          <w:szCs w:val="20"/>
        </w:rPr>
        <w:t>aluminum</w:t>
      </w:r>
      <w:r>
        <w:rPr>
          <w:rFonts w:hint="eastAsia"/>
          <w:sz w:val="18"/>
          <w:szCs w:val="20"/>
        </w:rPr>
        <w:t xml:space="preserve"> </w:t>
      </w:r>
      <w:r>
        <w:rPr>
          <w:sz w:val="18"/>
          <w:szCs w:val="20"/>
        </w:rPr>
        <w:t>alloy</w:t>
      </w:r>
      <w:r>
        <w:rPr>
          <w:rFonts w:hint="eastAsia"/>
          <w:sz w:val="18"/>
          <w:szCs w:val="20"/>
        </w:rPr>
        <w:t xml:space="preserve"> </w:t>
      </w:r>
      <w:r>
        <w:rPr>
          <w:sz w:val="18"/>
          <w:szCs w:val="20"/>
        </w:rPr>
        <w:t>welded joint</w:t>
      </w:r>
      <w:r>
        <w:rPr>
          <w:rFonts w:hint="eastAsia"/>
          <w:sz w:val="18"/>
          <w:szCs w:val="20"/>
        </w:rPr>
        <w:t xml:space="preserve"> </w:t>
      </w:r>
      <w:r>
        <w:rPr>
          <w:sz w:val="18"/>
          <w:szCs w:val="20"/>
        </w:rPr>
        <w:t>at</w:t>
      </w:r>
      <w:r>
        <w:rPr>
          <w:rFonts w:hint="eastAsia"/>
          <w:sz w:val="18"/>
          <w:szCs w:val="20"/>
        </w:rPr>
        <w:t xml:space="preserve"> </w:t>
      </w:r>
      <w:r>
        <w:rPr>
          <w:sz w:val="18"/>
          <w:szCs w:val="20"/>
        </w:rPr>
        <w:t>the</w:t>
      </w:r>
      <w:r>
        <w:rPr>
          <w:rFonts w:hint="eastAsia"/>
          <w:sz w:val="18"/>
          <w:szCs w:val="20"/>
        </w:rPr>
        <w:t xml:space="preserve"> </w:t>
      </w:r>
      <w:r>
        <w:rPr>
          <w:sz w:val="18"/>
          <w:szCs w:val="20"/>
        </w:rPr>
        <w:t>best</w:t>
      </w:r>
      <w:r>
        <w:rPr>
          <w:rFonts w:hint="eastAsia"/>
          <w:sz w:val="18"/>
          <w:szCs w:val="20"/>
        </w:rPr>
        <w:t xml:space="preserve"> </w:t>
      </w:r>
      <w:r>
        <w:rPr>
          <w:sz w:val="18"/>
          <w:szCs w:val="20"/>
        </w:rPr>
        <w:t>welding</w:t>
      </w:r>
      <w:r>
        <w:rPr>
          <w:rFonts w:hint="eastAsia"/>
          <w:sz w:val="18"/>
          <w:szCs w:val="20"/>
        </w:rPr>
        <w:t xml:space="preserve"> </w:t>
      </w:r>
      <w:r>
        <w:rPr>
          <w:sz w:val="18"/>
          <w:szCs w:val="20"/>
        </w:rPr>
        <w:t>speed(</w:t>
      </w:r>
      <w:r>
        <w:rPr>
          <w:position w:val="-6"/>
          <w:sz w:val="21"/>
          <w:szCs w:val="21"/>
        </w:rPr>
        <w:object>
          <v:shape id="_x0000_i1059" o:spt="75" type="#_x0000_t75" style="height:11.95pt;width:23.85pt;" o:ole="t" filled="f" o:preferrelative="t" stroked="f" coordsize="21600,21600">
            <v:path/>
            <v:fill on="f" focussize="0,0"/>
            <v:stroke on="f" joinstyle="miter"/>
            <v:imagedata r:id="rId90" o:title=""/>
            <o:lock v:ext="edit" aspectratio="t"/>
            <w10:wrap type="none"/>
            <w10:anchorlock/>
          </v:shape>
          <o:OLEObject Type="Embed" ProgID="Equation.DSMT4" ShapeID="_x0000_i1059" DrawAspect="Content" ObjectID="_1468075754" r:id="rId89">
            <o:LockedField>false</o:LockedField>
          </o:OLEObject>
        </w:object>
      </w:r>
      <w:r>
        <w:rPr>
          <w:sz w:val="18"/>
          <w:szCs w:val="20"/>
        </w:rPr>
        <w:t>mm/s,</w:t>
      </w:r>
      <w:r>
        <w:rPr>
          <w:sz w:val="21"/>
          <w:szCs w:val="21"/>
        </w:rPr>
        <w:t xml:space="preserve"> </w:t>
      </w:r>
      <w:r>
        <w:rPr>
          <w:position w:val="-6"/>
          <w:sz w:val="21"/>
          <w:szCs w:val="21"/>
        </w:rPr>
        <w:object>
          <v:shape id="_x0000_i1060" o:spt="75" type="#_x0000_t75" style="height:11.95pt;width:30.05pt;" o:ole="t" filled="f" o:preferrelative="t" stroked="f" coordsize="21600,21600">
            <v:path/>
            <v:fill on="f" focussize="0,0"/>
            <v:stroke on="f" joinstyle="miter"/>
            <v:imagedata r:id="rId92" o:title=""/>
            <o:lock v:ext="edit" aspectratio="t"/>
            <w10:wrap type="none"/>
            <w10:anchorlock/>
          </v:shape>
          <o:OLEObject Type="Embed" ProgID="Equation.DSMT4" ShapeID="_x0000_i1060" DrawAspect="Content" ObjectID="_1468075755" r:id="rId91">
            <o:LockedField>false</o:LockedField>
          </o:OLEObject>
        </w:object>
      </w:r>
      <w:r>
        <w:rPr>
          <w:sz w:val="18"/>
          <w:szCs w:val="20"/>
        </w:rPr>
        <w:t xml:space="preserve"> W) :(a) surface</w:t>
      </w:r>
      <w:r>
        <w:rPr>
          <w:rFonts w:hint="eastAsia"/>
          <w:sz w:val="18"/>
          <w:szCs w:val="20"/>
        </w:rPr>
        <w:t xml:space="preserve"> </w:t>
      </w:r>
      <w:r>
        <w:rPr>
          <w:sz w:val="18"/>
          <w:szCs w:val="20"/>
        </w:rPr>
        <w:t>morphology;(b) cross-sectional</w:t>
      </w:r>
      <w:r>
        <w:rPr>
          <w:rFonts w:hint="eastAsia"/>
          <w:sz w:val="18"/>
          <w:szCs w:val="20"/>
        </w:rPr>
        <w:t xml:space="preserve"> </w:t>
      </w:r>
      <w:r>
        <w:rPr>
          <w:sz w:val="18"/>
          <w:szCs w:val="20"/>
        </w:rPr>
        <w:t>morphology</w:t>
      </w:r>
    </w:p>
    <w:p w14:paraId="3D9592B9">
      <w:pPr>
        <w:numPr>
          <w:ilvl w:val="0"/>
          <w:numId w:val="1"/>
        </w:numPr>
        <w:wordWrap w:val="0"/>
        <w:spacing w:line="276" w:lineRule="auto"/>
        <w:ind w:firstLineChars="0"/>
        <w:rPr>
          <w:b/>
          <w:bCs/>
          <w:szCs w:val="24"/>
        </w:rPr>
      </w:pPr>
      <w:r>
        <w:rPr>
          <w:rFonts w:hint="eastAsia"/>
          <w:b/>
          <w:bCs/>
          <w:szCs w:val="24"/>
        </w:rPr>
        <w:t>Conclusions</w:t>
      </w:r>
    </w:p>
    <w:p w14:paraId="2E2AA8F6">
      <w:pPr>
        <w:pStyle w:val="27"/>
        <w:numPr>
          <w:ilvl w:val="0"/>
          <w:numId w:val="5"/>
        </w:numPr>
        <w:spacing w:line="276" w:lineRule="auto"/>
        <w:ind w:firstLineChars="0"/>
        <w:rPr>
          <w:sz w:val="21"/>
          <w:szCs w:val="21"/>
        </w:rPr>
      </w:pPr>
      <w:r>
        <w:rPr>
          <w:rFonts w:hint="eastAsia"/>
          <w:sz w:val="21"/>
          <w:szCs w:val="21"/>
        </w:rPr>
        <w:t>This paper uses a double-ellipsoid heat source model to numerically simulate the laser deep penetration welding process of thin-plate copper-aluminum dissimilar metals, and deeply investigates the heat and mass transfer behaviors during the laser deep penetration welding process of thin-plate copper-aluminum dissimilar metals and the influence laws of process parameters on them.</w:t>
      </w:r>
    </w:p>
    <w:p w14:paraId="35A0B278">
      <w:pPr>
        <w:pStyle w:val="27"/>
        <w:numPr>
          <w:ilvl w:val="0"/>
          <w:numId w:val="5"/>
        </w:numPr>
        <w:spacing w:line="276" w:lineRule="auto"/>
        <w:ind w:firstLineChars="0"/>
        <w:rPr>
          <w:sz w:val="21"/>
          <w:szCs w:val="21"/>
        </w:rPr>
      </w:pPr>
      <w:r>
        <w:rPr>
          <w:rFonts w:hint="eastAsia"/>
          <w:sz w:val="21"/>
          <w:szCs w:val="21"/>
        </w:rPr>
        <w:t>Heat transfer process: The temperature field is symmetrically distributed along the welding direction, and the shape of the molten pool is stable and gradually expands with the welding process. The temperature gradient at the front end of the laser beam is greater than that at the rear end, and the laser power dominates the size of the molten pool. The welding speed affects the temperature gradient by regulating the energy density. Due to the melting point of copper being higher than that of aluminum, its penetration width is smaller than that of the aluminum side. The molten pool in the cross-section is in a "bowl" shape with a narrowed opening, and the longitudinal heat conduction effect is significant.</w:t>
      </w:r>
    </w:p>
    <w:p w14:paraId="70EB7BE9">
      <w:pPr>
        <w:pStyle w:val="27"/>
        <w:numPr>
          <w:ilvl w:val="0"/>
          <w:numId w:val="5"/>
        </w:numPr>
        <w:spacing w:line="276" w:lineRule="auto"/>
        <w:ind w:firstLineChars="0"/>
        <w:rPr>
          <w:sz w:val="21"/>
          <w:szCs w:val="21"/>
        </w:rPr>
      </w:pPr>
      <w:r>
        <w:rPr>
          <w:rFonts w:hint="eastAsia"/>
          <w:sz w:val="21"/>
          <w:szCs w:val="21"/>
        </w:rPr>
        <w:t>Mass transfer process: The phenomenon of "aluminum intrusion into copper" is overall presented. In the early stage of welding, part of the copper sublimes into vapor to form a keyhole, and after aluminum liquefies, it recoils upward and mixes with copper. As welding progresses, the "aluminum intrusion into copper" phenomenon intensifies, eventually forming a uniform copper-aluminum mixed weld.</w:t>
      </w:r>
    </w:p>
    <w:p w14:paraId="14FD7D14">
      <w:pPr>
        <w:pStyle w:val="27"/>
        <w:numPr>
          <w:ilvl w:val="0"/>
          <w:numId w:val="5"/>
        </w:numPr>
        <w:spacing w:line="276" w:lineRule="auto"/>
        <w:ind w:firstLineChars="0"/>
        <w:rPr>
          <w:b/>
          <w:bCs/>
        </w:rPr>
      </w:pPr>
      <w:r>
        <w:rPr>
          <w:rFonts w:hint="eastAsia"/>
          <w:sz w:val="21"/>
          <w:szCs w:val="21"/>
        </w:rPr>
        <w:t>The effectiveness of the double-ellipsoid heat source model is verified through simulation and experiment (with errors in penetration width and depth both &lt;10% and good agreement in weld morphology), providing process solutions for copper-aluminum welding in power batteries of new energy vehicles. Optimizing parameters can improve weld quality, enhance the performance of battery connection components, and promote the engineering application of copper-aluminum welding in this field.</w:t>
      </w:r>
    </w:p>
    <w:p w14:paraId="700C1AB6">
      <w:pPr>
        <w:spacing w:line="276" w:lineRule="auto"/>
        <w:ind w:firstLine="0" w:firstLineChars="0"/>
        <w:rPr>
          <w:b/>
          <w:bCs/>
        </w:rPr>
      </w:pPr>
      <w:r>
        <w:rPr>
          <w:rFonts w:hint="eastAsia"/>
          <w:b/>
          <w:bCs/>
        </w:rPr>
        <w:t>Data Availability</w:t>
      </w:r>
    </w:p>
    <w:p w14:paraId="3EDAEEE8">
      <w:pPr>
        <w:ind w:firstLine="480"/>
      </w:pPr>
      <w:r>
        <w:rPr>
          <w:rFonts w:hint="eastAsia"/>
        </w:rPr>
        <w:t>The data that supports the findings of this study are available from the corresponding author, upon reasonable request.</w:t>
      </w:r>
    </w:p>
    <w:p w14:paraId="5BB41D3D">
      <w:pPr>
        <w:spacing w:line="276" w:lineRule="auto"/>
        <w:ind w:firstLine="0" w:firstLineChars="0"/>
        <w:rPr>
          <w:b/>
          <w:bCs/>
        </w:rPr>
      </w:pPr>
      <w:r>
        <w:rPr>
          <w:rFonts w:hint="eastAsia"/>
          <w:b/>
          <w:bCs/>
        </w:rPr>
        <w:t>References</w:t>
      </w:r>
    </w:p>
    <w:p w14:paraId="27D2971C">
      <w:pPr>
        <w:pStyle w:val="27"/>
        <w:numPr>
          <w:ilvl w:val="0"/>
          <w:numId w:val="6"/>
        </w:numPr>
        <w:wordWrap w:val="0"/>
        <w:spacing w:line="240" w:lineRule="auto"/>
        <w:ind w:left="442" w:hanging="442" w:firstLineChars="0"/>
        <w:rPr>
          <w:sz w:val="21"/>
          <w:szCs w:val="21"/>
        </w:rPr>
      </w:pPr>
      <w:bookmarkStart w:id="8" w:name="_Ref10960"/>
      <w:bookmarkStart w:id="9" w:name="_Ref134909756"/>
      <w:bookmarkStart w:id="10" w:name="_Hlk136284197"/>
      <w:bookmarkStart w:id="11" w:name="_Ref17121"/>
      <w:r>
        <w:rPr>
          <w:sz w:val="21"/>
          <w:szCs w:val="21"/>
        </w:rPr>
        <w:t xml:space="preserve">Maev, R. G., Leshchynsky, V., Strumban, E., et al. (2023). Tab-to-busbar interconnects formed by dual flow cold spraying. In International Thermal Spray Conference (pp. 597–603). </w:t>
      </w:r>
      <w:r>
        <w:rPr>
          <w:i/>
          <w:iCs/>
          <w:sz w:val="21"/>
          <w:szCs w:val="21"/>
        </w:rPr>
        <w:t>ASM International</w:t>
      </w:r>
      <w:r>
        <w:rPr>
          <w:sz w:val="21"/>
          <w:szCs w:val="21"/>
        </w:rPr>
        <w:t>. DOI:10.31399/asm.cp.itsc2023p0597</w:t>
      </w:r>
      <w:bookmarkEnd w:id="8"/>
    </w:p>
    <w:bookmarkEnd w:id="9"/>
    <w:bookmarkEnd w:id="10"/>
    <w:bookmarkEnd w:id="11"/>
    <w:p w14:paraId="54FBE0DE">
      <w:pPr>
        <w:pStyle w:val="27"/>
        <w:numPr>
          <w:ilvl w:val="0"/>
          <w:numId w:val="6"/>
        </w:numPr>
        <w:wordWrap w:val="0"/>
        <w:spacing w:line="240" w:lineRule="auto"/>
        <w:ind w:left="442" w:hanging="442" w:firstLineChars="0"/>
        <w:rPr>
          <w:sz w:val="21"/>
          <w:szCs w:val="21"/>
        </w:rPr>
      </w:pPr>
      <w:bookmarkStart w:id="12" w:name="_Ref10963"/>
      <w:bookmarkStart w:id="13" w:name="_Ref16300"/>
      <w:bookmarkStart w:id="14" w:name="_Ref134909767"/>
      <w:r>
        <w:rPr>
          <w:sz w:val="21"/>
          <w:szCs w:val="21"/>
        </w:rPr>
        <w:t xml:space="preserve">Ma, B., Gao, X. D., Huang, Y. J., Gao, P. P., &amp; Zhang, Y. X. (2023). A review of laser welding for aluminium and copper dissimilar metals. </w:t>
      </w:r>
      <w:r>
        <w:rPr>
          <w:i/>
          <w:iCs/>
          <w:sz w:val="21"/>
          <w:szCs w:val="21"/>
        </w:rPr>
        <w:t>Optics &amp; Laser Technology</w:t>
      </w:r>
      <w:r>
        <w:rPr>
          <w:sz w:val="21"/>
          <w:szCs w:val="21"/>
        </w:rPr>
        <w:t>, 167, 109721. DOI:10.1016/j.optlastec.2023.109721</w:t>
      </w:r>
      <w:bookmarkEnd w:id="12"/>
    </w:p>
    <w:p w14:paraId="5DEE7A5D">
      <w:pPr>
        <w:pStyle w:val="27"/>
        <w:numPr>
          <w:ilvl w:val="0"/>
          <w:numId w:val="6"/>
        </w:numPr>
        <w:wordWrap w:val="0"/>
        <w:spacing w:line="240" w:lineRule="auto"/>
        <w:ind w:left="442" w:hanging="442" w:firstLineChars="0"/>
        <w:rPr>
          <w:sz w:val="21"/>
          <w:szCs w:val="21"/>
        </w:rPr>
      </w:pPr>
      <w:bookmarkStart w:id="15" w:name="_Ref13227"/>
      <w:r>
        <w:rPr>
          <w:sz w:val="21"/>
          <w:szCs w:val="21"/>
        </w:rPr>
        <w:t>Seffer, O., Springer, A., &amp; Kaierle, S. (2018). Investigations on remote laser beam welding of dissimilar joints of austenitic chromium - nickel steel (X5CrNi18 - 10) and aluminum alloy (AA6082 - T6) for battery housings. Journal of Laser Applications, 30(3), 032404. DOI:10.2351/1.5040638</w:t>
      </w:r>
      <w:bookmarkEnd w:id="15"/>
    </w:p>
    <w:bookmarkEnd w:id="13"/>
    <w:p w14:paraId="20D93A32">
      <w:pPr>
        <w:pStyle w:val="27"/>
        <w:numPr>
          <w:ilvl w:val="0"/>
          <w:numId w:val="6"/>
        </w:numPr>
        <w:wordWrap w:val="0"/>
        <w:spacing w:line="240" w:lineRule="auto"/>
        <w:ind w:left="442" w:hanging="442" w:firstLineChars="0"/>
        <w:rPr>
          <w:sz w:val="21"/>
          <w:szCs w:val="21"/>
        </w:rPr>
      </w:pPr>
      <w:bookmarkStart w:id="16" w:name="_Ref13230"/>
      <w:bookmarkStart w:id="17" w:name="_Ref18156"/>
      <w:r>
        <w:rPr>
          <w:sz w:val="21"/>
          <w:szCs w:val="21"/>
        </w:rPr>
        <w:t xml:space="preserve">Persic, A., Premec, A., Magas, L., et al. (2022). Battery package fused bus bar design for cylindrical battery cells. In 2022 26th </w:t>
      </w:r>
      <w:r>
        <w:rPr>
          <w:i/>
          <w:iCs/>
          <w:sz w:val="21"/>
          <w:szCs w:val="21"/>
        </w:rPr>
        <w:t>Int. Conf. Electron</w:t>
      </w:r>
      <w:r>
        <w:rPr>
          <w:sz w:val="21"/>
          <w:szCs w:val="21"/>
        </w:rPr>
        <w:t>. (pp. 1–6). IEEE. DOI:10.1109/IEEECONF55059.2022.9810386</w:t>
      </w:r>
      <w:bookmarkEnd w:id="16"/>
    </w:p>
    <w:bookmarkEnd w:id="14"/>
    <w:bookmarkEnd w:id="17"/>
    <w:p w14:paraId="489A6608">
      <w:pPr>
        <w:pStyle w:val="27"/>
        <w:numPr>
          <w:ilvl w:val="0"/>
          <w:numId w:val="6"/>
        </w:numPr>
        <w:wordWrap w:val="0"/>
        <w:spacing w:line="240" w:lineRule="auto"/>
        <w:ind w:left="442" w:hanging="442" w:firstLineChars="0"/>
        <w:rPr>
          <w:sz w:val="21"/>
          <w:szCs w:val="21"/>
        </w:rPr>
      </w:pPr>
      <w:bookmarkStart w:id="18" w:name="_Ref2867"/>
      <w:bookmarkStart w:id="19" w:name="_Ref202698557"/>
      <w:bookmarkStart w:id="20" w:name="_Ref202696210"/>
      <w:bookmarkStart w:id="21" w:name="_Ref16306"/>
      <w:bookmarkStart w:id="22" w:name="_Ref134909773"/>
      <w:bookmarkStart w:id="23" w:name="_Ref134909785"/>
      <w:r>
        <w:rPr>
          <w:sz w:val="21"/>
          <w:szCs w:val="21"/>
        </w:rPr>
        <w:t xml:space="preserve">Chen, X., Tang, S., Xie, W., et al. (2025). Numerical simulation study of laser-arc hybrid welding of 6063/5083 aluminum alloy. </w:t>
      </w:r>
      <w:r>
        <w:rPr>
          <w:i/>
          <w:iCs/>
          <w:sz w:val="21"/>
          <w:szCs w:val="21"/>
        </w:rPr>
        <w:t>J. Mater. Eng. Perform.</w:t>
      </w:r>
      <w:r>
        <w:rPr>
          <w:sz w:val="21"/>
          <w:szCs w:val="21"/>
        </w:rPr>
        <w:t>, 34(11): 9342–9351. DOI:10.1007/s11665-024-09842-4</w:t>
      </w:r>
      <w:bookmarkEnd w:id="18"/>
      <w:bookmarkEnd w:id="19"/>
      <w:bookmarkEnd w:id="20"/>
    </w:p>
    <w:bookmarkEnd w:id="21"/>
    <w:p w14:paraId="664920E3">
      <w:pPr>
        <w:pStyle w:val="27"/>
        <w:numPr>
          <w:ilvl w:val="0"/>
          <w:numId w:val="6"/>
        </w:numPr>
        <w:wordWrap w:val="0"/>
        <w:spacing w:line="240" w:lineRule="auto"/>
        <w:ind w:left="442" w:hanging="442" w:firstLineChars="0"/>
        <w:rPr>
          <w:sz w:val="21"/>
          <w:szCs w:val="21"/>
        </w:rPr>
      </w:pPr>
      <w:bookmarkStart w:id="24" w:name="_Ref202698574"/>
      <w:bookmarkStart w:id="25" w:name="_Ref14747"/>
      <w:bookmarkStart w:id="26" w:name="_Ref202432031"/>
      <w:r>
        <w:rPr>
          <w:sz w:val="21"/>
          <w:szCs w:val="21"/>
        </w:rPr>
        <w:t xml:space="preserve">Mypati, O., Anwaar, T., Mitra, D., et al. (2023). Characterization and modelling of Al and Cu busbar during charging and discharging of Li-ion battery for electric vehicles. </w:t>
      </w:r>
      <w:r>
        <w:rPr>
          <w:i/>
          <w:iCs/>
          <w:sz w:val="21"/>
          <w:szCs w:val="21"/>
        </w:rPr>
        <w:t>Appl. Therm. Eng.</w:t>
      </w:r>
      <w:r>
        <w:rPr>
          <w:sz w:val="21"/>
          <w:szCs w:val="21"/>
        </w:rPr>
        <w:t>, 218: 119239. DOI:10.1016/j.applthermaleng.2022.119239</w:t>
      </w:r>
      <w:bookmarkEnd w:id="24"/>
    </w:p>
    <w:bookmarkEnd w:id="25"/>
    <w:bookmarkEnd w:id="26"/>
    <w:p w14:paraId="1E7F9875">
      <w:pPr>
        <w:pStyle w:val="27"/>
        <w:numPr>
          <w:ilvl w:val="0"/>
          <w:numId w:val="6"/>
        </w:numPr>
        <w:wordWrap w:val="0"/>
        <w:spacing w:line="240" w:lineRule="auto"/>
        <w:ind w:left="442" w:hanging="442" w:firstLineChars="0"/>
        <w:rPr>
          <w:sz w:val="21"/>
          <w:szCs w:val="21"/>
        </w:rPr>
      </w:pPr>
      <w:bookmarkStart w:id="27" w:name="_Ref13289"/>
      <w:bookmarkStart w:id="28" w:name="_Ref14453"/>
      <w:r>
        <w:rPr>
          <w:sz w:val="21"/>
          <w:szCs w:val="21"/>
        </w:rPr>
        <w:t xml:space="preserve">Li, K. (2023). Application of laser welding technology in the thin steel plate. </w:t>
      </w:r>
      <w:r>
        <w:rPr>
          <w:i/>
          <w:iCs/>
          <w:sz w:val="21"/>
          <w:szCs w:val="21"/>
        </w:rPr>
        <w:t>Ship &amp; Ocean Eng.</w:t>
      </w:r>
      <w:r>
        <w:rPr>
          <w:sz w:val="21"/>
          <w:szCs w:val="21"/>
        </w:rPr>
        <w:t>, 52(4): 124–126. DOI:10.3963/j.issn.1671-7953.2023.04.027</w:t>
      </w:r>
      <w:bookmarkEnd w:id="27"/>
    </w:p>
    <w:bookmarkEnd w:id="28"/>
    <w:p w14:paraId="20087AE0">
      <w:pPr>
        <w:pStyle w:val="27"/>
        <w:numPr>
          <w:ilvl w:val="0"/>
          <w:numId w:val="6"/>
        </w:numPr>
        <w:wordWrap w:val="0"/>
        <w:spacing w:line="240" w:lineRule="auto"/>
        <w:ind w:left="442" w:hanging="442" w:firstLineChars="0"/>
        <w:rPr>
          <w:sz w:val="21"/>
          <w:szCs w:val="21"/>
        </w:rPr>
      </w:pPr>
      <w:bookmarkStart w:id="29" w:name="_Ref13795"/>
      <w:bookmarkStart w:id="30" w:name="_Ref14456"/>
      <w:r>
        <w:rPr>
          <w:sz w:val="21"/>
          <w:szCs w:val="21"/>
        </w:rPr>
        <w:t xml:space="preserve">Fujio, S., Sato, Y., Sudo, M., et al. (2024). Spatter reduction in deep penetration welding of pure copper using blue-IR hybrid laser. </w:t>
      </w:r>
      <w:r>
        <w:rPr>
          <w:i/>
          <w:iCs/>
          <w:sz w:val="21"/>
          <w:szCs w:val="21"/>
        </w:rPr>
        <w:t>Weld. World</w:t>
      </w:r>
      <w:r>
        <w:rPr>
          <w:sz w:val="21"/>
          <w:szCs w:val="21"/>
        </w:rPr>
        <w:t>, 68: 1515–1524. DOI:10.1007/s40194-024-01734-4</w:t>
      </w:r>
      <w:bookmarkEnd w:id="29"/>
    </w:p>
    <w:bookmarkEnd w:id="30"/>
    <w:p w14:paraId="005EA9F6">
      <w:pPr>
        <w:pStyle w:val="27"/>
        <w:numPr>
          <w:ilvl w:val="0"/>
          <w:numId w:val="6"/>
        </w:numPr>
        <w:wordWrap w:val="0"/>
        <w:spacing w:line="240" w:lineRule="auto"/>
        <w:ind w:left="442" w:hanging="442" w:firstLineChars="0"/>
        <w:rPr>
          <w:sz w:val="21"/>
          <w:szCs w:val="21"/>
        </w:rPr>
      </w:pPr>
      <w:bookmarkStart w:id="31" w:name="_Ref9798"/>
      <w:r>
        <w:rPr>
          <w:sz w:val="21"/>
          <w:szCs w:val="21"/>
        </w:rPr>
        <w:t xml:space="preserve">Mei, L.F., Liang, Y., Yan, D.B., et al. Numeric simulation and experimental study in magnetic field-assisted laser scanning welding of T2 red copper. </w:t>
      </w:r>
      <w:r>
        <w:rPr>
          <w:i/>
          <w:iCs/>
          <w:sz w:val="21"/>
          <w:szCs w:val="21"/>
        </w:rPr>
        <w:t>Opt. Laser Technol.</w:t>
      </w:r>
      <w:r>
        <w:rPr>
          <w:sz w:val="21"/>
          <w:szCs w:val="21"/>
        </w:rPr>
        <w:t>, 175(2024): 110839. DOI:10.1016/j.optlastec.2024.110839</w:t>
      </w:r>
    </w:p>
    <w:bookmarkEnd w:id="31"/>
    <w:p w14:paraId="4AAAF9E4">
      <w:pPr>
        <w:pStyle w:val="27"/>
        <w:numPr>
          <w:ilvl w:val="0"/>
          <w:numId w:val="6"/>
        </w:numPr>
        <w:wordWrap w:val="0"/>
        <w:spacing w:line="240" w:lineRule="auto"/>
        <w:ind w:left="442" w:hanging="442" w:firstLineChars="0"/>
        <w:rPr>
          <w:sz w:val="21"/>
          <w:szCs w:val="21"/>
        </w:rPr>
      </w:pPr>
      <w:bookmarkStart w:id="32" w:name="_Ref10314"/>
      <w:r>
        <w:rPr>
          <w:sz w:val="21"/>
          <w:szCs w:val="21"/>
        </w:rPr>
        <w:t xml:space="preserve">Yan, S., Li, Z.Y., Song, L.L., et al. Research and development status of laser micro-welding of aluminum-copper dissimilar metals: A review. </w:t>
      </w:r>
      <w:r>
        <w:rPr>
          <w:i/>
          <w:iCs/>
          <w:sz w:val="21"/>
          <w:szCs w:val="21"/>
        </w:rPr>
        <w:t>Opt. Lasers Eng.</w:t>
      </w:r>
      <w:r>
        <w:rPr>
          <w:sz w:val="21"/>
          <w:szCs w:val="21"/>
        </w:rPr>
        <w:t>, 161(2023): 107312. DOI:10.1016/j.optlaseng.2022.107312</w:t>
      </w:r>
    </w:p>
    <w:p w14:paraId="1C416A29">
      <w:pPr>
        <w:pStyle w:val="27"/>
        <w:numPr>
          <w:ilvl w:val="0"/>
          <w:numId w:val="6"/>
        </w:numPr>
        <w:wordWrap w:val="0"/>
        <w:spacing w:line="240" w:lineRule="auto"/>
        <w:ind w:left="442" w:hanging="442" w:firstLineChars="0"/>
        <w:rPr>
          <w:sz w:val="21"/>
          <w:szCs w:val="21"/>
        </w:rPr>
      </w:pPr>
      <w:bookmarkStart w:id="33" w:name="_Ref13798"/>
      <w:r>
        <w:rPr>
          <w:sz w:val="21"/>
          <w:szCs w:val="21"/>
        </w:rPr>
        <w:t xml:space="preserve">Yang, H., Tang, X. H., Hu, C., et al. Study on laser welding of copper material by hybrid light source of blue diode laser and fiber laser [J]. </w:t>
      </w:r>
      <w:r>
        <w:rPr>
          <w:i/>
          <w:iCs/>
          <w:sz w:val="21"/>
          <w:szCs w:val="21"/>
        </w:rPr>
        <w:t>J. Laser Appl.</w:t>
      </w:r>
      <w:r>
        <w:rPr>
          <w:sz w:val="21"/>
          <w:szCs w:val="21"/>
        </w:rPr>
        <w:t>, 33, 032018 (2021). DOI:10.2351/7.0000386</w:t>
      </w:r>
      <w:bookmarkEnd w:id="33"/>
    </w:p>
    <w:bookmarkEnd w:id="22"/>
    <w:bookmarkEnd w:id="32"/>
    <w:p w14:paraId="14926FF4">
      <w:pPr>
        <w:pStyle w:val="27"/>
        <w:numPr>
          <w:ilvl w:val="0"/>
          <w:numId w:val="6"/>
        </w:numPr>
        <w:wordWrap w:val="0"/>
        <w:spacing w:line="240" w:lineRule="auto"/>
        <w:ind w:left="442" w:hanging="442" w:firstLineChars="0"/>
        <w:rPr>
          <w:sz w:val="21"/>
          <w:szCs w:val="21"/>
        </w:rPr>
      </w:pPr>
      <w:bookmarkStart w:id="34" w:name="_Ref14196"/>
      <w:bookmarkStart w:id="35" w:name="_Ref136285098"/>
      <w:bookmarkStart w:id="36" w:name="_Ref16613"/>
      <w:r>
        <w:rPr>
          <w:sz w:val="21"/>
          <w:szCs w:val="21"/>
        </w:rPr>
        <w:t xml:space="preserve">Zhou, J., Chen, C.Y., Zhou, Z.K., et al. Dissimilar laser lap welding of Mg and Al alloys using a CoCrFeNi medium-entropy alloy interlayer. </w:t>
      </w:r>
      <w:r>
        <w:rPr>
          <w:i/>
          <w:iCs/>
          <w:sz w:val="21"/>
          <w:szCs w:val="21"/>
        </w:rPr>
        <w:t>Opt. Laser Technol.</w:t>
      </w:r>
      <w:r>
        <w:rPr>
          <w:sz w:val="21"/>
          <w:szCs w:val="21"/>
        </w:rPr>
        <w:t>, 157(2023): 108639. DOI:10.1016/j.optlastec.2022.108639</w:t>
      </w:r>
      <w:bookmarkEnd w:id="34"/>
    </w:p>
    <w:bookmarkEnd w:id="23"/>
    <w:bookmarkEnd w:id="35"/>
    <w:bookmarkEnd w:id="36"/>
    <w:p w14:paraId="50DD9AF0">
      <w:pPr>
        <w:pStyle w:val="27"/>
        <w:numPr>
          <w:ilvl w:val="0"/>
          <w:numId w:val="6"/>
        </w:numPr>
        <w:wordWrap w:val="0"/>
        <w:spacing w:line="240" w:lineRule="auto"/>
        <w:ind w:left="442" w:hanging="442" w:firstLineChars="0"/>
        <w:rPr>
          <w:sz w:val="21"/>
          <w:szCs w:val="21"/>
        </w:rPr>
      </w:pPr>
      <w:bookmarkStart w:id="37" w:name="_Ref14200"/>
      <w:bookmarkStart w:id="38" w:name="_Ref134959970"/>
      <w:bookmarkStart w:id="39" w:name="_Ref16816"/>
      <w:r>
        <w:rPr>
          <w:rFonts w:hint="eastAsia"/>
          <w:sz w:val="21"/>
          <w:szCs w:val="21"/>
        </w:rPr>
        <w:t xml:space="preserve">Ma, B., Gao, X. D., Huang, Y. J., Zhang, Y. X., &amp; Huang, Y. W. (2024). Effect of different pulse shapes on the laser welding of aluminum and copper. </w:t>
      </w:r>
      <w:r>
        <w:rPr>
          <w:rFonts w:hint="eastAsia"/>
          <w:i/>
          <w:iCs/>
          <w:sz w:val="21"/>
          <w:szCs w:val="21"/>
        </w:rPr>
        <w:t>Optics &amp; Laser Technology</w:t>
      </w:r>
      <w:r>
        <w:rPr>
          <w:rFonts w:hint="eastAsia"/>
          <w:sz w:val="21"/>
          <w:szCs w:val="21"/>
        </w:rPr>
        <w:t>, 171, 110312. DOI:10.1016/j.optlastec.2023.110312</w:t>
      </w:r>
      <w:bookmarkEnd w:id="37"/>
    </w:p>
    <w:bookmarkEnd w:id="38"/>
    <w:bookmarkEnd w:id="39"/>
    <w:p w14:paraId="608DC4F9">
      <w:pPr>
        <w:pStyle w:val="27"/>
        <w:numPr>
          <w:ilvl w:val="0"/>
          <w:numId w:val="6"/>
        </w:numPr>
        <w:wordWrap w:val="0"/>
        <w:spacing w:line="240" w:lineRule="auto"/>
        <w:ind w:left="442" w:hanging="442" w:firstLineChars="0"/>
        <w:rPr>
          <w:sz w:val="21"/>
          <w:szCs w:val="21"/>
        </w:rPr>
      </w:pPr>
      <w:bookmarkStart w:id="40" w:name="_Ref14752"/>
      <w:bookmarkStart w:id="41" w:name="_Ref16819"/>
      <w:bookmarkStart w:id="42" w:name="_Ref134909791"/>
      <w:r>
        <w:rPr>
          <w:rFonts w:hint="eastAsia"/>
          <w:sz w:val="21"/>
          <w:szCs w:val="21"/>
        </w:rPr>
        <w:t xml:space="preserve">Mehta, K.P., &amp; Badheka, V.J. (2015). A review on dissimilar friction stir welding of copper to aluminum: Process, properties, and variants. </w:t>
      </w:r>
      <w:r>
        <w:rPr>
          <w:rFonts w:hint="eastAsia"/>
          <w:i/>
          <w:iCs/>
          <w:sz w:val="21"/>
          <w:szCs w:val="21"/>
        </w:rPr>
        <w:t>Materials and Manufacturing Processes</w:t>
      </w:r>
      <w:r>
        <w:rPr>
          <w:rFonts w:hint="eastAsia"/>
          <w:sz w:val="21"/>
          <w:szCs w:val="21"/>
        </w:rPr>
        <w:t>, 30(5), 467–482. DOI:10.1080/10426914.2015.1025971</w:t>
      </w:r>
      <w:bookmarkEnd w:id="40"/>
    </w:p>
    <w:bookmarkEnd w:id="41"/>
    <w:p w14:paraId="39CA71DA">
      <w:pPr>
        <w:pStyle w:val="27"/>
        <w:numPr>
          <w:ilvl w:val="0"/>
          <w:numId w:val="6"/>
        </w:numPr>
        <w:wordWrap w:val="0"/>
        <w:spacing w:line="240" w:lineRule="auto"/>
        <w:ind w:left="442" w:hanging="442" w:firstLineChars="0"/>
        <w:rPr>
          <w:sz w:val="21"/>
          <w:szCs w:val="21"/>
        </w:rPr>
      </w:pPr>
      <w:r>
        <w:rPr>
          <w:sz w:val="21"/>
          <w:szCs w:val="21"/>
        </w:rPr>
        <w:t xml:space="preserve">Wang, C., Ma, L.N., Ma, X.G., et al. Effect of annealing temperature on microstructure and tensile properties of copper/aluminum composite thin strip. </w:t>
      </w:r>
      <w:r>
        <w:rPr>
          <w:i/>
          <w:iCs/>
          <w:sz w:val="21"/>
          <w:szCs w:val="21"/>
        </w:rPr>
        <w:t>Trans. Nonferrous Met. Soc. China</w:t>
      </w:r>
      <w:r>
        <w:rPr>
          <w:sz w:val="21"/>
          <w:szCs w:val="21"/>
        </w:rPr>
        <w:t>, 33(2023): 701–713. DOI:10.1016/S1003-6326(22)66139-9</w:t>
      </w:r>
    </w:p>
    <w:p w14:paraId="267E9987">
      <w:pPr>
        <w:pStyle w:val="27"/>
        <w:numPr>
          <w:ilvl w:val="0"/>
          <w:numId w:val="6"/>
        </w:numPr>
        <w:wordWrap w:val="0"/>
        <w:spacing w:line="240" w:lineRule="auto"/>
        <w:ind w:left="442" w:hanging="442" w:firstLineChars="0"/>
        <w:rPr>
          <w:sz w:val="21"/>
          <w:szCs w:val="21"/>
        </w:rPr>
      </w:pPr>
      <w:bookmarkStart w:id="43" w:name="_Ref14755"/>
      <w:bookmarkStart w:id="44" w:name="_Ref17273"/>
      <w:r>
        <w:rPr>
          <w:rFonts w:hint="eastAsia"/>
          <w:sz w:val="21"/>
          <w:szCs w:val="21"/>
        </w:rPr>
        <w:t>Shen, H.W., &amp; Gupta, M.C. (2004). Nd:yttritium–aluminum–garnet laser welding of copper to stainless steel.</w:t>
      </w:r>
      <w:r>
        <w:rPr>
          <w:rFonts w:hint="eastAsia"/>
          <w:i/>
          <w:iCs/>
          <w:sz w:val="21"/>
          <w:szCs w:val="21"/>
        </w:rPr>
        <w:t xml:space="preserve"> J. Laser Appl.</w:t>
      </w:r>
      <w:r>
        <w:rPr>
          <w:rFonts w:hint="eastAsia"/>
          <w:sz w:val="21"/>
          <w:szCs w:val="21"/>
        </w:rPr>
        <w:t>, 16(1): 2–8. DOI:10.2351/1.1642635</w:t>
      </w:r>
      <w:bookmarkEnd w:id="43"/>
    </w:p>
    <w:p w14:paraId="61D4A802">
      <w:pPr>
        <w:pStyle w:val="27"/>
        <w:numPr>
          <w:ilvl w:val="0"/>
          <w:numId w:val="6"/>
        </w:numPr>
        <w:wordWrap w:val="0"/>
        <w:spacing w:line="240" w:lineRule="auto"/>
        <w:ind w:left="442" w:hanging="442" w:firstLineChars="0"/>
        <w:rPr>
          <w:sz w:val="21"/>
          <w:szCs w:val="21"/>
        </w:rPr>
      </w:pPr>
      <w:bookmarkStart w:id="45" w:name="_Ref14987"/>
      <w:r>
        <w:rPr>
          <w:sz w:val="21"/>
          <w:szCs w:val="21"/>
        </w:rPr>
        <w:t xml:space="preserve">Le Mener, M., Courtois, M., Daviot, N., et al. Heat transfer and fluid flow modeling of steel-Inconel laser welding in an overlap configuration [J]. </w:t>
      </w:r>
      <w:r>
        <w:rPr>
          <w:i/>
          <w:iCs/>
          <w:sz w:val="21"/>
          <w:szCs w:val="21"/>
        </w:rPr>
        <w:t>J. Laser Appl.</w:t>
      </w:r>
      <w:r>
        <w:rPr>
          <w:sz w:val="21"/>
          <w:szCs w:val="21"/>
        </w:rPr>
        <w:t>, 36(4), 042006 (2024). DOI:10.2351/7.0001357</w:t>
      </w:r>
      <w:bookmarkEnd w:id="45"/>
    </w:p>
    <w:bookmarkEnd w:id="44"/>
    <w:p w14:paraId="363E3802">
      <w:pPr>
        <w:pStyle w:val="27"/>
        <w:numPr>
          <w:ilvl w:val="0"/>
          <w:numId w:val="6"/>
        </w:numPr>
        <w:wordWrap w:val="0"/>
        <w:spacing w:line="240" w:lineRule="auto"/>
        <w:ind w:left="442" w:hanging="442" w:firstLineChars="0"/>
        <w:rPr>
          <w:sz w:val="21"/>
          <w:szCs w:val="21"/>
        </w:rPr>
      </w:pPr>
      <w:bookmarkStart w:id="46" w:name="_Ref15013"/>
      <w:bookmarkStart w:id="47" w:name="_Ref17691"/>
      <w:r>
        <w:rPr>
          <w:rFonts w:hint="eastAsia"/>
          <w:sz w:val="21"/>
          <w:szCs w:val="21"/>
        </w:rPr>
        <w:t>Kimthong, P., Wattanapornphan, P., Phongphisutthinan, C., et al. Experimental investigations and FE modeling considering microstructural inhomogeneity of laser welded steel aluminum joints. Archives of Civil and Mechanical Engineering, 22(2022): 29. DOI:10.1007/s43452-021-00353-w</w:t>
      </w:r>
      <w:bookmarkEnd w:id="46"/>
    </w:p>
    <w:p w14:paraId="0BF7720E">
      <w:pPr>
        <w:pStyle w:val="27"/>
        <w:numPr>
          <w:ilvl w:val="0"/>
          <w:numId w:val="6"/>
        </w:numPr>
        <w:wordWrap w:val="0"/>
        <w:spacing w:line="240" w:lineRule="auto"/>
        <w:ind w:left="442" w:hanging="442" w:firstLineChars="0"/>
        <w:rPr>
          <w:sz w:val="21"/>
          <w:szCs w:val="21"/>
        </w:rPr>
      </w:pPr>
      <w:bookmarkStart w:id="48" w:name="_Ref15369"/>
      <w:r>
        <w:rPr>
          <w:sz w:val="21"/>
          <w:szCs w:val="21"/>
        </w:rPr>
        <w:t xml:space="preserve">Kang, Y., Zhao, Y., Li, Y., et al. Simulation of the effect of keyhole instability on porosity during the deep penetration laser welding process. </w:t>
      </w:r>
      <w:r>
        <w:rPr>
          <w:i/>
          <w:iCs/>
          <w:sz w:val="21"/>
          <w:szCs w:val="21"/>
        </w:rPr>
        <w:t>Metals</w:t>
      </w:r>
      <w:r>
        <w:rPr>
          <w:sz w:val="21"/>
          <w:szCs w:val="21"/>
        </w:rPr>
        <w:t>, 12(2022): 1200. DOI:10.3390/met12071200</w:t>
      </w:r>
      <w:bookmarkEnd w:id="48"/>
    </w:p>
    <w:p w14:paraId="2EDF47F2">
      <w:pPr>
        <w:pStyle w:val="27"/>
        <w:numPr>
          <w:ilvl w:val="0"/>
          <w:numId w:val="6"/>
        </w:numPr>
        <w:wordWrap w:val="0"/>
        <w:spacing w:line="240" w:lineRule="auto"/>
        <w:ind w:left="442" w:hanging="442" w:firstLineChars="0"/>
        <w:rPr>
          <w:sz w:val="21"/>
          <w:szCs w:val="21"/>
        </w:rPr>
      </w:pPr>
      <w:bookmarkStart w:id="49" w:name="_Ref15372"/>
      <w:r>
        <w:rPr>
          <w:sz w:val="21"/>
          <w:szCs w:val="21"/>
        </w:rPr>
        <w:t xml:space="preserve">Wu, J.Z., Zhang, H., Feng, Y., et al. 3D multiphysical modelling of fluid dynamics and mass transfer in laser welding of dissimilar materials. </w:t>
      </w:r>
      <w:r>
        <w:rPr>
          <w:i/>
          <w:iCs/>
          <w:sz w:val="21"/>
          <w:szCs w:val="21"/>
        </w:rPr>
        <w:t>Metals</w:t>
      </w:r>
      <w:r>
        <w:rPr>
          <w:sz w:val="21"/>
          <w:szCs w:val="21"/>
        </w:rPr>
        <w:t>, 8(2018): 443. DOI:10.3390/met8060443</w:t>
      </w:r>
      <w:bookmarkEnd w:id="49"/>
    </w:p>
    <w:p w14:paraId="46D7E5FB">
      <w:pPr>
        <w:pStyle w:val="27"/>
        <w:numPr>
          <w:ilvl w:val="0"/>
          <w:numId w:val="6"/>
        </w:numPr>
        <w:wordWrap w:val="0"/>
        <w:spacing w:line="240" w:lineRule="auto"/>
        <w:ind w:left="442" w:hanging="442" w:firstLineChars="0"/>
        <w:rPr>
          <w:sz w:val="21"/>
          <w:szCs w:val="21"/>
        </w:rPr>
      </w:pPr>
      <w:bookmarkStart w:id="50" w:name="_Ref15408"/>
      <w:r>
        <w:rPr>
          <w:sz w:val="21"/>
          <w:szCs w:val="21"/>
        </w:rPr>
        <w:t xml:space="preserve">Xie, X.G., Zhou, J.X., &amp; Long, J.Q. (2021). Numerical study on molten pool dynamics and solute distribution in laser deep penetration welding of steel and aluminum. </w:t>
      </w:r>
      <w:r>
        <w:rPr>
          <w:i/>
          <w:iCs/>
          <w:sz w:val="21"/>
          <w:szCs w:val="21"/>
        </w:rPr>
        <w:t>Opt. Laser Technol.</w:t>
      </w:r>
      <w:r>
        <w:rPr>
          <w:sz w:val="21"/>
          <w:szCs w:val="21"/>
        </w:rPr>
        <w:t>, 140(2021): 107085. DOI:10.1016/j.optlastec.2021.107085</w:t>
      </w:r>
      <w:bookmarkEnd w:id="50"/>
    </w:p>
    <w:bookmarkEnd w:id="47"/>
    <w:p w14:paraId="639EAA91">
      <w:pPr>
        <w:pStyle w:val="27"/>
        <w:numPr>
          <w:ilvl w:val="0"/>
          <w:numId w:val="6"/>
        </w:numPr>
        <w:wordWrap w:val="0"/>
        <w:spacing w:line="240" w:lineRule="auto"/>
        <w:ind w:left="442" w:hanging="442" w:firstLineChars="0"/>
        <w:rPr>
          <w:sz w:val="21"/>
          <w:szCs w:val="21"/>
        </w:rPr>
      </w:pPr>
      <w:bookmarkStart w:id="51" w:name="_Ref15669"/>
      <w:bookmarkStart w:id="52" w:name="_Ref18011"/>
      <w:r>
        <w:rPr>
          <w:rFonts w:hint="eastAsia"/>
          <w:sz w:val="21"/>
          <w:szCs w:val="21"/>
        </w:rPr>
        <w:t xml:space="preserve">Liu, Y.Q., Wang, W., &amp; Zhu, Z.T. (2020). Deep-penetration welding-brazing of aluminum/steel dissimilar metal using laser-MIG arc hybrid heat source. </w:t>
      </w:r>
      <w:r>
        <w:rPr>
          <w:rFonts w:hint="eastAsia"/>
          <w:i/>
          <w:iCs/>
          <w:sz w:val="21"/>
          <w:szCs w:val="21"/>
        </w:rPr>
        <w:t>Scientia Sinica Physica, Mechanica &amp; Astronomica</w:t>
      </w:r>
      <w:r>
        <w:rPr>
          <w:rFonts w:hint="eastAsia"/>
          <w:sz w:val="21"/>
          <w:szCs w:val="21"/>
        </w:rPr>
        <w:t>, 50(3): 034207. DOI:10.1360/SSPMA-2019-0204</w:t>
      </w:r>
      <w:bookmarkEnd w:id="51"/>
    </w:p>
    <w:bookmarkEnd w:id="52"/>
    <w:p w14:paraId="59027B74">
      <w:pPr>
        <w:pStyle w:val="27"/>
        <w:numPr>
          <w:ilvl w:val="0"/>
          <w:numId w:val="6"/>
        </w:numPr>
        <w:wordWrap w:val="0"/>
        <w:spacing w:line="240" w:lineRule="auto"/>
        <w:ind w:left="442" w:hanging="442" w:firstLineChars="0"/>
        <w:rPr>
          <w:sz w:val="21"/>
          <w:szCs w:val="21"/>
        </w:rPr>
      </w:pPr>
      <w:bookmarkStart w:id="53" w:name="_Ref18014"/>
      <w:r>
        <w:rPr>
          <w:rFonts w:hint="eastAsia"/>
          <w:sz w:val="21"/>
          <w:szCs w:val="21"/>
        </w:rPr>
        <w:t xml:space="preserve">Yu, X.Q., Fan, D., Huang, J.K., et al. Arc-assisted laser welding brazing of aluminum to steel. </w:t>
      </w:r>
      <w:r>
        <w:rPr>
          <w:rFonts w:hint="eastAsia"/>
          <w:i/>
          <w:iCs/>
          <w:sz w:val="21"/>
          <w:szCs w:val="21"/>
        </w:rPr>
        <w:t>Metals</w:t>
      </w:r>
      <w:r>
        <w:rPr>
          <w:rFonts w:hint="eastAsia"/>
          <w:sz w:val="21"/>
          <w:szCs w:val="21"/>
        </w:rPr>
        <w:t>, 9(2019): 397. DOI:10.3390/met9040397</w:t>
      </w:r>
    </w:p>
    <w:bookmarkEnd w:id="53"/>
    <w:p w14:paraId="4F46F7DE">
      <w:pPr>
        <w:pStyle w:val="27"/>
        <w:numPr>
          <w:ilvl w:val="0"/>
          <w:numId w:val="6"/>
        </w:numPr>
        <w:wordWrap w:val="0"/>
        <w:spacing w:line="240" w:lineRule="auto"/>
        <w:ind w:left="442" w:hanging="442" w:firstLineChars="0"/>
        <w:rPr>
          <w:sz w:val="21"/>
          <w:szCs w:val="21"/>
        </w:rPr>
      </w:pPr>
      <w:bookmarkStart w:id="54" w:name="_Ref32767"/>
      <w:bookmarkStart w:id="55" w:name="_Ref23819"/>
      <w:r>
        <w:rPr>
          <w:rFonts w:hint="eastAsia"/>
          <w:sz w:val="21"/>
          <w:szCs w:val="21"/>
        </w:rPr>
        <w:t xml:space="preserve">Üstündağ, Ö., Avilov, V., Gumenyuk, A., &amp; Rethmeier, M. (2019). Improvement of filler wire dilution using external oscillating magnetic field at full penetration hybrid laser-arc welding of thick materials. </w:t>
      </w:r>
      <w:r>
        <w:rPr>
          <w:rFonts w:hint="eastAsia"/>
          <w:i/>
          <w:iCs/>
          <w:sz w:val="21"/>
          <w:szCs w:val="21"/>
        </w:rPr>
        <w:t>Metals</w:t>
      </w:r>
      <w:r>
        <w:rPr>
          <w:rFonts w:hint="eastAsia"/>
          <w:sz w:val="21"/>
          <w:szCs w:val="21"/>
        </w:rPr>
        <w:t>, 9(2019): 594. DOI:10.3390/met9050594</w:t>
      </w:r>
      <w:bookmarkEnd w:id="54"/>
    </w:p>
    <w:bookmarkEnd w:id="55"/>
    <w:p w14:paraId="709FDA9C">
      <w:pPr>
        <w:pStyle w:val="27"/>
        <w:numPr>
          <w:ilvl w:val="0"/>
          <w:numId w:val="6"/>
        </w:numPr>
        <w:wordWrap w:val="0"/>
        <w:spacing w:line="240" w:lineRule="auto"/>
        <w:ind w:left="442" w:hanging="442" w:firstLineChars="0"/>
        <w:rPr>
          <w:sz w:val="21"/>
          <w:szCs w:val="21"/>
        </w:rPr>
      </w:pPr>
      <w:bookmarkStart w:id="56" w:name="_Ref16887"/>
      <w:bookmarkStart w:id="57" w:name="_Ref32685"/>
      <w:bookmarkStart w:id="58" w:name="_Ref14496"/>
      <w:r>
        <w:rPr>
          <w:rFonts w:hint="eastAsia"/>
          <w:sz w:val="21"/>
          <w:szCs w:val="21"/>
        </w:rPr>
        <w:t xml:space="preserve">Gathers, G. R. (1983). Thermophysical properties of liquid copper and aluminum. </w:t>
      </w:r>
      <w:r>
        <w:rPr>
          <w:rFonts w:hint="eastAsia"/>
          <w:i/>
          <w:iCs/>
          <w:sz w:val="21"/>
          <w:szCs w:val="21"/>
        </w:rPr>
        <w:t>International Journal of Thermophysics</w:t>
      </w:r>
      <w:r>
        <w:rPr>
          <w:rFonts w:hint="eastAsia"/>
          <w:sz w:val="21"/>
          <w:szCs w:val="21"/>
        </w:rPr>
        <w:t>, 4(3), 209–226. DOI:10.1007/BF00502353</w:t>
      </w:r>
      <w:bookmarkEnd w:id="56"/>
    </w:p>
    <w:p w14:paraId="3F928024">
      <w:pPr>
        <w:pStyle w:val="27"/>
        <w:numPr>
          <w:ilvl w:val="0"/>
          <w:numId w:val="6"/>
        </w:numPr>
        <w:wordWrap w:val="0"/>
        <w:spacing w:line="240" w:lineRule="auto"/>
        <w:ind w:left="442" w:hanging="442" w:firstLineChars="0"/>
        <w:rPr>
          <w:sz w:val="21"/>
          <w:szCs w:val="21"/>
        </w:rPr>
      </w:pPr>
      <w:bookmarkStart w:id="59" w:name="_Ref16962"/>
      <w:r>
        <w:rPr>
          <w:rFonts w:hint="eastAsia"/>
          <w:sz w:val="21"/>
          <w:szCs w:val="21"/>
        </w:rPr>
        <w:t>杨海奇，梁融，罗宇。考虑熔池流动的异种材料激光焊接接头的热流固耦合模拟研究 [J].</w:t>
      </w:r>
      <w:r>
        <w:rPr>
          <w:rFonts w:hint="eastAsia"/>
          <w:i/>
          <w:iCs/>
          <w:sz w:val="21"/>
          <w:szCs w:val="21"/>
        </w:rPr>
        <w:t>热加工工艺</w:t>
      </w:r>
      <w:r>
        <w:rPr>
          <w:rFonts w:hint="eastAsia"/>
          <w:sz w:val="21"/>
          <w:szCs w:val="21"/>
        </w:rPr>
        <w:t>,2017,46(19):200-204.DOI:10.14158/j.cnki.1001-3814.2017.19.054.</w:t>
      </w:r>
      <w:bookmarkEnd w:id="59"/>
    </w:p>
    <w:bookmarkEnd w:id="42"/>
    <w:bookmarkEnd w:id="57"/>
    <w:bookmarkEnd w:id="58"/>
    <w:p w14:paraId="724ACD73">
      <w:pPr>
        <w:pStyle w:val="27"/>
        <w:numPr>
          <w:ilvl w:val="0"/>
          <w:numId w:val="6"/>
        </w:numPr>
        <w:wordWrap w:val="0"/>
        <w:spacing w:line="240" w:lineRule="auto"/>
        <w:ind w:left="442" w:hanging="442" w:firstLineChars="0"/>
        <w:rPr>
          <w:sz w:val="21"/>
          <w:szCs w:val="21"/>
        </w:rPr>
      </w:pPr>
      <w:bookmarkStart w:id="60" w:name="_Ref17031"/>
      <w:r>
        <w:rPr>
          <w:rFonts w:hint="eastAsia"/>
          <w:sz w:val="21"/>
          <w:szCs w:val="21"/>
        </w:rPr>
        <w:t xml:space="preserve">Goldak, J., Chakravarti, A., &amp; Bibby, M. (1984). A new finite element model for welding heat sources. </w:t>
      </w:r>
      <w:r>
        <w:rPr>
          <w:rFonts w:hint="eastAsia"/>
          <w:i/>
          <w:iCs/>
          <w:sz w:val="21"/>
          <w:szCs w:val="21"/>
        </w:rPr>
        <w:t>Metallurgical Transactions B</w:t>
      </w:r>
      <w:r>
        <w:rPr>
          <w:rFonts w:hint="eastAsia"/>
          <w:sz w:val="21"/>
          <w:szCs w:val="21"/>
        </w:rPr>
        <w:t>, 15(6), 299–305. DOI:10.1007/BF02667333</w:t>
      </w:r>
      <w:bookmarkEnd w:id="60"/>
    </w:p>
    <w:p w14:paraId="692E1C1D">
      <w:pPr>
        <w:wordWrap w:val="0"/>
        <w:spacing w:line="240" w:lineRule="auto"/>
        <w:ind w:firstLineChars="0"/>
        <w:rPr>
          <w:sz w:val="21"/>
          <w:szCs w:val="21"/>
        </w:rPr>
      </w:pPr>
    </w:p>
    <w:p w14:paraId="034B76E2">
      <w:pPr>
        <w:pStyle w:val="27"/>
        <w:wordWrap w:val="0"/>
        <w:spacing w:line="240" w:lineRule="auto"/>
        <w:ind w:firstLine="0" w:firstLineChars="0"/>
        <w:rPr>
          <w:b/>
          <w:sz w:val="21"/>
          <w:szCs w:val="21"/>
        </w:rPr>
        <w:sectPr>
          <w:footnotePr>
            <w:pos w:val="beneathText"/>
          </w:footnotePr>
          <w:type w:val="continuous"/>
          <w:pgSz w:w="11906" w:h="16838"/>
          <w:pgMar w:top="1440" w:right="1800" w:bottom="1440" w:left="1800" w:header="851" w:footer="992" w:gutter="0"/>
          <w:cols w:space="425" w:num="1"/>
          <w:docGrid w:type="lines" w:linePitch="312" w:charSpace="0"/>
        </w:sectPr>
      </w:pPr>
    </w:p>
    <w:p w14:paraId="05835CFB">
      <w:pPr>
        <w:pStyle w:val="27"/>
        <w:wordWrap w:val="0"/>
        <w:spacing w:line="240" w:lineRule="auto"/>
        <w:ind w:firstLine="0" w:firstLineChars="0"/>
        <w:rPr>
          <w:bCs/>
          <w:sz w:val="21"/>
          <w:szCs w:val="21"/>
        </w:rPr>
      </w:pPr>
    </w:p>
    <w:p w14:paraId="5B29312C">
      <w:pPr>
        <w:pStyle w:val="27"/>
        <w:wordWrap w:val="0"/>
        <w:spacing w:line="240" w:lineRule="auto"/>
        <w:ind w:firstLine="0" w:firstLineChars="0"/>
        <w:rPr>
          <w:bCs/>
          <w:sz w:val="21"/>
          <w:szCs w:val="21"/>
        </w:rPr>
      </w:pPr>
      <w:r>
        <w:rPr>
          <w:bCs/>
          <w:sz w:val="21"/>
          <w:szCs w:val="21"/>
        </w:rPr>
        <w:t>Statements &amp; Declarations</w:t>
      </w:r>
    </w:p>
    <w:p w14:paraId="56505587">
      <w:pPr>
        <w:pStyle w:val="3"/>
        <w:adjustRightInd w:val="0"/>
        <w:snapToGrid w:val="0"/>
        <w:spacing w:before="156" w:beforeLines="50" w:after="156" w:afterLines="50" w:line="300" w:lineRule="auto"/>
        <w:ind w:firstLine="0" w:firstLineChars="0"/>
        <w:jc w:val="left"/>
        <w:rPr>
          <w:rFonts w:ascii="Times New Roman" w:hAnsi="Times New Roman" w:eastAsia="宋体"/>
          <w:bCs w:val="0"/>
          <w:sz w:val="21"/>
          <w:szCs w:val="21"/>
        </w:rPr>
      </w:pPr>
      <w:r>
        <w:rPr>
          <w:rFonts w:ascii="Times New Roman" w:hAnsi="Times New Roman" w:eastAsia="宋体"/>
          <w:bCs w:val="0"/>
          <w:sz w:val="21"/>
          <w:szCs w:val="21"/>
        </w:rPr>
        <w:t>Funding</w:t>
      </w:r>
    </w:p>
    <w:p w14:paraId="62EDEF23">
      <w:pPr>
        <w:ind w:firstLine="420"/>
        <w:rPr>
          <w:sz w:val="21"/>
          <w:szCs w:val="21"/>
        </w:rPr>
      </w:pPr>
      <w:r>
        <w:rPr>
          <w:rFonts w:hint="eastAsia"/>
          <w:sz w:val="21"/>
          <w:szCs w:val="21"/>
        </w:rPr>
        <w:t>The authors declare that no funds, grants, or other support were received during the preparation of this manuscript.</w:t>
      </w:r>
    </w:p>
    <w:p w14:paraId="5CFBFC69">
      <w:pPr>
        <w:pStyle w:val="3"/>
        <w:adjustRightInd w:val="0"/>
        <w:snapToGrid w:val="0"/>
        <w:spacing w:before="156" w:beforeLines="50" w:after="156" w:afterLines="50" w:line="300" w:lineRule="auto"/>
        <w:ind w:firstLine="0" w:firstLineChars="0"/>
        <w:jc w:val="left"/>
        <w:rPr>
          <w:rFonts w:ascii="Times New Roman" w:hAnsi="Times New Roman" w:eastAsia="宋体"/>
          <w:bCs w:val="0"/>
          <w:sz w:val="21"/>
          <w:szCs w:val="21"/>
        </w:rPr>
      </w:pPr>
      <w:r>
        <w:rPr>
          <w:rFonts w:ascii="Times New Roman" w:hAnsi="Times New Roman" w:eastAsia="宋体"/>
          <w:bCs w:val="0"/>
          <w:sz w:val="21"/>
          <w:szCs w:val="21"/>
        </w:rPr>
        <w:t>Competing Interests</w:t>
      </w:r>
    </w:p>
    <w:p w14:paraId="4A0F3B29">
      <w:pPr>
        <w:ind w:firstLine="420"/>
        <w:rPr>
          <w:sz w:val="21"/>
          <w:szCs w:val="21"/>
        </w:rPr>
      </w:pPr>
      <w:r>
        <w:rPr>
          <w:rFonts w:hint="eastAsia"/>
          <w:sz w:val="21"/>
          <w:szCs w:val="21"/>
        </w:rPr>
        <w:t>The authors have no relevant financial or non-financial interests to disclose.</w:t>
      </w:r>
    </w:p>
    <w:p w14:paraId="455D66C4">
      <w:pPr>
        <w:pStyle w:val="3"/>
        <w:adjustRightInd w:val="0"/>
        <w:snapToGrid w:val="0"/>
        <w:spacing w:before="156" w:beforeLines="50" w:after="156" w:afterLines="50" w:line="300" w:lineRule="auto"/>
        <w:ind w:firstLine="0" w:firstLineChars="0"/>
        <w:jc w:val="left"/>
        <w:rPr>
          <w:rFonts w:ascii="Times New Roman" w:hAnsi="Times New Roman" w:eastAsia="宋体"/>
          <w:bCs w:val="0"/>
          <w:sz w:val="21"/>
          <w:szCs w:val="21"/>
        </w:rPr>
      </w:pPr>
      <w:r>
        <w:rPr>
          <w:rFonts w:hint="eastAsia" w:ascii="Times New Roman" w:hAnsi="Times New Roman" w:eastAsia="宋体"/>
          <w:bCs w:val="0"/>
          <w:sz w:val="21"/>
          <w:szCs w:val="21"/>
        </w:rPr>
        <w:t>Author Contributions</w:t>
      </w:r>
    </w:p>
    <w:p w14:paraId="41E309A7">
      <w:pPr>
        <w:ind w:firstLine="420" w:firstLineChars="0"/>
        <w:rPr>
          <w:color w:val="333333"/>
          <w:sz w:val="15"/>
          <w:szCs w:val="15"/>
          <w:shd w:val="clear" w:color="auto" w:fill="FFFFFF"/>
        </w:rPr>
      </w:pPr>
      <w:r>
        <w:rPr>
          <w:sz w:val="21"/>
          <w:szCs w:val="21"/>
        </w:rPr>
        <w:t>All authors contributed to the study's conceptual design. Yan Wu supervised the entire manuscript writing process; Xingyu Guo, Wenjun Lv, and Jianyu Zheng prepared the materials; Jiaqing Ye and Jiale Hu collected and analyzed the experimental data; and Xingyu Guo drafted the manuscript. All authors provided revision suggestions, participated in revising all versions, and finally reviewed and approved the final draft.</w:t>
      </w:r>
    </w:p>
    <w:p w14:paraId="11BFE5C5">
      <w:pPr>
        <w:wordWrap w:val="0"/>
        <w:ind w:firstLine="0" w:firstLineChars="0"/>
        <w:rPr>
          <w:color w:val="333333"/>
          <w:sz w:val="15"/>
          <w:szCs w:val="15"/>
          <w:shd w:val="clear" w:color="auto" w:fill="FFFFFF"/>
        </w:rPr>
        <w:sectPr>
          <w:footnotePr>
            <w:pos w:val="beneathText"/>
          </w:footnotePr>
          <w:type w:val="continuous"/>
          <w:pgSz w:w="11906" w:h="16838"/>
          <w:pgMar w:top="1440" w:right="1800" w:bottom="1440" w:left="1800" w:header="851" w:footer="992" w:gutter="0"/>
          <w:cols w:space="425" w:num="1"/>
          <w:docGrid w:type="lines" w:linePitch="312" w:charSpace="0"/>
        </w:sectPr>
      </w:pPr>
    </w:p>
    <w:p w14:paraId="09DE798E">
      <w:pPr>
        <w:ind w:firstLine="0" w:firstLineChars="0"/>
      </w:pPr>
    </w:p>
    <w:p w14:paraId="36E9FEE6">
      <w:pPr>
        <w:ind w:firstLine="0" w:firstLineChars="0"/>
      </w:pPr>
    </w:p>
    <w:p w14:paraId="49E48DE1">
      <w:pPr>
        <w:ind w:firstLine="0" w:firstLineChars="0"/>
      </w:pPr>
    </w:p>
    <w:p w14:paraId="6023BFC9">
      <w:pPr>
        <w:ind w:firstLine="0" w:firstLineChars="0"/>
      </w:pPr>
    </w:p>
    <w:p w14:paraId="5681740F">
      <w:pPr>
        <w:ind w:firstLine="0" w:firstLineChars="0"/>
      </w:pPr>
    </w:p>
    <w:sectPr>
      <w:type w:val="continuous"/>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MR9">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MBX9">
    <w:altName w:val="AMGDT"/>
    <w:panose1 w:val="00000000000000000000"/>
    <w:charset w:val="00"/>
    <w:family w:val="auto"/>
    <w:pitch w:val="default"/>
    <w:sig w:usb0="00000000" w:usb1="00000000" w:usb2="00000000" w:usb3="00000000" w:csb0="00000000" w:csb1="00000000"/>
  </w:font>
  <w:font w:name="CMR6">
    <w:altName w:val="AMGDT"/>
    <w:panose1 w:val="00000000000000000000"/>
    <w:charset w:val="00"/>
    <w:family w:val="auto"/>
    <w:pitch w:val="default"/>
    <w:sig w:usb0="00000000" w:usb1="00000000" w:usb2="00000000" w:usb3="00000000" w:csb0="00000000" w:csb1="00000000"/>
  </w:font>
  <w:font w:name="CMMIB10">
    <w:altName w:val="AMGDT"/>
    <w:panose1 w:val="00000000000000000000"/>
    <w:charset w:val="00"/>
    <w:family w:val="auto"/>
    <w:pitch w:val="default"/>
    <w:sig w:usb0="00000000" w:usb1="00000000" w:usb2="00000000" w:usb3="00000000" w:csb0="00000000" w:csb1="00000000"/>
  </w:font>
  <w:font w:name="CMR8">
    <w:altName w:val="AMGDT"/>
    <w:panose1 w:val="00000000000000000000"/>
    <w:charset w:val="00"/>
    <w:family w:val="auto"/>
    <w:pitch w:val="default"/>
    <w:sig w:usb0="00000000" w:usb1="00000000" w:usb2="00000000" w:usb3="00000000" w:csb0="00000000" w:csb1="00000000"/>
  </w:font>
  <w:font w:name="CMR10">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0A995">
    <w:pPr>
      <w:pStyle w:val="7"/>
      <w:ind w:firstLine="361"/>
      <w:jc w:val="center"/>
      <w:rPr>
        <w:b/>
        <w:bCs/>
      </w:rPr>
    </w:pPr>
    <w:r>
      <w:rPr>
        <w:b/>
        <w:bCs/>
      </w:rPr>
      <w:fldChar w:fldCharType="begin"/>
    </w:r>
    <w:r>
      <w:rPr>
        <w:b/>
        <w:bCs/>
      </w:rPr>
      <w:instrText xml:space="preserve">PAGE   \* MERGEFORMAT</w:instrText>
    </w:r>
    <w:r>
      <w:rPr>
        <w:b/>
        <w:bCs/>
      </w:rPr>
      <w:fldChar w:fldCharType="separate"/>
    </w:r>
    <w:r>
      <w:rPr>
        <w:b/>
        <w:bCs/>
        <w:lang w:val="zh-CN"/>
      </w:rPr>
      <w:t>2</w:t>
    </w:r>
    <w:r>
      <w:rPr>
        <w:b/>
        <w:bCs/>
      </w:rPr>
      <w:fldChar w:fldCharType="end"/>
    </w:r>
  </w:p>
  <w:p w14:paraId="6B66A014">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6C7F6">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00F8D">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line="300" w:lineRule="auto"/>
        <w:ind w:firstLine="480"/>
      </w:pPr>
      <w:r>
        <w:separator/>
      </w:r>
    </w:p>
  </w:footnote>
  <w:footnote w:type="continuationSeparator" w:id="5">
    <w:p>
      <w:pPr>
        <w:spacing w:line="300" w:lineRule="auto"/>
        <w:ind w:firstLine="480"/>
      </w:pPr>
      <w:r>
        <w:continuationSeparator/>
      </w:r>
    </w:p>
  </w:footnote>
  <w:footnote w:id="0">
    <w:p w14:paraId="3BA93383">
      <w:pPr>
        <w:pStyle w:val="9"/>
        <w:ind w:firstLine="0" w:firstLineChars="0"/>
      </w:pPr>
      <w:r>
        <w:rPr>
          <w:rStyle w:val="18"/>
        </w:rPr>
        <w:footnoteRef/>
      </w:r>
      <w:r>
        <w:t xml:space="preserve"> </w:t>
      </w:r>
      <w:r>
        <w:rPr>
          <w:rFonts w:hint="eastAsia"/>
          <w:sz w:val="20"/>
          <w:szCs w:val="20"/>
        </w:rPr>
        <w:t>School of Mechanical Engineering, Shanghai Institute of Technology, Shanghai 201418, China</w:t>
      </w:r>
    </w:p>
  </w:footnote>
  <w:footnote w:id="1">
    <w:p w14:paraId="745E755F">
      <w:pPr>
        <w:wordWrap w:val="0"/>
        <w:ind w:firstLine="0" w:firstLineChars="0"/>
        <w:rPr>
          <w:sz w:val="16"/>
          <w:szCs w:val="16"/>
        </w:rPr>
      </w:pPr>
      <w:r>
        <w:rPr>
          <w:rStyle w:val="18"/>
        </w:rPr>
        <w:sym w:font="Symbol" w:char="F02A"/>
      </w:r>
      <w:r>
        <w:t xml:space="preserve"> </w:t>
      </w:r>
      <w:bookmarkStart w:id="61" w:name="OLE_LINK4"/>
      <w:r>
        <w:rPr>
          <w:b/>
          <w:sz w:val="20"/>
          <w:szCs w:val="20"/>
        </w:rPr>
        <w:t>Corresponding Author:</w:t>
      </w:r>
      <w:r>
        <w:rPr>
          <w:rFonts w:hint="eastAsia"/>
          <w:sz w:val="16"/>
          <w:szCs w:val="16"/>
        </w:rPr>
        <w:t>Xingyu Guo</w:t>
      </w:r>
      <w:bookmarkEnd w:id="61"/>
    </w:p>
    <w:p w14:paraId="332BE842">
      <w:pPr>
        <w:pStyle w:val="9"/>
        <w:ind w:firstLine="0" w:firstLineChars="0"/>
      </w:pPr>
      <w:bookmarkStart w:id="62" w:name="_Hlk202791565"/>
      <w:bookmarkStart w:id="63" w:name="_Hlk202791582"/>
      <w:bookmarkStart w:id="64" w:name="_Hlk202791566"/>
      <w:bookmarkStart w:id="65" w:name="OLE_LINK5"/>
      <w:bookmarkStart w:id="66" w:name="OLE_LINK6"/>
      <w:r>
        <w:rPr>
          <w:rFonts w:hint="eastAsia"/>
          <w:b/>
          <w:sz w:val="20"/>
          <w:szCs w:val="20"/>
        </w:rPr>
        <w:t>E</w:t>
      </w:r>
      <w:r>
        <w:rPr>
          <w:b/>
          <w:sz w:val="20"/>
          <w:szCs w:val="20"/>
        </w:rPr>
        <w:t>-</w:t>
      </w:r>
      <w:r>
        <w:rPr>
          <w:rFonts w:hint="eastAsia"/>
          <w:b/>
          <w:sz w:val="20"/>
          <w:szCs w:val="20"/>
        </w:rPr>
        <w:t>mail</w:t>
      </w:r>
      <w:r>
        <w:rPr>
          <w:b/>
          <w:sz w:val="20"/>
          <w:szCs w:val="20"/>
        </w:rPr>
        <w:t>:</w:t>
      </w:r>
      <w:r>
        <w:rPr>
          <w:rFonts w:cs="宋体"/>
          <w:sz w:val="16"/>
          <w:szCs w:val="16"/>
        </w:rPr>
        <w:t xml:space="preserve"> </w:t>
      </w:r>
      <w:r>
        <w:rPr>
          <w:rFonts w:hint="eastAsia" w:cs="宋体"/>
          <w:sz w:val="16"/>
          <w:szCs w:val="16"/>
        </w:rPr>
        <w:t>gxyzhendehenlihai@163.com</w:t>
      </w:r>
      <w:bookmarkEnd w:id="62"/>
      <w:bookmarkEnd w:id="63"/>
      <w:bookmarkEnd w:id="64"/>
      <w:bookmarkEnd w:id="65"/>
      <w:bookmarkEnd w:id="66"/>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B3C59">
    <w:pPr>
      <w:pStyle w:val="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72E1E">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138D2">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E9B026"/>
    <w:multiLevelType w:val="singleLevel"/>
    <w:tmpl w:val="C8E9B026"/>
    <w:lvl w:ilvl="0" w:tentative="0">
      <w:start w:val="1"/>
      <w:numFmt w:val="lowerLetter"/>
      <w:suff w:val="space"/>
      <w:lvlText w:val="（%1）"/>
      <w:lvlJc w:val="left"/>
    </w:lvl>
  </w:abstractNum>
  <w:abstractNum w:abstractNumId="1">
    <w:nsid w:val="EED0673B"/>
    <w:multiLevelType w:val="singleLevel"/>
    <w:tmpl w:val="EED0673B"/>
    <w:lvl w:ilvl="0" w:tentative="0">
      <w:start w:val="1"/>
      <w:numFmt w:val="lowerLetter"/>
      <w:suff w:val="space"/>
      <w:lvlText w:val="(%1)"/>
      <w:lvlJc w:val="left"/>
      <w:pPr>
        <w:ind w:left="0" w:firstLine="0"/>
      </w:pPr>
      <w:rPr>
        <w:rFonts w:hint="default"/>
      </w:rPr>
    </w:lvl>
  </w:abstractNum>
  <w:abstractNum w:abstractNumId="2">
    <w:nsid w:val="23204D38"/>
    <w:multiLevelType w:val="multilevel"/>
    <w:tmpl w:val="23204D38"/>
    <w:lvl w:ilvl="0" w:tentative="0">
      <w:start w:val="1"/>
      <w:numFmt w:val="decimal"/>
      <w:lvlText w:val="[%1]"/>
      <w:lvlJc w:val="left"/>
      <w:pPr>
        <w:ind w:left="440" w:hanging="440"/>
      </w:pPr>
      <w:rPr>
        <w:rFonts w:hint="default" w:ascii="Times New Roman" w:hAnsi="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65DFBDA"/>
    <w:multiLevelType w:val="multilevel"/>
    <w:tmpl w:val="565DFBDA"/>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480" w:firstLine="0"/>
      </w:pPr>
      <w:rPr>
        <w:rFonts w:hint="default"/>
        <w:sz w:val="21"/>
        <w:szCs w:val="21"/>
      </w:rPr>
    </w:lvl>
    <w:lvl w:ilvl="2" w:tentative="0">
      <w:start w:val="1"/>
      <w:numFmt w:val="decimal"/>
      <w:suff w:val="space"/>
      <w:lvlText w:val="%1.%2.%3"/>
      <w:lvlJc w:val="left"/>
      <w:pPr>
        <w:ind w:left="0" w:firstLine="0"/>
      </w:pPr>
      <w:rPr>
        <w:rFonts w:hint="default"/>
        <w:b/>
        <w:bCs/>
      </w:rPr>
    </w:lvl>
    <w:lvl w:ilvl="3" w:tentative="0">
      <w:start w:val="1"/>
      <w:numFmt w:val="decimal"/>
      <w:lvlText w:val="%1.%2.%3.%4"/>
      <w:lvlJc w:val="left"/>
      <w:pPr>
        <w:ind w:left="0" w:firstLine="0"/>
      </w:pPr>
      <w:rPr>
        <w:rFonts w:hint="default"/>
      </w:rPr>
    </w:lvl>
    <w:lvl w:ilvl="4" w:tentative="0">
      <w:start w:val="1"/>
      <w:numFmt w:val="decimal"/>
      <w:lvlText w:val="%1.%2.%3.%4.%5"/>
      <w:lvlJc w:val="left"/>
      <w:pPr>
        <w:ind w:left="0" w:firstLine="0"/>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756E41C0"/>
    <w:multiLevelType w:val="multilevel"/>
    <w:tmpl w:val="756E41C0"/>
    <w:lvl w:ilvl="0" w:tentative="0">
      <w:start w:val="1"/>
      <w:numFmt w:val="decimal"/>
      <w:lvlText w:val="（%1）"/>
      <w:lvlJc w:val="left"/>
      <w:pPr>
        <w:ind w:left="720" w:hanging="720"/>
      </w:pPr>
      <w:rPr>
        <w:rFonts w:hint="default"/>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78CB3B76"/>
    <w:multiLevelType w:val="singleLevel"/>
    <w:tmpl w:val="78CB3B76"/>
    <w:lvl w:ilvl="0" w:tentative="0">
      <w:start w:val="1"/>
      <w:numFmt w:val="lowerLetter"/>
      <w:suff w:val="space"/>
      <w:lvlText w:val="(%1)"/>
      <w:lvlJc w:val="left"/>
      <w:pPr>
        <w:ind w:left="0" w:firstLine="0"/>
      </w:pPr>
      <w:rPr>
        <w:rFonts w:hint="default"/>
        <w:b w:val="0"/>
        <w:bCs w:val="0"/>
      </w:rPr>
    </w:lvl>
  </w:abstractNum>
  <w:num w:numId="1">
    <w:abstractNumId w:val="3"/>
  </w:num>
  <w:num w:numId="2">
    <w:abstractNumId w:val="1"/>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pos w:val="beneathText"/>
    <w:footnote w:id="4"/>
    <w:footnote w:id="5"/>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879"/>
    <w:rsid w:val="00011DAB"/>
    <w:rsid w:val="00020F12"/>
    <w:rsid w:val="00030E57"/>
    <w:rsid w:val="00035D71"/>
    <w:rsid w:val="0006683B"/>
    <w:rsid w:val="00071526"/>
    <w:rsid w:val="00073DE6"/>
    <w:rsid w:val="00081759"/>
    <w:rsid w:val="00082353"/>
    <w:rsid w:val="000832C5"/>
    <w:rsid w:val="000972D4"/>
    <w:rsid w:val="000A3A6C"/>
    <w:rsid w:val="000A512A"/>
    <w:rsid w:val="000A5A9E"/>
    <w:rsid w:val="000B7A46"/>
    <w:rsid w:val="000D2207"/>
    <w:rsid w:val="000F0A1F"/>
    <w:rsid w:val="001078FE"/>
    <w:rsid w:val="00111E46"/>
    <w:rsid w:val="00114599"/>
    <w:rsid w:val="0015206C"/>
    <w:rsid w:val="001A6992"/>
    <w:rsid w:val="001B7852"/>
    <w:rsid w:val="001F0F38"/>
    <w:rsid w:val="002039AF"/>
    <w:rsid w:val="00206A45"/>
    <w:rsid w:val="00211C83"/>
    <w:rsid w:val="002237F2"/>
    <w:rsid w:val="00223C83"/>
    <w:rsid w:val="002355B2"/>
    <w:rsid w:val="00240163"/>
    <w:rsid w:val="00253792"/>
    <w:rsid w:val="00274625"/>
    <w:rsid w:val="00293C43"/>
    <w:rsid w:val="002A1E16"/>
    <w:rsid w:val="002B4589"/>
    <w:rsid w:val="002C14F1"/>
    <w:rsid w:val="00300D1D"/>
    <w:rsid w:val="00307584"/>
    <w:rsid w:val="003144CC"/>
    <w:rsid w:val="00321BDF"/>
    <w:rsid w:val="00332021"/>
    <w:rsid w:val="00334202"/>
    <w:rsid w:val="00334E8A"/>
    <w:rsid w:val="00341EAA"/>
    <w:rsid w:val="00345BEA"/>
    <w:rsid w:val="00354E85"/>
    <w:rsid w:val="00367D54"/>
    <w:rsid w:val="003718DF"/>
    <w:rsid w:val="0038432E"/>
    <w:rsid w:val="00394E4C"/>
    <w:rsid w:val="003A3593"/>
    <w:rsid w:val="003B495A"/>
    <w:rsid w:val="003B61D3"/>
    <w:rsid w:val="003D1124"/>
    <w:rsid w:val="003F3BC2"/>
    <w:rsid w:val="00401D5C"/>
    <w:rsid w:val="00401EB5"/>
    <w:rsid w:val="00416112"/>
    <w:rsid w:val="00425823"/>
    <w:rsid w:val="0043094C"/>
    <w:rsid w:val="004536CF"/>
    <w:rsid w:val="00457FA1"/>
    <w:rsid w:val="0046219D"/>
    <w:rsid w:val="004868AF"/>
    <w:rsid w:val="004A3A23"/>
    <w:rsid w:val="00505BB6"/>
    <w:rsid w:val="00506520"/>
    <w:rsid w:val="00515D12"/>
    <w:rsid w:val="00516596"/>
    <w:rsid w:val="00522C57"/>
    <w:rsid w:val="0053556A"/>
    <w:rsid w:val="005370F2"/>
    <w:rsid w:val="0055079E"/>
    <w:rsid w:val="00551982"/>
    <w:rsid w:val="00552BDA"/>
    <w:rsid w:val="00552C0E"/>
    <w:rsid w:val="00554A67"/>
    <w:rsid w:val="00560C8B"/>
    <w:rsid w:val="00581128"/>
    <w:rsid w:val="005C7E29"/>
    <w:rsid w:val="005E26AD"/>
    <w:rsid w:val="00613F60"/>
    <w:rsid w:val="006326C3"/>
    <w:rsid w:val="00636093"/>
    <w:rsid w:val="0063710B"/>
    <w:rsid w:val="00642058"/>
    <w:rsid w:val="00646225"/>
    <w:rsid w:val="00664BB3"/>
    <w:rsid w:val="0066545D"/>
    <w:rsid w:val="00667C27"/>
    <w:rsid w:val="00684C87"/>
    <w:rsid w:val="00693CAE"/>
    <w:rsid w:val="006A6BD6"/>
    <w:rsid w:val="006D00D0"/>
    <w:rsid w:val="006E07FA"/>
    <w:rsid w:val="00706D3B"/>
    <w:rsid w:val="0074299A"/>
    <w:rsid w:val="0075731D"/>
    <w:rsid w:val="00770B61"/>
    <w:rsid w:val="007B0917"/>
    <w:rsid w:val="007B3F0D"/>
    <w:rsid w:val="007E351B"/>
    <w:rsid w:val="007F2725"/>
    <w:rsid w:val="008154D5"/>
    <w:rsid w:val="0081723F"/>
    <w:rsid w:val="00822007"/>
    <w:rsid w:val="0083008E"/>
    <w:rsid w:val="0083458A"/>
    <w:rsid w:val="008363EA"/>
    <w:rsid w:val="00845DE4"/>
    <w:rsid w:val="008613A3"/>
    <w:rsid w:val="008705A1"/>
    <w:rsid w:val="008731AC"/>
    <w:rsid w:val="00882884"/>
    <w:rsid w:val="008B3547"/>
    <w:rsid w:val="008B72F9"/>
    <w:rsid w:val="008D7A25"/>
    <w:rsid w:val="008E5A8E"/>
    <w:rsid w:val="008E6033"/>
    <w:rsid w:val="008E707B"/>
    <w:rsid w:val="00914954"/>
    <w:rsid w:val="0091633F"/>
    <w:rsid w:val="00922737"/>
    <w:rsid w:val="00942754"/>
    <w:rsid w:val="00955896"/>
    <w:rsid w:val="00961DEC"/>
    <w:rsid w:val="00984442"/>
    <w:rsid w:val="009847E7"/>
    <w:rsid w:val="00993C96"/>
    <w:rsid w:val="009B77CD"/>
    <w:rsid w:val="009C333A"/>
    <w:rsid w:val="009D131F"/>
    <w:rsid w:val="00A00044"/>
    <w:rsid w:val="00A07320"/>
    <w:rsid w:val="00A20276"/>
    <w:rsid w:val="00A43B59"/>
    <w:rsid w:val="00A44AE6"/>
    <w:rsid w:val="00A4785A"/>
    <w:rsid w:val="00A504ED"/>
    <w:rsid w:val="00A66879"/>
    <w:rsid w:val="00A71D9B"/>
    <w:rsid w:val="00A75CF5"/>
    <w:rsid w:val="00A8188F"/>
    <w:rsid w:val="00AA03C5"/>
    <w:rsid w:val="00AD4E8D"/>
    <w:rsid w:val="00AE3E87"/>
    <w:rsid w:val="00AE5C53"/>
    <w:rsid w:val="00AF11F1"/>
    <w:rsid w:val="00B0667F"/>
    <w:rsid w:val="00B169B9"/>
    <w:rsid w:val="00B476E9"/>
    <w:rsid w:val="00B5540B"/>
    <w:rsid w:val="00B57BEE"/>
    <w:rsid w:val="00B6312A"/>
    <w:rsid w:val="00B66D59"/>
    <w:rsid w:val="00B91117"/>
    <w:rsid w:val="00BA2B51"/>
    <w:rsid w:val="00BB2F4C"/>
    <w:rsid w:val="00BC3333"/>
    <w:rsid w:val="00BC4827"/>
    <w:rsid w:val="00BE32A6"/>
    <w:rsid w:val="00BF527E"/>
    <w:rsid w:val="00C70A8C"/>
    <w:rsid w:val="00C74AAD"/>
    <w:rsid w:val="00C879EF"/>
    <w:rsid w:val="00C93BBA"/>
    <w:rsid w:val="00CA35C4"/>
    <w:rsid w:val="00CC1A3E"/>
    <w:rsid w:val="00CD45BE"/>
    <w:rsid w:val="00D00CE1"/>
    <w:rsid w:val="00D07A7F"/>
    <w:rsid w:val="00D15277"/>
    <w:rsid w:val="00D3254F"/>
    <w:rsid w:val="00D62FDC"/>
    <w:rsid w:val="00D75FEE"/>
    <w:rsid w:val="00D87331"/>
    <w:rsid w:val="00D912BC"/>
    <w:rsid w:val="00DB1CD1"/>
    <w:rsid w:val="00DB413A"/>
    <w:rsid w:val="00DB68E8"/>
    <w:rsid w:val="00DB7736"/>
    <w:rsid w:val="00DE3BA7"/>
    <w:rsid w:val="00E03835"/>
    <w:rsid w:val="00E050B1"/>
    <w:rsid w:val="00E33359"/>
    <w:rsid w:val="00E336F9"/>
    <w:rsid w:val="00E34981"/>
    <w:rsid w:val="00E54351"/>
    <w:rsid w:val="00E60B34"/>
    <w:rsid w:val="00E65E4F"/>
    <w:rsid w:val="00E928B5"/>
    <w:rsid w:val="00E930FC"/>
    <w:rsid w:val="00E96191"/>
    <w:rsid w:val="00EB50E2"/>
    <w:rsid w:val="00EB751D"/>
    <w:rsid w:val="00EC326D"/>
    <w:rsid w:val="00EE5DC7"/>
    <w:rsid w:val="00EF0F57"/>
    <w:rsid w:val="00EF1788"/>
    <w:rsid w:val="00F03A96"/>
    <w:rsid w:val="00F35EA2"/>
    <w:rsid w:val="00F47357"/>
    <w:rsid w:val="00F61524"/>
    <w:rsid w:val="00F66B88"/>
    <w:rsid w:val="00F729B7"/>
    <w:rsid w:val="00F95CD2"/>
    <w:rsid w:val="00FB76CB"/>
    <w:rsid w:val="00FD66BC"/>
    <w:rsid w:val="00FE16BD"/>
    <w:rsid w:val="00FE1799"/>
    <w:rsid w:val="02B40FAF"/>
    <w:rsid w:val="03DC07FC"/>
    <w:rsid w:val="04934A97"/>
    <w:rsid w:val="06793C3F"/>
    <w:rsid w:val="082E1080"/>
    <w:rsid w:val="08633C42"/>
    <w:rsid w:val="08C15371"/>
    <w:rsid w:val="092F44B4"/>
    <w:rsid w:val="09420839"/>
    <w:rsid w:val="0ACD0BCA"/>
    <w:rsid w:val="0B902148"/>
    <w:rsid w:val="0C2A4675"/>
    <w:rsid w:val="0CF21C76"/>
    <w:rsid w:val="0D21713D"/>
    <w:rsid w:val="0DCC1116"/>
    <w:rsid w:val="0DE85E53"/>
    <w:rsid w:val="0E8335E0"/>
    <w:rsid w:val="0EAF4164"/>
    <w:rsid w:val="0EB03F8E"/>
    <w:rsid w:val="0EFE36A1"/>
    <w:rsid w:val="0F44355D"/>
    <w:rsid w:val="10185BF4"/>
    <w:rsid w:val="10AA5642"/>
    <w:rsid w:val="10D8751D"/>
    <w:rsid w:val="11C25766"/>
    <w:rsid w:val="1265608A"/>
    <w:rsid w:val="138D5F13"/>
    <w:rsid w:val="143915AE"/>
    <w:rsid w:val="14C34F24"/>
    <w:rsid w:val="15173AA9"/>
    <w:rsid w:val="15485429"/>
    <w:rsid w:val="18C63235"/>
    <w:rsid w:val="197A54B0"/>
    <w:rsid w:val="1CFD64C1"/>
    <w:rsid w:val="1D1327C1"/>
    <w:rsid w:val="1DB22149"/>
    <w:rsid w:val="1DBB7CED"/>
    <w:rsid w:val="1E265480"/>
    <w:rsid w:val="247E2C16"/>
    <w:rsid w:val="24815A49"/>
    <w:rsid w:val="24997A50"/>
    <w:rsid w:val="24C11099"/>
    <w:rsid w:val="24E13305"/>
    <w:rsid w:val="26264CE9"/>
    <w:rsid w:val="28D54416"/>
    <w:rsid w:val="29C62EA4"/>
    <w:rsid w:val="29C6608B"/>
    <w:rsid w:val="2B512C5D"/>
    <w:rsid w:val="2D0F1517"/>
    <w:rsid w:val="2DB528E8"/>
    <w:rsid w:val="2E075D1D"/>
    <w:rsid w:val="2E222864"/>
    <w:rsid w:val="2EFC4824"/>
    <w:rsid w:val="2F552E93"/>
    <w:rsid w:val="307529B6"/>
    <w:rsid w:val="31862694"/>
    <w:rsid w:val="33AC15BA"/>
    <w:rsid w:val="33F407FF"/>
    <w:rsid w:val="353C1060"/>
    <w:rsid w:val="364D41F6"/>
    <w:rsid w:val="373E73F0"/>
    <w:rsid w:val="375810A4"/>
    <w:rsid w:val="38AA3B82"/>
    <w:rsid w:val="38F324D7"/>
    <w:rsid w:val="3A967BFC"/>
    <w:rsid w:val="3D3738E2"/>
    <w:rsid w:val="3D7E1B4A"/>
    <w:rsid w:val="3E0E6961"/>
    <w:rsid w:val="3E410AE4"/>
    <w:rsid w:val="3E742C68"/>
    <w:rsid w:val="3FC421AB"/>
    <w:rsid w:val="42E97785"/>
    <w:rsid w:val="437D7F60"/>
    <w:rsid w:val="4384480C"/>
    <w:rsid w:val="43B2053C"/>
    <w:rsid w:val="443C7F2B"/>
    <w:rsid w:val="48CC52E5"/>
    <w:rsid w:val="493B1870"/>
    <w:rsid w:val="4BE551A5"/>
    <w:rsid w:val="4C377853"/>
    <w:rsid w:val="4D1B3FA7"/>
    <w:rsid w:val="4D707A44"/>
    <w:rsid w:val="4E532EA8"/>
    <w:rsid w:val="4ED65279"/>
    <w:rsid w:val="50A31D34"/>
    <w:rsid w:val="50A373DC"/>
    <w:rsid w:val="51DA61D7"/>
    <w:rsid w:val="52C84DC5"/>
    <w:rsid w:val="53A05C9C"/>
    <w:rsid w:val="54AB4AB2"/>
    <w:rsid w:val="561163DA"/>
    <w:rsid w:val="57496A5B"/>
    <w:rsid w:val="574F3E1A"/>
    <w:rsid w:val="588418A2"/>
    <w:rsid w:val="59A33FA9"/>
    <w:rsid w:val="5A221372"/>
    <w:rsid w:val="5A587A5C"/>
    <w:rsid w:val="5A656F17"/>
    <w:rsid w:val="5BAB5397"/>
    <w:rsid w:val="5EFD521B"/>
    <w:rsid w:val="5F1A4D0E"/>
    <w:rsid w:val="5F48187B"/>
    <w:rsid w:val="5F742670"/>
    <w:rsid w:val="61F235BB"/>
    <w:rsid w:val="620B56F4"/>
    <w:rsid w:val="64ED11A3"/>
    <w:rsid w:val="64F22167"/>
    <w:rsid w:val="65AC2B19"/>
    <w:rsid w:val="662B1DBC"/>
    <w:rsid w:val="679413D5"/>
    <w:rsid w:val="680F6BC1"/>
    <w:rsid w:val="686B0388"/>
    <w:rsid w:val="68CD52DD"/>
    <w:rsid w:val="691750E8"/>
    <w:rsid w:val="695232F6"/>
    <w:rsid w:val="69745B81"/>
    <w:rsid w:val="6E0A44D2"/>
    <w:rsid w:val="6F4C0CDA"/>
    <w:rsid w:val="70587260"/>
    <w:rsid w:val="710651FB"/>
    <w:rsid w:val="714F000C"/>
    <w:rsid w:val="71866233"/>
    <w:rsid w:val="72151E2E"/>
    <w:rsid w:val="72862597"/>
    <w:rsid w:val="74065409"/>
    <w:rsid w:val="74F50C8B"/>
    <w:rsid w:val="76037AB0"/>
    <w:rsid w:val="76545797"/>
    <w:rsid w:val="76A35930"/>
    <w:rsid w:val="76E72014"/>
    <w:rsid w:val="7851676E"/>
    <w:rsid w:val="788763E1"/>
    <w:rsid w:val="789B2763"/>
    <w:rsid w:val="78D14237"/>
    <w:rsid w:val="7B4357D6"/>
    <w:rsid w:val="7B522545"/>
    <w:rsid w:val="7BE93204"/>
    <w:rsid w:val="7C7C44BA"/>
    <w:rsid w:val="7C951287"/>
    <w:rsid w:val="7DB952FD"/>
    <w:rsid w:val="7E9956ED"/>
    <w:rsid w:val="7FB3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imes New Roman"/>
      <w:kern w:val="2"/>
      <w:sz w:val="24"/>
      <w:szCs w:val="22"/>
      <w:lang w:val="en-US" w:eastAsia="zh-CN" w:bidi="ar-SA"/>
    </w:rPr>
  </w:style>
  <w:style w:type="paragraph" w:styleId="2">
    <w:name w:val="heading 1"/>
    <w:basedOn w:val="3"/>
    <w:next w:val="1"/>
    <w:link w:val="20"/>
    <w:qFormat/>
    <w:uiPriority w:val="9"/>
    <w:pPr>
      <w:spacing w:before="0" w:after="0" w:line="300" w:lineRule="auto"/>
      <w:ind w:firstLine="0" w:firstLineChars="0"/>
      <w:jc w:val="left"/>
      <w:outlineLvl w:val="0"/>
    </w:pPr>
    <w:rPr>
      <w:rFonts w:ascii="Times New Roman" w:hAnsi="Times New Roman" w:eastAsia="宋体"/>
      <w:b w:val="0"/>
      <w:bCs w:val="0"/>
      <w:kern w:val="44"/>
      <w:sz w:val="2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等线 Light" w:hAnsi="等线 Light" w:eastAsia="等线 Light"/>
      <w:b/>
      <w:bCs/>
      <w:sz w:val="32"/>
      <w:szCs w:val="32"/>
    </w:rPr>
  </w:style>
  <w:style w:type="paragraph" w:styleId="4">
    <w:name w:val="heading 3"/>
    <w:basedOn w:val="1"/>
    <w:next w:val="1"/>
    <w:semiHidden/>
    <w:unhideWhenUsed/>
    <w:qFormat/>
    <w:uiPriority w:val="9"/>
    <w:pPr>
      <w:spacing w:beforeAutospacing="1" w:afterAutospacing="1"/>
      <w:jc w:val="left"/>
      <w:outlineLvl w:val="2"/>
    </w:pPr>
    <w:rPr>
      <w:rFonts w:hint="eastAsia" w:ascii="宋体" w:hAnsi="宋体"/>
      <w:b/>
      <w:bCs/>
      <w:kern w:val="0"/>
      <w:sz w:val="27"/>
      <w:szCs w:val="27"/>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annotation text"/>
    <w:basedOn w:val="1"/>
    <w:unhideWhenUsed/>
    <w:qFormat/>
    <w:uiPriority w:val="99"/>
    <w:pPr>
      <w:jc w:val="left"/>
    </w:pPr>
  </w:style>
  <w:style w:type="paragraph" w:styleId="6">
    <w:name w:val="Body Text"/>
    <w:basedOn w:val="1"/>
    <w:unhideWhenUsed/>
    <w:qFormat/>
    <w:uiPriority w:val="99"/>
    <w:pPr>
      <w:spacing w:after="120"/>
    </w:pPr>
  </w:style>
  <w:style w:type="paragraph" w:styleId="7">
    <w:name w:val="footer"/>
    <w:basedOn w:val="1"/>
    <w:link w:val="21"/>
    <w:unhideWhenUsed/>
    <w:qFormat/>
    <w:uiPriority w:val="0"/>
    <w:pPr>
      <w:tabs>
        <w:tab w:val="center" w:pos="4153"/>
        <w:tab w:val="right" w:pos="8306"/>
      </w:tabs>
      <w:snapToGrid w:val="0"/>
      <w:jc w:val="left"/>
    </w:pPr>
    <w:rPr>
      <w:sz w:val="18"/>
      <w:szCs w:val="18"/>
    </w:rPr>
  </w:style>
  <w:style w:type="paragraph" w:styleId="8">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footnote text"/>
    <w:basedOn w:val="1"/>
    <w:link w:val="23"/>
    <w:unhideWhenUsed/>
    <w:qFormat/>
    <w:uiPriority w:val="99"/>
    <w:pPr>
      <w:snapToGrid w:val="0"/>
      <w:jc w:val="left"/>
    </w:pPr>
    <w:rPr>
      <w:sz w:val="18"/>
      <w:szCs w:val="18"/>
    </w:rPr>
  </w:style>
  <w:style w:type="paragraph" w:styleId="10">
    <w:name w:val="Normal (Web)"/>
    <w:basedOn w:val="1"/>
    <w:semiHidden/>
    <w:unhideWhenUsed/>
    <w:uiPriority w:val="99"/>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FollowedHyperlink"/>
    <w:basedOn w:val="13"/>
    <w:semiHidden/>
    <w:unhideWhenUsed/>
    <w:qFormat/>
    <w:uiPriority w:val="99"/>
    <w:rPr>
      <w:color w:val="800080" w:themeColor="followedHyperlink"/>
      <w:u w:val="single"/>
      <w14:textFill>
        <w14:solidFill>
          <w14:schemeClr w14:val="folHlink"/>
        </w14:solidFill>
      </w14:textFill>
    </w:rPr>
  </w:style>
  <w:style w:type="character" w:styleId="16">
    <w:name w:val="Emphasis"/>
    <w:basedOn w:val="13"/>
    <w:qFormat/>
    <w:uiPriority w:val="20"/>
    <w:rPr>
      <w:i/>
    </w:rPr>
  </w:style>
  <w:style w:type="character" w:styleId="17">
    <w:name w:val="Hyperlink"/>
    <w:basedOn w:val="13"/>
    <w:unhideWhenUsed/>
    <w:qFormat/>
    <w:uiPriority w:val="99"/>
    <w:rPr>
      <w:color w:val="0000FF"/>
      <w:u w:val="single"/>
    </w:rPr>
  </w:style>
  <w:style w:type="character" w:styleId="18">
    <w:name w:val="footnote reference"/>
    <w:unhideWhenUsed/>
    <w:qFormat/>
    <w:uiPriority w:val="99"/>
    <w:rPr>
      <w:vertAlign w:val="superscript"/>
    </w:rPr>
  </w:style>
  <w:style w:type="character" w:customStyle="1" w:styleId="19">
    <w:name w:val="标题 2 字符"/>
    <w:link w:val="3"/>
    <w:semiHidden/>
    <w:qFormat/>
    <w:uiPriority w:val="9"/>
    <w:rPr>
      <w:rFonts w:ascii="等线 Light" w:hAnsi="等线 Light" w:eastAsia="等线 Light" w:cs="Times New Roman"/>
      <w:b/>
      <w:bCs/>
      <w:sz w:val="32"/>
      <w:szCs w:val="32"/>
    </w:rPr>
  </w:style>
  <w:style w:type="character" w:customStyle="1" w:styleId="20">
    <w:name w:val="标题 1 字符"/>
    <w:link w:val="2"/>
    <w:qFormat/>
    <w:uiPriority w:val="9"/>
    <w:rPr>
      <w:rFonts w:ascii="Times New Roman" w:hAnsi="Times New Roman" w:eastAsia="宋体" w:cs="Times New Roman"/>
      <w:kern w:val="44"/>
      <w:sz w:val="24"/>
      <w:szCs w:val="44"/>
    </w:rPr>
  </w:style>
  <w:style w:type="character" w:customStyle="1" w:styleId="21">
    <w:name w:val="页脚 字符"/>
    <w:link w:val="7"/>
    <w:qFormat/>
    <w:uiPriority w:val="99"/>
    <w:rPr>
      <w:sz w:val="18"/>
      <w:szCs w:val="18"/>
    </w:rPr>
  </w:style>
  <w:style w:type="character" w:customStyle="1" w:styleId="22">
    <w:name w:val="页眉 字符"/>
    <w:link w:val="8"/>
    <w:qFormat/>
    <w:uiPriority w:val="99"/>
    <w:rPr>
      <w:sz w:val="18"/>
      <w:szCs w:val="18"/>
    </w:rPr>
  </w:style>
  <w:style w:type="character" w:customStyle="1" w:styleId="23">
    <w:name w:val="脚注文本 字符"/>
    <w:link w:val="9"/>
    <w:qFormat/>
    <w:uiPriority w:val="99"/>
    <w:rPr>
      <w:rFonts w:ascii="Times New Roman" w:hAnsi="Times New Roman" w:eastAsia="宋体"/>
      <w:sz w:val="18"/>
      <w:szCs w:val="18"/>
    </w:rPr>
  </w:style>
  <w:style w:type="character" w:customStyle="1" w:styleId="24">
    <w:name w:val="正文首行缩进 2 Char"/>
    <w:qFormat/>
    <w:uiPriority w:val="0"/>
    <w:rPr>
      <w:rFonts w:eastAsia="宋体"/>
      <w:kern w:val="2"/>
      <w:sz w:val="21"/>
      <w:szCs w:val="24"/>
      <w:lang w:val="en-US" w:eastAsia="zh-CN" w:bidi="ar-SA"/>
    </w:rPr>
  </w:style>
  <w:style w:type="character" w:customStyle="1" w:styleId="25">
    <w:name w:val="abstract-text"/>
    <w:basedOn w:val="13"/>
    <w:qFormat/>
    <w:uiPriority w:val="0"/>
  </w:style>
  <w:style w:type="character" w:customStyle="1" w:styleId="26">
    <w:name w:val="transsent"/>
    <w:basedOn w:val="13"/>
    <w:qFormat/>
    <w:uiPriority w:val="0"/>
  </w:style>
  <w:style w:type="paragraph" w:styleId="27">
    <w:name w:val="List Paragraph"/>
    <w:basedOn w:val="1"/>
    <w:qFormat/>
    <w:uiPriority w:val="34"/>
    <w:pPr>
      <w:ind w:firstLine="420"/>
    </w:pPr>
  </w:style>
  <w:style w:type="paragraph" w:customStyle="1" w:styleId="28">
    <w:name w:val="src"/>
    <w:basedOn w:val="1"/>
    <w:qFormat/>
    <w:uiPriority w:val="0"/>
    <w:pPr>
      <w:widowControl/>
      <w:spacing w:before="100" w:beforeAutospacing="1" w:after="100" w:afterAutospacing="1" w:line="240" w:lineRule="auto"/>
      <w:ind w:firstLine="0" w:firstLineChars="0"/>
      <w:jc w:val="left"/>
    </w:pPr>
    <w:rPr>
      <w:rFonts w:ascii="宋体" w:hAnsi="宋体" w:cs="宋体"/>
      <w:kern w:val="0"/>
      <w:szCs w:val="24"/>
    </w:rPr>
  </w:style>
  <w:style w:type="character" w:customStyle="1" w:styleId="29">
    <w:name w:val="MTEquationSection"/>
    <w:basedOn w:val="13"/>
    <w:qFormat/>
    <w:uiPriority w:val="0"/>
    <w:rPr>
      <w:rFonts w:ascii="宋体" w:hAnsi="宋体" w:eastAsia="宋体"/>
      <w:b/>
      <w:bCs/>
      <w:vanish/>
      <w:color w:val="FF0000"/>
      <w:sz w:val="28"/>
      <w:szCs w:val="32"/>
    </w:rPr>
  </w:style>
  <w:style w:type="paragraph" w:customStyle="1" w:styleId="30">
    <w:name w:val="公式"/>
    <w:basedOn w:val="1"/>
    <w:next w:val="6"/>
    <w:qFormat/>
    <w:uiPriority w:val="0"/>
    <w:pPr>
      <w:tabs>
        <w:tab w:val="center" w:pos="4253"/>
        <w:tab w:val="right" w:pos="8505"/>
      </w:tabs>
    </w:pPr>
    <w:rPr>
      <w:rFonts w:eastAsia="Times New Roman"/>
    </w:rPr>
  </w:style>
  <w:style w:type="paragraph" w:customStyle="1" w:styleId="31">
    <w:name w:val="列表段落1"/>
    <w:basedOn w:val="1"/>
    <w:qFormat/>
    <w:uiPriority w:val="34"/>
    <w:pPr>
      <w:ind w:firstLine="420"/>
    </w:pPr>
  </w:style>
  <w:style w:type="character" w:customStyle="1" w:styleId="32">
    <w:name w:val="未处理的提及1"/>
    <w:basedOn w:val="13"/>
    <w:semiHidden/>
    <w:unhideWhenUsed/>
    <w:qFormat/>
    <w:uiPriority w:val="99"/>
    <w:rPr>
      <w:color w:val="605E5C"/>
      <w:shd w:val="clear" w:color="auto" w:fill="E1DFDD"/>
    </w:rPr>
  </w:style>
  <w:style w:type="character" w:customStyle="1" w:styleId="33">
    <w:name w:val="未处理的提及2"/>
    <w:basedOn w:val="13"/>
    <w:semiHidden/>
    <w:unhideWhenUsed/>
    <w:qFormat/>
    <w:uiPriority w:val="99"/>
    <w:rPr>
      <w:color w:val="605E5C"/>
      <w:shd w:val="clear" w:color="auto" w:fill="E1DFDD"/>
    </w:rPr>
  </w:style>
  <w:style w:type="paragraph" w:customStyle="1" w:styleId="34">
    <w:name w:val="MTDisplayEquation"/>
    <w:basedOn w:val="1"/>
    <w:next w:val="1"/>
    <w:link w:val="35"/>
    <w:qFormat/>
    <w:uiPriority w:val="0"/>
    <w:pPr>
      <w:tabs>
        <w:tab w:val="center" w:pos="1960"/>
        <w:tab w:val="right" w:pos="3940"/>
      </w:tabs>
      <w:ind w:firstLine="0" w:firstLineChars="0"/>
      <w:jc w:val="center"/>
      <w:outlineLvl w:val="2"/>
    </w:pPr>
    <w:rPr>
      <w:rFonts w:hAnsi="Cambria Math"/>
      <w:sz w:val="13"/>
      <w:szCs w:val="13"/>
    </w:rPr>
  </w:style>
  <w:style w:type="character" w:customStyle="1" w:styleId="35">
    <w:name w:val="MTDisplayEquation 字符"/>
    <w:basedOn w:val="13"/>
    <w:link w:val="34"/>
    <w:qFormat/>
    <w:uiPriority w:val="0"/>
    <w:rPr>
      <w:rFonts w:hAnsi="Cambria Math"/>
      <w:kern w:val="2"/>
      <w:sz w:val="13"/>
      <w:szCs w:val="13"/>
    </w:rPr>
  </w:style>
  <w:style w:type="paragraph" w:customStyle="1" w:styleId="36">
    <w:name w:val="msolistparagraph"/>
    <w:basedOn w:val="1"/>
    <w:uiPriority w:val="0"/>
    <w:pPr>
      <w:ind w:firstLine="420"/>
    </w:pPr>
  </w:style>
</w:styles>
</file>

<file path=word/_rels/document.xml.rels><?xml version="1.0" encoding="UTF-8" standalone="yes"?>
<Relationships xmlns="http://schemas.openxmlformats.org/package/2006/relationships"><Relationship Id="rId95" Type="http://schemas.openxmlformats.org/officeDocument/2006/relationships/fontTable" Target="fontTable.xml"/><Relationship Id="rId94" Type="http://schemas.openxmlformats.org/officeDocument/2006/relationships/customXml" Target="../customXml/item1.xml"/><Relationship Id="rId93" Type="http://schemas.openxmlformats.org/officeDocument/2006/relationships/numbering" Target="numbering.xml"/><Relationship Id="rId92" Type="http://schemas.openxmlformats.org/officeDocument/2006/relationships/image" Target="media/image50.wmf"/><Relationship Id="rId91" Type="http://schemas.openxmlformats.org/officeDocument/2006/relationships/oleObject" Target="embeddings/oleObject31.bin"/><Relationship Id="rId90" Type="http://schemas.openxmlformats.org/officeDocument/2006/relationships/image" Target="media/image49.wmf"/><Relationship Id="rId9" Type="http://schemas.openxmlformats.org/officeDocument/2006/relationships/footer" Target="footer2.xml"/><Relationship Id="rId89" Type="http://schemas.openxmlformats.org/officeDocument/2006/relationships/oleObject" Target="embeddings/oleObject30.bin"/><Relationship Id="rId88" Type="http://schemas.openxmlformats.org/officeDocument/2006/relationships/image" Target="media/image48.png"/><Relationship Id="rId87" Type="http://schemas.openxmlformats.org/officeDocument/2006/relationships/image" Target="media/image47.png"/><Relationship Id="rId86" Type="http://schemas.openxmlformats.org/officeDocument/2006/relationships/image" Target="media/image46.wmf"/><Relationship Id="rId85" Type="http://schemas.openxmlformats.org/officeDocument/2006/relationships/oleObject" Target="embeddings/oleObject29.bin"/><Relationship Id="rId84" Type="http://schemas.openxmlformats.org/officeDocument/2006/relationships/image" Target="media/image45.wmf"/><Relationship Id="rId83" Type="http://schemas.openxmlformats.org/officeDocument/2006/relationships/oleObject" Target="embeddings/oleObject28.bin"/><Relationship Id="rId82" Type="http://schemas.openxmlformats.org/officeDocument/2006/relationships/image" Target="media/image44.wmf"/><Relationship Id="rId81" Type="http://schemas.openxmlformats.org/officeDocument/2006/relationships/oleObject" Target="embeddings/oleObject27.bin"/><Relationship Id="rId80" Type="http://schemas.openxmlformats.org/officeDocument/2006/relationships/image" Target="media/image43.wmf"/><Relationship Id="rId8" Type="http://schemas.openxmlformats.org/officeDocument/2006/relationships/footer" Target="footer1.xml"/><Relationship Id="rId79" Type="http://schemas.openxmlformats.org/officeDocument/2006/relationships/oleObject" Target="embeddings/oleObject26.bin"/><Relationship Id="rId78" Type="http://schemas.openxmlformats.org/officeDocument/2006/relationships/image" Target="media/image42.png"/><Relationship Id="rId77" Type="http://schemas.openxmlformats.org/officeDocument/2006/relationships/image" Target="media/image41.wmf"/><Relationship Id="rId76" Type="http://schemas.openxmlformats.org/officeDocument/2006/relationships/oleObject" Target="embeddings/oleObject25.bin"/><Relationship Id="rId75" Type="http://schemas.openxmlformats.org/officeDocument/2006/relationships/image" Target="media/image40.wmf"/><Relationship Id="rId74" Type="http://schemas.openxmlformats.org/officeDocument/2006/relationships/oleObject" Target="embeddings/oleObject24.bin"/><Relationship Id="rId73" Type="http://schemas.openxmlformats.org/officeDocument/2006/relationships/image" Target="media/image39.wmf"/><Relationship Id="rId72" Type="http://schemas.openxmlformats.org/officeDocument/2006/relationships/oleObject" Target="embeddings/oleObject23.bin"/><Relationship Id="rId71" Type="http://schemas.openxmlformats.org/officeDocument/2006/relationships/image" Target="media/image38.wmf"/><Relationship Id="rId70" Type="http://schemas.openxmlformats.org/officeDocument/2006/relationships/oleObject" Target="embeddings/oleObject22.bin"/><Relationship Id="rId7" Type="http://schemas.openxmlformats.org/officeDocument/2006/relationships/header" Target="header3.xml"/><Relationship Id="rId69" Type="http://schemas.openxmlformats.org/officeDocument/2006/relationships/image" Target="media/image37.png"/><Relationship Id="rId68" Type="http://schemas.openxmlformats.org/officeDocument/2006/relationships/image" Target="media/image36.wmf"/><Relationship Id="rId67" Type="http://schemas.openxmlformats.org/officeDocument/2006/relationships/oleObject" Target="embeddings/oleObject21.bin"/><Relationship Id="rId66" Type="http://schemas.openxmlformats.org/officeDocument/2006/relationships/image" Target="media/image35.wmf"/><Relationship Id="rId65" Type="http://schemas.openxmlformats.org/officeDocument/2006/relationships/oleObject" Target="embeddings/oleObject20.bin"/><Relationship Id="rId64" Type="http://schemas.openxmlformats.org/officeDocument/2006/relationships/image" Target="media/image34.wmf"/><Relationship Id="rId63" Type="http://schemas.openxmlformats.org/officeDocument/2006/relationships/oleObject" Target="embeddings/oleObject19.bin"/><Relationship Id="rId62" Type="http://schemas.openxmlformats.org/officeDocument/2006/relationships/image" Target="media/image33.png"/><Relationship Id="rId61" Type="http://schemas.openxmlformats.org/officeDocument/2006/relationships/image" Target="media/image32.wmf"/><Relationship Id="rId60" Type="http://schemas.openxmlformats.org/officeDocument/2006/relationships/oleObject" Target="embeddings/oleObject18.bin"/><Relationship Id="rId6" Type="http://schemas.openxmlformats.org/officeDocument/2006/relationships/header" Target="header2.xml"/><Relationship Id="rId59" Type="http://schemas.openxmlformats.org/officeDocument/2006/relationships/image" Target="media/image31.png"/><Relationship Id="rId58" Type="http://schemas.openxmlformats.org/officeDocument/2006/relationships/image" Target="media/image30.wmf"/><Relationship Id="rId57" Type="http://schemas.openxmlformats.org/officeDocument/2006/relationships/oleObject" Target="embeddings/oleObject17.bin"/><Relationship Id="rId56" Type="http://schemas.openxmlformats.org/officeDocument/2006/relationships/image" Target="media/image29.png"/><Relationship Id="rId55" Type="http://schemas.openxmlformats.org/officeDocument/2006/relationships/image" Target="media/image28.wmf"/><Relationship Id="rId54" Type="http://schemas.openxmlformats.org/officeDocument/2006/relationships/oleObject" Target="embeddings/oleObject16.bin"/><Relationship Id="rId53" Type="http://schemas.openxmlformats.org/officeDocument/2006/relationships/image" Target="media/image27.wmf"/><Relationship Id="rId52" Type="http://schemas.openxmlformats.org/officeDocument/2006/relationships/oleObject" Target="embeddings/oleObject15.bin"/><Relationship Id="rId51" Type="http://schemas.openxmlformats.org/officeDocument/2006/relationships/image" Target="media/image26.wmf"/><Relationship Id="rId50" Type="http://schemas.openxmlformats.org/officeDocument/2006/relationships/oleObject" Target="embeddings/oleObject14.bin"/><Relationship Id="rId5" Type="http://schemas.openxmlformats.org/officeDocument/2006/relationships/header" Target="header1.xml"/><Relationship Id="rId49" Type="http://schemas.openxmlformats.org/officeDocument/2006/relationships/image" Target="media/image25.png"/><Relationship Id="rId48" Type="http://schemas.openxmlformats.org/officeDocument/2006/relationships/image" Target="media/image24.wmf"/><Relationship Id="rId47" Type="http://schemas.openxmlformats.org/officeDocument/2006/relationships/oleObject" Target="embeddings/oleObject13.bin"/><Relationship Id="rId46" Type="http://schemas.openxmlformats.org/officeDocument/2006/relationships/image" Target="media/image23.png"/><Relationship Id="rId45" Type="http://schemas.openxmlformats.org/officeDocument/2006/relationships/image" Target="media/image22.wmf"/><Relationship Id="rId44" Type="http://schemas.openxmlformats.org/officeDocument/2006/relationships/oleObject" Target="embeddings/oleObject12.bin"/><Relationship Id="rId43" Type="http://schemas.openxmlformats.org/officeDocument/2006/relationships/image" Target="media/image21.png"/><Relationship Id="rId42" Type="http://schemas.openxmlformats.org/officeDocument/2006/relationships/image" Target="media/image20.wmf"/><Relationship Id="rId41" Type="http://schemas.openxmlformats.org/officeDocument/2006/relationships/oleObject" Target="embeddings/oleObject11.bin"/><Relationship Id="rId40" Type="http://schemas.openxmlformats.org/officeDocument/2006/relationships/image" Target="media/image19.wmf"/><Relationship Id="rId4" Type="http://schemas.openxmlformats.org/officeDocument/2006/relationships/endnotes" Target="endnotes.xml"/><Relationship Id="rId39" Type="http://schemas.openxmlformats.org/officeDocument/2006/relationships/oleObject" Target="embeddings/oleObject10.bin"/><Relationship Id="rId38" Type="http://schemas.openxmlformats.org/officeDocument/2006/relationships/image" Target="media/image18.wmf"/><Relationship Id="rId37" Type="http://schemas.openxmlformats.org/officeDocument/2006/relationships/oleObject" Target="embeddings/oleObject9.bin"/><Relationship Id="rId36" Type="http://schemas.openxmlformats.org/officeDocument/2006/relationships/image" Target="media/image17.png"/><Relationship Id="rId35" Type="http://schemas.openxmlformats.org/officeDocument/2006/relationships/image" Target="media/image16.wmf"/><Relationship Id="rId34" Type="http://schemas.openxmlformats.org/officeDocument/2006/relationships/oleObject" Target="embeddings/oleObject8.bin"/><Relationship Id="rId33" Type="http://schemas.openxmlformats.org/officeDocument/2006/relationships/image" Target="media/image15.png"/><Relationship Id="rId32" Type="http://schemas.openxmlformats.org/officeDocument/2006/relationships/image" Target="media/image14.wmf"/><Relationship Id="rId31" Type="http://schemas.openxmlformats.org/officeDocument/2006/relationships/oleObject" Target="embeddings/oleObject7.bin"/><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6.bin"/><Relationship Id="rId27" Type="http://schemas.openxmlformats.org/officeDocument/2006/relationships/image" Target="media/image11.wmf"/><Relationship Id="rId26" Type="http://schemas.openxmlformats.org/officeDocument/2006/relationships/oleObject" Target="embeddings/oleObject5.bin"/><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wmf"/><Relationship Id="rId22" Type="http://schemas.openxmlformats.org/officeDocument/2006/relationships/oleObject" Target="embeddings/oleObject4.bin"/><Relationship Id="rId21" Type="http://schemas.openxmlformats.org/officeDocument/2006/relationships/image" Target="media/image7.w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2.bin"/><Relationship Id="rId17" Type="http://schemas.openxmlformats.org/officeDocument/2006/relationships/image" Target="media/image5.png"/><Relationship Id="rId16" Type="http://schemas.openxmlformats.org/officeDocument/2006/relationships/image" Target="media/image4.wmf"/><Relationship Id="rId15" Type="http://schemas.openxmlformats.org/officeDocument/2006/relationships/oleObject" Target="embeddings/oleObject1.bin"/><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0A462-BB7D-4B16-81CB-51EE45C103B4}">
  <ds:schemaRefs/>
</ds:datastoreItem>
</file>

<file path=docProps/app.xml><?xml version="1.0" encoding="utf-8"?>
<Properties xmlns="http://schemas.openxmlformats.org/officeDocument/2006/extended-properties" xmlns:vt="http://schemas.openxmlformats.org/officeDocument/2006/docPropsVTypes">
  <Template>Normal</Template>
  <Pages>13</Pages>
  <Words>4379</Words>
  <Characters>25008</Characters>
  <Lines>223</Lines>
  <Paragraphs>62</Paragraphs>
  <TotalTime>2786</TotalTime>
  <ScaleCrop>false</ScaleCrop>
  <LinksUpToDate>false</LinksUpToDate>
  <CharactersWithSpaces>29100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2025-07-07T07:22:00Z</dcterms:created>
  <dc:creator>Administrator</dc:creator>
  <cp:lastModifiedBy>五五</cp:lastModifiedBy>
  <cp:lastPrinted>2025-07-07T07:22:00Z</cp:lastPrinted>
  <dcterms:modified xsi:type="dcterms:W3CDTF">2026-06-03T13:23:06Z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CD11538FB5884A6DA75DB2C527C8EDBE_13</vt:lpwstr>
  </property>
  <property fmtid="{D5CDD505-2E9C-101B-9397-08002B2CF9AE}" pid="4" name="KSOTemplateDocerSaveRecord">
    <vt:lpwstr>eyJoZGlkIjoiNWVmNDZlMDA0MzM4YzFlNGI5OTlmZGU3YTZiZDIxNGIiLCJ1c2VySWQiOiIzNjg1OTQ0NDgifQ==</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(#S1)</vt:lpwstr>
  </property>
</Properties>
</file>