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8C00A" w14:textId="10597112" w:rsidR="00670806" w:rsidRPr="00670806" w:rsidRDefault="00A630FA" w:rsidP="00670806">
      <w:pPr>
        <w:spacing w:after="0"/>
        <w:jc w:val="center"/>
        <w:rPr>
          <w:rFonts w:ascii="Helvetica" w:hAnsi="Helvetica"/>
          <w:b/>
          <w:sz w:val="36"/>
          <w:szCs w:val="36"/>
        </w:rPr>
      </w:pPr>
      <w:r>
        <w:rPr>
          <w:rFonts w:ascii="Helvetica" w:hAnsi="Helvetica" w:cs="Arial"/>
          <w:b/>
          <w:color w:val="222222"/>
          <w:sz w:val="36"/>
          <w:szCs w:val="36"/>
          <w:shd w:val="clear" w:color="auto" w:fill="FFFFFF"/>
        </w:rPr>
        <w:t>To Bracket</w:t>
      </w:r>
      <w:r w:rsidR="00A94465">
        <w:rPr>
          <w:rFonts w:ascii="Helvetica" w:hAnsi="Helvetica" w:cs="Arial"/>
          <w:b/>
          <w:color w:val="222222"/>
          <w:sz w:val="36"/>
          <w:szCs w:val="36"/>
          <w:shd w:val="clear" w:color="auto" w:fill="FFFFFF"/>
        </w:rPr>
        <w:t xml:space="preserve"> or Not Bracket</w:t>
      </w:r>
      <w:r w:rsidR="006E5540">
        <w:rPr>
          <w:rFonts w:ascii="Helvetica" w:hAnsi="Helvetica" w:cs="Arial"/>
          <w:b/>
          <w:color w:val="222222"/>
          <w:sz w:val="36"/>
          <w:szCs w:val="36"/>
          <w:shd w:val="clear" w:color="auto" w:fill="FFFFFF"/>
        </w:rPr>
        <w:t xml:space="preserve">: </w:t>
      </w:r>
      <w:r w:rsidR="00A94465">
        <w:rPr>
          <w:rFonts w:ascii="Helvetica" w:hAnsi="Helvetica" w:cs="Arial"/>
          <w:b/>
          <w:color w:val="222222"/>
          <w:sz w:val="36"/>
          <w:szCs w:val="36"/>
          <w:shd w:val="clear" w:color="auto" w:fill="FFFFFF"/>
        </w:rPr>
        <w:t>Experiment</w:t>
      </w:r>
      <w:r>
        <w:rPr>
          <w:rFonts w:ascii="Helvetica" w:hAnsi="Helvetica" w:cs="Arial"/>
          <w:b/>
          <w:color w:val="222222"/>
          <w:sz w:val="36"/>
          <w:szCs w:val="36"/>
          <w:shd w:val="clear" w:color="auto" w:fill="FFFFFF"/>
        </w:rPr>
        <w:t>s</w:t>
      </w:r>
      <w:r w:rsidR="00A94465">
        <w:rPr>
          <w:rFonts w:ascii="Helvetica" w:hAnsi="Helvetica" w:cs="Arial"/>
          <w:b/>
          <w:color w:val="222222"/>
          <w:sz w:val="36"/>
          <w:szCs w:val="36"/>
          <w:shd w:val="clear" w:color="auto" w:fill="FFFFFF"/>
        </w:rPr>
        <w:t xml:space="preserve"> in </w:t>
      </w:r>
      <w:r w:rsidR="009A5D77">
        <w:rPr>
          <w:rFonts w:ascii="Helvetica" w:hAnsi="Helvetica" w:cs="Arial"/>
          <w:b/>
          <w:color w:val="222222"/>
          <w:sz w:val="36"/>
          <w:szCs w:val="36"/>
          <w:shd w:val="clear" w:color="auto" w:fill="FFFFFF"/>
        </w:rPr>
        <w:t>Gamification</w:t>
      </w:r>
      <w:r w:rsidR="006E5540">
        <w:rPr>
          <w:rFonts w:ascii="Helvetica" w:hAnsi="Helvetica" w:cs="Arial"/>
          <w:b/>
          <w:color w:val="222222"/>
          <w:sz w:val="36"/>
          <w:szCs w:val="36"/>
          <w:shd w:val="clear" w:color="auto" w:fill="FFFFFF"/>
        </w:rPr>
        <w:t xml:space="preserve"> in the Wilds of Technical Communication</w:t>
      </w:r>
    </w:p>
    <w:p w14:paraId="695C290E" w14:textId="77777777" w:rsidR="008B197E" w:rsidRDefault="008B197E"/>
    <w:p w14:paraId="0F9FEDBB" w14:textId="77777777" w:rsidR="00670806" w:rsidRDefault="00670806">
      <w:pPr>
        <w:sectPr w:rsidR="00670806" w:rsidSect="003B4153">
          <w:footerReference w:type="even" r:id="rId9"/>
          <w:pgSz w:w="12240" w:h="15840" w:code="1"/>
          <w:pgMar w:top="1080" w:right="1080" w:bottom="1440" w:left="1080" w:header="720" w:footer="720" w:gutter="0"/>
          <w:cols w:space="720"/>
        </w:sectPr>
      </w:pPr>
    </w:p>
    <w:p w14:paraId="11D9338E" w14:textId="004E8DC5" w:rsidR="000D3F28" w:rsidRDefault="000D3F28" w:rsidP="000D3F28">
      <w:pPr>
        <w:pStyle w:val="Author"/>
        <w:spacing w:after="0"/>
        <w:rPr>
          <w:spacing w:val="-2"/>
        </w:rPr>
      </w:pPr>
      <w:r>
        <w:rPr>
          <w:spacing w:val="-2"/>
        </w:rPr>
        <w:lastRenderedPageBreak/>
        <w:t>Brett Oppegaard</w:t>
      </w:r>
    </w:p>
    <w:p w14:paraId="549B92EB" w14:textId="77777777" w:rsidR="000D3F28" w:rsidRDefault="000D3F28" w:rsidP="000D3F28">
      <w:pPr>
        <w:pStyle w:val="Affiliations"/>
        <w:rPr>
          <w:spacing w:val="-2"/>
        </w:rPr>
      </w:pPr>
      <w:r>
        <w:rPr>
          <w:spacing w:val="-2"/>
        </w:rPr>
        <w:t>University of Hawai’i at Manoa</w:t>
      </w:r>
      <w:r>
        <w:rPr>
          <w:spacing w:val="-2"/>
        </w:rPr>
        <w:br/>
        <w:t>2550 Campus Road</w:t>
      </w:r>
      <w:r>
        <w:rPr>
          <w:spacing w:val="-2"/>
        </w:rPr>
        <w:br/>
        <w:t>Honolulu, HI 96822</w:t>
      </w:r>
      <w:r>
        <w:rPr>
          <w:spacing w:val="-2"/>
        </w:rPr>
        <w:br/>
      </w:r>
      <w:r>
        <w:t>+1 808-956-3340</w:t>
      </w:r>
    </w:p>
    <w:p w14:paraId="6F603462" w14:textId="77777777" w:rsidR="000D3F28" w:rsidRDefault="000D3F28" w:rsidP="000D3F28">
      <w:pPr>
        <w:pStyle w:val="E-Mail"/>
        <w:rPr>
          <w:spacing w:val="-2"/>
        </w:rPr>
      </w:pPr>
      <w:proofErr w:type="gramStart"/>
      <w:r>
        <w:rPr>
          <w:spacing w:val="-2"/>
        </w:rPr>
        <w:t>brett.oppegaard@hawaii.edu</w:t>
      </w:r>
      <w:proofErr w:type="gramEnd"/>
    </w:p>
    <w:p w14:paraId="58C68CD6" w14:textId="77777777" w:rsidR="000D3F28" w:rsidRDefault="000D3F28" w:rsidP="000D3F28">
      <w:pPr>
        <w:pStyle w:val="Author"/>
        <w:spacing w:after="0"/>
        <w:rPr>
          <w:spacing w:val="-2"/>
        </w:rPr>
      </w:pPr>
      <w:r>
        <w:rPr>
          <w:spacing w:val="-2"/>
        </w:rPr>
        <w:br w:type="column"/>
      </w:r>
      <w:r>
        <w:rPr>
          <w:spacing w:val="-2"/>
        </w:rPr>
        <w:lastRenderedPageBreak/>
        <w:t>Thomas Conway</w:t>
      </w:r>
    </w:p>
    <w:p w14:paraId="5415C3AF" w14:textId="77777777" w:rsidR="000D3F28" w:rsidRDefault="000D3F28" w:rsidP="000D3F28">
      <w:pPr>
        <w:pStyle w:val="Affiliations"/>
        <w:rPr>
          <w:spacing w:val="-2"/>
        </w:rPr>
      </w:pPr>
      <w:r>
        <w:rPr>
          <w:spacing w:val="-2"/>
        </w:rPr>
        <w:t>University of Hawai’i at Manoa</w:t>
      </w:r>
      <w:r>
        <w:rPr>
          <w:spacing w:val="-2"/>
        </w:rPr>
        <w:br/>
        <w:t>1776 University Avenue</w:t>
      </w:r>
      <w:r>
        <w:rPr>
          <w:spacing w:val="-2"/>
        </w:rPr>
        <w:br/>
        <w:t>Honolulu, HI 96822</w:t>
      </w:r>
    </w:p>
    <w:p w14:paraId="6200F786" w14:textId="77777777" w:rsidR="000D3F28" w:rsidRDefault="000D3F28" w:rsidP="000D3F28">
      <w:pPr>
        <w:pStyle w:val="Affiliations"/>
        <w:rPr>
          <w:spacing w:val="-2"/>
        </w:rPr>
      </w:pPr>
      <w:r>
        <w:rPr>
          <w:spacing w:val="-2"/>
        </w:rPr>
        <w:t>+1 808-375-7092</w:t>
      </w:r>
    </w:p>
    <w:p w14:paraId="5A24BF8C" w14:textId="77777777" w:rsidR="000D3F28" w:rsidRDefault="000D3F28" w:rsidP="000D3F28">
      <w:pPr>
        <w:pStyle w:val="E-Mail"/>
        <w:rPr>
          <w:spacing w:val="-2"/>
        </w:rPr>
      </w:pPr>
      <w:r>
        <w:rPr>
          <w:spacing w:val="-2"/>
        </w:rPr>
        <w:t>tconway@hawaii.edu</w:t>
      </w:r>
    </w:p>
    <w:p w14:paraId="4ED53EF7" w14:textId="77777777" w:rsidR="000D3F28" w:rsidRDefault="000D3F28" w:rsidP="000D3F28">
      <w:pPr>
        <w:pStyle w:val="Author"/>
        <w:spacing w:after="0"/>
        <w:rPr>
          <w:spacing w:val="-2"/>
        </w:rPr>
      </w:pPr>
      <w:r>
        <w:rPr>
          <w:spacing w:val="-2"/>
        </w:rPr>
        <w:br w:type="column"/>
      </w:r>
      <w:r>
        <w:rPr>
          <w:spacing w:val="-2"/>
        </w:rPr>
        <w:lastRenderedPageBreak/>
        <w:t>Megan Conway</w:t>
      </w:r>
    </w:p>
    <w:p w14:paraId="65DD7327" w14:textId="77777777" w:rsidR="000D3F28" w:rsidRDefault="000D3F28" w:rsidP="000D3F28">
      <w:pPr>
        <w:pStyle w:val="Affiliations"/>
        <w:rPr>
          <w:spacing w:val="-2"/>
        </w:rPr>
      </w:pPr>
      <w:r>
        <w:rPr>
          <w:spacing w:val="-2"/>
        </w:rPr>
        <w:t>University of Hawai’i at Manoa</w:t>
      </w:r>
      <w:r>
        <w:rPr>
          <w:spacing w:val="-2"/>
        </w:rPr>
        <w:br/>
        <w:t>1776 University Avenue</w:t>
      </w:r>
      <w:r>
        <w:rPr>
          <w:spacing w:val="-2"/>
        </w:rPr>
        <w:br/>
        <w:t>Honolulu, HI 96822</w:t>
      </w:r>
      <w:r>
        <w:rPr>
          <w:spacing w:val="-2"/>
        </w:rPr>
        <w:br/>
        <w:t>+1 808-956-6166</w:t>
      </w:r>
    </w:p>
    <w:p w14:paraId="7B978ECF" w14:textId="77777777" w:rsidR="000D3F28" w:rsidRDefault="000D3F28" w:rsidP="000D3F28">
      <w:pPr>
        <w:pStyle w:val="E-Mail"/>
        <w:rPr>
          <w:spacing w:val="-2"/>
        </w:rPr>
      </w:pPr>
      <w:r>
        <w:rPr>
          <w:spacing w:val="-2"/>
        </w:rPr>
        <w:t>mconway@hawaii.edu</w:t>
      </w:r>
    </w:p>
    <w:p w14:paraId="41C2FEEE" w14:textId="77777777" w:rsidR="008B197E" w:rsidRDefault="008B197E">
      <w:pPr>
        <w:pStyle w:val="E-Mail"/>
      </w:pPr>
    </w:p>
    <w:p w14:paraId="70BACA3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8ECDDC6" w14:textId="0D6175B0" w:rsidR="001B0002" w:rsidRDefault="008B197E" w:rsidP="001B0002">
      <w:pPr>
        <w:spacing w:after="0"/>
      </w:pPr>
      <w:r>
        <w:rPr>
          <w:b/>
          <w:sz w:val="24"/>
        </w:rPr>
        <w:lastRenderedPageBreak/>
        <w:t>ABSTRACT</w:t>
      </w:r>
      <w:r w:rsidR="00435BB5">
        <w:rPr>
          <w:b/>
          <w:sz w:val="24"/>
        </w:rPr>
        <w:br/>
      </w:r>
      <w:r w:rsidR="00526680">
        <w:t xml:space="preserve">“Gamification” research has evolved and grown </w:t>
      </w:r>
      <w:r w:rsidR="006B7FDF">
        <w:t xml:space="preserve">dramatically </w:t>
      </w:r>
      <w:r w:rsidR="00DA133C">
        <w:t xml:space="preserve">in </w:t>
      </w:r>
      <w:r w:rsidR="006B7FDF">
        <w:t>recent years</w:t>
      </w:r>
      <w:r w:rsidR="00A6121F">
        <w:t xml:space="preserve">, </w:t>
      </w:r>
      <w:r w:rsidR="00A23362">
        <w:t xml:space="preserve">gaining popularity </w:t>
      </w:r>
      <w:r w:rsidR="00A6121F">
        <w:t>across disciplines</w:t>
      </w:r>
      <w:r w:rsidR="006B7FDF">
        <w:t xml:space="preserve">. </w:t>
      </w:r>
      <w:r w:rsidR="00CB3E38">
        <w:t xml:space="preserve">While such efforts have </w:t>
      </w:r>
      <w:r w:rsidR="00DA133C">
        <w:t>generated</w:t>
      </w:r>
      <w:r w:rsidR="00CB3E38">
        <w:t xml:space="preserve"> headway in many respects,</w:t>
      </w:r>
      <w:r w:rsidR="00DA133C">
        <w:t xml:space="preserve"> and in various directions,</w:t>
      </w:r>
      <w:r w:rsidR="00CB3E38">
        <w:t xml:space="preserve"> from conceptual understand</w:t>
      </w:r>
      <w:r w:rsidR="00A23362">
        <w:t>ings to user studies, the field could benefit from more work</w:t>
      </w:r>
      <w:r w:rsidR="00DA133C">
        <w:t xml:space="preserve"> focused upon </w:t>
      </w:r>
      <w:r w:rsidR="00C070AD">
        <w:t xml:space="preserve">use in </w:t>
      </w:r>
      <w:r w:rsidR="00DA133C">
        <w:t xml:space="preserve">research methodologies at the </w:t>
      </w:r>
      <w:r w:rsidR="00A23362">
        <w:t>nexus of practice and theory</w:t>
      </w:r>
      <w:r w:rsidR="00DA133C">
        <w:t>. This pap</w:t>
      </w:r>
      <w:r w:rsidR="00C070AD">
        <w:t>er, in turn, reflects upon such an experiment aimed at</w:t>
      </w:r>
      <w:r w:rsidR="00DA133C">
        <w:t xml:space="preserve"> </w:t>
      </w:r>
      <w:r w:rsidR="00A23362">
        <w:t xml:space="preserve">the design and application of gamification techniques within </w:t>
      </w:r>
      <w:r w:rsidR="00C070AD">
        <w:t>a typical</w:t>
      </w:r>
      <w:r w:rsidR="00DA133C">
        <w:t xml:space="preserve"> </w:t>
      </w:r>
      <w:r w:rsidR="00A23362">
        <w:t xml:space="preserve">technical-communication </w:t>
      </w:r>
      <w:r w:rsidR="00DA133C">
        <w:t>context</w:t>
      </w:r>
      <w:r w:rsidR="00A23362">
        <w:t xml:space="preserve">. </w:t>
      </w:r>
      <w:r w:rsidR="00C070AD">
        <w:t xml:space="preserve">In this case, subject matter experts within the National Park Service were being asked to improve accessibility of their site brochures by audio describing them. </w:t>
      </w:r>
      <w:r w:rsidR="00366DFB">
        <w:t xml:space="preserve">During this training, they were given an overview of audio description, as a process, </w:t>
      </w:r>
      <w:r w:rsidR="001D397D">
        <w:t xml:space="preserve">as well as introduced to </w:t>
      </w:r>
      <w:r w:rsidR="00366DFB">
        <w:t xml:space="preserve">a </w:t>
      </w:r>
      <w:r w:rsidR="00894291">
        <w:t>prototype</w:t>
      </w:r>
      <w:r w:rsidR="00366DFB">
        <w:t xml:space="preserve"> web tool and </w:t>
      </w:r>
      <w:r w:rsidR="001D397D">
        <w:t xml:space="preserve">then </w:t>
      </w:r>
      <w:r w:rsidR="00366DFB">
        <w:t xml:space="preserve">asked to use that tool to create the description for their site brochure. Unlike previous training exercises </w:t>
      </w:r>
      <w:r w:rsidR="00894291">
        <w:t xml:space="preserve">with other parks </w:t>
      </w:r>
      <w:r w:rsidR="00366DFB">
        <w:t>in this projec</w:t>
      </w:r>
      <w:r w:rsidR="00894291">
        <w:t xml:space="preserve">t, though, this group also was </w:t>
      </w:r>
      <w:r w:rsidR="00366DFB">
        <w:t xml:space="preserve">organized by </w:t>
      </w:r>
      <w:r w:rsidR="001D397D">
        <w:t>site</w:t>
      </w:r>
      <w:r w:rsidR="00894291">
        <w:t>s</w:t>
      </w:r>
      <w:r w:rsidR="00366DFB">
        <w:t xml:space="preserve"> into a tournament bracket, in which </w:t>
      </w:r>
      <w:r w:rsidR="00894291">
        <w:t xml:space="preserve">pairs of parks </w:t>
      </w:r>
      <w:r w:rsidR="00366DFB">
        <w:t>competed against each other</w:t>
      </w:r>
      <w:r w:rsidR="00894291">
        <w:t xml:space="preserve"> in exercises </w:t>
      </w:r>
      <w:r w:rsidR="00A3743C">
        <w:t xml:space="preserve">designed </w:t>
      </w:r>
      <w:r w:rsidR="00894291">
        <w:t xml:space="preserve">to </w:t>
      </w:r>
      <w:r w:rsidR="00A3743C">
        <w:t>create</w:t>
      </w:r>
      <w:r w:rsidR="00894291">
        <w:t xml:space="preserve"> comparable audio description. The winner of each round, as determined by an independent panel of judges, advanced to the next round, sp</w:t>
      </w:r>
      <w:r w:rsidR="00A3743C">
        <w:t>urred by the promise of fun Hawaii</w:t>
      </w:r>
      <w:r w:rsidR="00C15402">
        <w:t>an</w:t>
      </w:r>
      <w:r w:rsidR="00A3743C">
        <w:t xml:space="preserve">-themed </w:t>
      </w:r>
      <w:r w:rsidR="00894291">
        <w:t>prizes</w:t>
      </w:r>
      <w:r w:rsidR="00A3743C">
        <w:t xml:space="preserve"> at the end</w:t>
      </w:r>
      <w:r w:rsidR="00366DFB">
        <w:t>.</w:t>
      </w:r>
      <w:r w:rsidR="00894291">
        <w:t xml:space="preserve"> This gamification strategy </w:t>
      </w:r>
      <w:r w:rsidR="006C72FA">
        <w:t>appeared to generate</w:t>
      </w:r>
      <w:r w:rsidR="00894291">
        <w:t xml:space="preserve"> more data, and more research-focused data, than </w:t>
      </w:r>
      <w:r w:rsidR="00A3743C">
        <w:t xml:space="preserve">the </w:t>
      </w:r>
      <w:r w:rsidR="00894291">
        <w:t>previous training exercises</w:t>
      </w:r>
      <w:r w:rsidR="00A3743C">
        <w:t xml:space="preserve"> we have offered</w:t>
      </w:r>
      <w:r w:rsidR="00894291">
        <w:t xml:space="preserve">, per user. It </w:t>
      </w:r>
      <w:r w:rsidR="006C72FA">
        <w:t xml:space="preserve">also apparently </w:t>
      </w:r>
      <w:r w:rsidR="00894291">
        <w:t>engaged many</w:t>
      </w:r>
      <w:r w:rsidR="00A3743C">
        <w:t xml:space="preserve">, in </w:t>
      </w:r>
      <w:r w:rsidR="00C15402">
        <w:t xml:space="preserve">various evident </w:t>
      </w:r>
      <w:r w:rsidR="00A3743C">
        <w:t>ways</w:t>
      </w:r>
      <w:r w:rsidR="00894291">
        <w:t xml:space="preserve">. But it also </w:t>
      </w:r>
      <w:r w:rsidR="006C72FA">
        <w:t>seem</w:t>
      </w:r>
      <w:r w:rsidR="00894291">
        <w:t>ed to disenfranchise some</w:t>
      </w:r>
      <w:r w:rsidR="006C72FA">
        <w:t xml:space="preserve"> as well</w:t>
      </w:r>
      <w:r w:rsidR="00894291">
        <w:t xml:space="preserve">, </w:t>
      </w:r>
      <w:r w:rsidR="00A3743C">
        <w:t>who dropped out of this voluntary training, creating a mix of results, which will be outlined in this paper.</w:t>
      </w:r>
      <w:r w:rsidR="006C3893">
        <w:t xml:space="preserve"> </w:t>
      </w:r>
    </w:p>
    <w:p w14:paraId="4204D284" w14:textId="77777777" w:rsidR="001B0002" w:rsidRDefault="001B0002" w:rsidP="001B0002">
      <w:pPr>
        <w:spacing w:before="120" w:after="0"/>
      </w:pPr>
      <w:r>
        <w:rPr>
          <w:b/>
          <w:sz w:val="24"/>
        </w:rPr>
        <w:t>Categories and Subject Descriptors</w:t>
      </w:r>
    </w:p>
    <w:p w14:paraId="7651BF26" w14:textId="09F8D13C" w:rsidR="00634EA5" w:rsidRPr="00634EA5" w:rsidRDefault="00634EA5" w:rsidP="001B0002">
      <w:pPr>
        <w:rPr>
          <w:rFonts w:ascii="Times" w:hAnsi="Times"/>
          <w:sz w:val="20"/>
        </w:rPr>
      </w:pPr>
      <w:r>
        <w:t>L.3.6</w:t>
      </w:r>
      <w:r w:rsidR="001B0002" w:rsidRPr="00440AAC">
        <w:t xml:space="preserve"> [</w:t>
      </w:r>
      <w:r>
        <w:t>Science and Technology of Learning]: Methodology/Tools/Technology – Technology Enhanced Learning.</w:t>
      </w:r>
    </w:p>
    <w:p w14:paraId="5FFE0515" w14:textId="77777777" w:rsidR="001B0002" w:rsidRDefault="001B0002" w:rsidP="001B0002">
      <w:pPr>
        <w:spacing w:before="120" w:after="0"/>
      </w:pPr>
      <w:r>
        <w:rPr>
          <w:b/>
          <w:sz w:val="24"/>
        </w:rPr>
        <w:t>General Terms</w:t>
      </w:r>
    </w:p>
    <w:p w14:paraId="2F15D796" w14:textId="58ACC0B3" w:rsidR="001B0002" w:rsidRDefault="001B0002" w:rsidP="001B0002">
      <w:pPr>
        <w:spacing w:after="120"/>
      </w:pPr>
      <w:proofErr w:type="gramStart"/>
      <w:r>
        <w:t xml:space="preserve">Design, </w:t>
      </w:r>
      <w:r w:rsidR="00C15402">
        <w:t>Experimentation</w:t>
      </w:r>
      <w:r>
        <w:t>.</w:t>
      </w:r>
      <w:proofErr w:type="gramEnd"/>
    </w:p>
    <w:p w14:paraId="73FC70FA" w14:textId="77777777" w:rsidR="001B0002" w:rsidRDefault="001B0002" w:rsidP="001B0002">
      <w:pPr>
        <w:spacing w:before="120" w:after="0"/>
      </w:pPr>
      <w:r>
        <w:rPr>
          <w:b/>
          <w:sz w:val="24"/>
        </w:rPr>
        <w:t>Keywords</w:t>
      </w:r>
    </w:p>
    <w:p w14:paraId="25D9BC7A" w14:textId="10E42FB4" w:rsidR="006E5540" w:rsidRDefault="00C15402" w:rsidP="001B0002">
      <w:pPr>
        <w:spacing w:after="120"/>
      </w:pPr>
      <w:proofErr w:type="gramStart"/>
      <w:r>
        <w:t>Gamification, a</w:t>
      </w:r>
      <w:r w:rsidR="001B0002">
        <w:t xml:space="preserve">udio description, </w:t>
      </w:r>
      <w:r w:rsidR="002B67AE">
        <w:t xml:space="preserve">accessibility, </w:t>
      </w:r>
      <w:r w:rsidR="004374FA">
        <w:t xml:space="preserve">information design, </w:t>
      </w:r>
      <w:r w:rsidR="001B0002">
        <w:t>cross-modal translation, National Park Service</w:t>
      </w:r>
      <w:r w:rsidR="004374FA">
        <w:t>, disability studies</w:t>
      </w:r>
      <w:r w:rsidR="001B0002">
        <w:t>.</w:t>
      </w:r>
      <w:proofErr w:type="gramEnd"/>
    </w:p>
    <w:p w14:paraId="2D205489" w14:textId="77777777" w:rsidR="006E5540" w:rsidRPr="006C72FA" w:rsidRDefault="006E5540" w:rsidP="001B0002">
      <w:pPr>
        <w:spacing w:after="120"/>
        <w:rPr>
          <w:sz w:val="8"/>
          <w:szCs w:val="8"/>
        </w:rPr>
      </w:pPr>
    </w:p>
    <w:p w14:paraId="78B1D134" w14:textId="1283FD42" w:rsidR="001B0002" w:rsidRDefault="001B0002" w:rsidP="001B0002">
      <w:pPr>
        <w:pStyle w:val="Heading1"/>
        <w:spacing w:before="120"/>
      </w:pPr>
      <w:r>
        <w:t>AUDIO DESCRIPTION</w:t>
      </w:r>
      <w:r w:rsidR="00C15402">
        <w:t xml:space="preserve"> AS A CONTEST</w:t>
      </w:r>
      <w:r>
        <w:t xml:space="preserve"> </w:t>
      </w:r>
    </w:p>
    <w:p w14:paraId="7F9F3E4D" w14:textId="764B6EDF" w:rsidR="006108BD" w:rsidRDefault="00C15402" w:rsidP="006108BD">
      <w:pPr>
        <w:pStyle w:val="BodyTextIndent"/>
        <w:spacing w:after="120"/>
      </w:pPr>
      <w:r>
        <w:rPr>
          <w:noProof/>
        </w:rPr>
        <mc:AlternateContent>
          <mc:Choice Requires="wps">
            <w:drawing>
              <wp:anchor distT="0" distB="0" distL="114300" distR="114300" simplePos="0" relativeHeight="251660288" behindDoc="0" locked="0" layoutInCell="1" allowOverlap="1" wp14:anchorId="3FDEB7FA" wp14:editId="3703C82A">
                <wp:simplePos x="0" y="0"/>
                <wp:positionH relativeFrom="column">
                  <wp:posOffset>-62865</wp:posOffset>
                </wp:positionH>
                <wp:positionV relativeFrom="paragraph">
                  <wp:posOffset>427355</wp:posOffset>
                </wp:positionV>
                <wp:extent cx="3200400" cy="10287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C7C8B6" w14:textId="77777777" w:rsidR="00DC01AE" w:rsidRPr="00D933A0" w:rsidRDefault="00DC01AE" w:rsidP="00D933A0">
                            <w:pPr>
                              <w:spacing w:after="0"/>
                              <w:jc w:val="left"/>
                              <w:rPr>
                                <w:sz w:val="12"/>
                                <w:szCs w:val="12"/>
                              </w:rPr>
                            </w:pPr>
                            <w:r w:rsidRPr="00D933A0">
                              <w:rPr>
                                <w:sz w:val="12"/>
                                <w:szCs w:val="12"/>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w:t>
                            </w:r>
                            <w:proofErr w:type="gramStart"/>
                            <w:r w:rsidRPr="00D933A0">
                              <w:rPr>
                                <w:sz w:val="12"/>
                                <w:szCs w:val="12"/>
                              </w:rPr>
                              <w:t>Request permissions from </w:t>
                            </w:r>
                            <w:r w:rsidRPr="00D933A0">
                              <w:rPr>
                                <w:sz w:val="12"/>
                                <w:szCs w:val="12"/>
                              </w:rPr>
                              <w:fldChar w:fldCharType="begin"/>
                            </w:r>
                            <w:r w:rsidRPr="00D933A0">
                              <w:rPr>
                                <w:sz w:val="12"/>
                                <w:szCs w:val="12"/>
                              </w:rPr>
                              <w:instrText xml:space="preserve"> HYPERLINK "mailto:Permissions@acm.org" \t "_blank" </w:instrText>
                            </w:r>
                            <w:r w:rsidRPr="00D933A0">
                              <w:rPr>
                                <w:sz w:val="12"/>
                                <w:szCs w:val="12"/>
                              </w:rPr>
                              <w:fldChar w:fldCharType="separate"/>
                            </w:r>
                            <w:r w:rsidRPr="00D933A0">
                              <w:rPr>
                                <w:rStyle w:val="Hyperlink"/>
                                <w:sz w:val="12"/>
                                <w:szCs w:val="12"/>
                              </w:rPr>
                              <w:t>Permissions@acm.org</w:t>
                            </w:r>
                            <w:r w:rsidRPr="00D933A0">
                              <w:rPr>
                                <w:sz w:val="12"/>
                                <w:szCs w:val="12"/>
                              </w:rPr>
                              <w:fldChar w:fldCharType="end"/>
                            </w:r>
                            <w:r w:rsidRPr="00D933A0">
                              <w:rPr>
                                <w:sz w:val="12"/>
                                <w:szCs w:val="12"/>
                              </w:rPr>
                              <w:t>.</w:t>
                            </w:r>
                            <w:proofErr w:type="gramEnd"/>
                            <w:r w:rsidRPr="00D933A0">
                              <w:rPr>
                                <w:sz w:val="12"/>
                                <w:szCs w:val="12"/>
                              </w:rPr>
                              <w:br/>
                            </w:r>
                            <w:r w:rsidRPr="00D933A0">
                              <w:rPr>
                                <w:i/>
                                <w:iCs/>
                                <w:sz w:val="12"/>
                                <w:szCs w:val="12"/>
                              </w:rPr>
                              <w:t>SIGDOC '15,</w:t>
                            </w:r>
                            <w:r w:rsidRPr="00D933A0">
                              <w:rPr>
                                <w:sz w:val="12"/>
                                <w:szCs w:val="12"/>
                              </w:rPr>
                              <w:t> July 16 - 17, 2015, Limerick, Ireland </w:t>
                            </w:r>
                            <w:r w:rsidRPr="00D933A0">
                              <w:rPr>
                                <w:sz w:val="12"/>
                                <w:szCs w:val="12"/>
                              </w:rPr>
                              <w:br/>
                              <w:t>Copyright is held by the owner/author(s). Publication rights licensed to ACM.</w:t>
                            </w:r>
                            <w:r w:rsidRPr="00D933A0">
                              <w:rPr>
                                <w:sz w:val="12"/>
                                <w:szCs w:val="12"/>
                              </w:rPr>
                              <w:br/>
                              <w:t>ACM 978-1-4503-3648-2/15/07</w:t>
                            </w:r>
                            <w:r w:rsidRPr="00D933A0">
                              <w:rPr>
                                <w:rFonts w:ascii="Libian SC Regular" w:hAnsi="Libian SC Regular" w:cs="Libian SC Regular"/>
                                <w:sz w:val="12"/>
                                <w:szCs w:val="12"/>
                              </w:rPr>
                              <w:t>…</w:t>
                            </w:r>
                            <w:r w:rsidRPr="00D933A0">
                              <w:rPr>
                                <w:sz w:val="12"/>
                                <w:szCs w:val="12"/>
                              </w:rPr>
                              <w:t>$15.00 </w:t>
                            </w:r>
                            <w:r w:rsidRPr="00D933A0">
                              <w:rPr>
                                <w:sz w:val="12"/>
                                <w:szCs w:val="12"/>
                              </w:rPr>
                              <w:br/>
                              <w:t>DOI: </w:t>
                            </w:r>
                            <w:r w:rsidRPr="00D933A0">
                              <w:rPr>
                                <w:sz w:val="12"/>
                                <w:szCs w:val="12"/>
                              </w:rPr>
                              <w:fldChar w:fldCharType="begin"/>
                            </w:r>
                            <w:r w:rsidRPr="00D933A0">
                              <w:rPr>
                                <w:sz w:val="12"/>
                                <w:szCs w:val="12"/>
                              </w:rPr>
                              <w:instrText xml:space="preserve"> HYPERLINK "http://dx.doi.org/10.1145/2775441.2775463" \t "_blank" </w:instrText>
                            </w:r>
                            <w:r w:rsidRPr="00D933A0">
                              <w:rPr>
                                <w:sz w:val="12"/>
                                <w:szCs w:val="12"/>
                              </w:rPr>
                              <w:fldChar w:fldCharType="separate"/>
                            </w:r>
                            <w:r w:rsidRPr="00D933A0">
                              <w:rPr>
                                <w:rStyle w:val="Hyperlink"/>
                                <w:sz w:val="12"/>
                                <w:szCs w:val="12"/>
                              </w:rPr>
                              <w:t>http://dx.doi.org/10.1145/2775441.2775463</w:t>
                            </w:r>
                            <w:r w:rsidRPr="00D933A0">
                              <w:rPr>
                                <w:sz w:val="12"/>
                                <w:szCs w:val="12"/>
                              </w:rPr>
                              <w:fldChar w:fldCharType="end"/>
                            </w:r>
                          </w:p>
                          <w:p w14:paraId="114E582C" w14:textId="05032C51" w:rsidR="00DC01AE" w:rsidRPr="006962F7" w:rsidRDefault="00DC01AE" w:rsidP="006962F7">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9pt;margin-top:33.65pt;width:252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" filled="f" stroked="f">
                <v:textbox>
                  <w:txbxContent>
                    <w:p w14:paraId="65C7C8B6" w14:textId="77777777" w:rsidR="00DC01AE" w:rsidRPr="00D933A0" w:rsidRDefault="00DC01AE" w:rsidP="00D933A0">
                      <w:pPr>
                        <w:spacing w:after="0"/>
                        <w:jc w:val="left"/>
                        <w:rPr>
                          <w:sz w:val="12"/>
                          <w:szCs w:val="12"/>
                        </w:rPr>
                      </w:pPr>
                      <w:r w:rsidRPr="00D933A0">
                        <w:rPr>
                          <w:sz w:val="12"/>
                          <w:szCs w:val="12"/>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w:t>
                      </w:r>
                      <w:proofErr w:type="gramStart"/>
                      <w:r w:rsidRPr="00D933A0">
                        <w:rPr>
                          <w:sz w:val="12"/>
                          <w:szCs w:val="12"/>
                        </w:rPr>
                        <w:t>Request permissions from </w:t>
                      </w:r>
                      <w:r w:rsidRPr="00D933A0">
                        <w:rPr>
                          <w:sz w:val="12"/>
                          <w:szCs w:val="12"/>
                        </w:rPr>
                        <w:fldChar w:fldCharType="begin"/>
                      </w:r>
                      <w:r w:rsidRPr="00D933A0">
                        <w:rPr>
                          <w:sz w:val="12"/>
                          <w:szCs w:val="12"/>
                        </w:rPr>
                        <w:instrText xml:space="preserve"> HYPERLINK "mailto:Permissions@acm.org" \t "_blank" </w:instrText>
                      </w:r>
                      <w:r w:rsidRPr="00D933A0">
                        <w:rPr>
                          <w:sz w:val="12"/>
                          <w:szCs w:val="12"/>
                        </w:rPr>
                        <w:fldChar w:fldCharType="separate"/>
                      </w:r>
                      <w:r w:rsidRPr="00D933A0">
                        <w:rPr>
                          <w:rStyle w:val="Hyperlink"/>
                          <w:sz w:val="12"/>
                          <w:szCs w:val="12"/>
                        </w:rPr>
                        <w:t>Permissions@acm.org</w:t>
                      </w:r>
                      <w:r w:rsidRPr="00D933A0">
                        <w:rPr>
                          <w:sz w:val="12"/>
                          <w:szCs w:val="12"/>
                        </w:rPr>
                        <w:fldChar w:fldCharType="end"/>
                      </w:r>
                      <w:r w:rsidRPr="00D933A0">
                        <w:rPr>
                          <w:sz w:val="12"/>
                          <w:szCs w:val="12"/>
                        </w:rPr>
                        <w:t>.</w:t>
                      </w:r>
                      <w:proofErr w:type="gramEnd"/>
                      <w:r w:rsidRPr="00D933A0">
                        <w:rPr>
                          <w:sz w:val="12"/>
                          <w:szCs w:val="12"/>
                        </w:rPr>
                        <w:br/>
                      </w:r>
                      <w:r w:rsidRPr="00D933A0">
                        <w:rPr>
                          <w:i/>
                          <w:iCs/>
                          <w:sz w:val="12"/>
                          <w:szCs w:val="12"/>
                        </w:rPr>
                        <w:t>SIGDOC '15,</w:t>
                      </w:r>
                      <w:r w:rsidRPr="00D933A0">
                        <w:rPr>
                          <w:sz w:val="12"/>
                          <w:szCs w:val="12"/>
                        </w:rPr>
                        <w:t> July 16 - 17, 2015, Limerick, Ireland </w:t>
                      </w:r>
                      <w:r w:rsidRPr="00D933A0">
                        <w:rPr>
                          <w:sz w:val="12"/>
                          <w:szCs w:val="12"/>
                        </w:rPr>
                        <w:br/>
                        <w:t>Copyright is held by the owner/author(s). Publication rights licensed to ACM.</w:t>
                      </w:r>
                      <w:r w:rsidRPr="00D933A0">
                        <w:rPr>
                          <w:sz w:val="12"/>
                          <w:szCs w:val="12"/>
                        </w:rPr>
                        <w:br/>
                        <w:t>ACM 978-1-4503-3648-2/15/07</w:t>
                      </w:r>
                      <w:r w:rsidRPr="00D933A0">
                        <w:rPr>
                          <w:rFonts w:ascii="Libian SC Regular" w:hAnsi="Libian SC Regular" w:cs="Libian SC Regular"/>
                          <w:sz w:val="12"/>
                          <w:szCs w:val="12"/>
                        </w:rPr>
                        <w:t>…</w:t>
                      </w:r>
                      <w:r w:rsidRPr="00D933A0">
                        <w:rPr>
                          <w:sz w:val="12"/>
                          <w:szCs w:val="12"/>
                        </w:rPr>
                        <w:t>$15.00 </w:t>
                      </w:r>
                      <w:r w:rsidRPr="00D933A0">
                        <w:rPr>
                          <w:sz w:val="12"/>
                          <w:szCs w:val="12"/>
                        </w:rPr>
                        <w:br/>
                        <w:t>DOI: </w:t>
                      </w:r>
                      <w:r w:rsidRPr="00D933A0">
                        <w:rPr>
                          <w:sz w:val="12"/>
                          <w:szCs w:val="12"/>
                        </w:rPr>
                        <w:fldChar w:fldCharType="begin"/>
                      </w:r>
                      <w:r w:rsidRPr="00D933A0">
                        <w:rPr>
                          <w:sz w:val="12"/>
                          <w:szCs w:val="12"/>
                        </w:rPr>
                        <w:instrText xml:space="preserve"> HYPERLINK "http://dx.doi.org/10.1145/2775441.2775463" \t "_blank" </w:instrText>
                      </w:r>
                      <w:r w:rsidRPr="00D933A0">
                        <w:rPr>
                          <w:sz w:val="12"/>
                          <w:szCs w:val="12"/>
                        </w:rPr>
                        <w:fldChar w:fldCharType="separate"/>
                      </w:r>
                      <w:r w:rsidRPr="00D933A0">
                        <w:rPr>
                          <w:rStyle w:val="Hyperlink"/>
                          <w:sz w:val="12"/>
                          <w:szCs w:val="12"/>
                        </w:rPr>
                        <w:t>http://dx.doi.org/10.1145/2775441.2775463</w:t>
                      </w:r>
                      <w:r w:rsidRPr="00D933A0">
                        <w:rPr>
                          <w:sz w:val="12"/>
                          <w:szCs w:val="12"/>
                        </w:rPr>
                        <w:fldChar w:fldCharType="end"/>
                      </w:r>
                    </w:p>
                    <w:p w14:paraId="114E582C" w14:textId="05032C51" w:rsidR="00DC01AE" w:rsidRPr="006962F7" w:rsidRDefault="00DC01AE" w:rsidP="006962F7">
                      <w:pPr>
                        <w:spacing w:after="0"/>
                        <w:rPr>
                          <w:sz w:val="12"/>
                          <w:szCs w:val="12"/>
                        </w:rPr>
                      </w:pPr>
                    </w:p>
                  </w:txbxContent>
                </v:textbox>
                <w10:wrap type="square"/>
              </v:shape>
            </w:pict>
          </mc:Fallback>
        </mc:AlternateContent>
      </w:r>
      <w:r>
        <w:t>F</w:t>
      </w:r>
      <w:r w:rsidRPr="001F329F">
        <w:t>or more than 30 years</w:t>
      </w:r>
      <w:r>
        <w:t xml:space="preserve">, the U.S. National Park Service (NPS) has been struggling to address federal mandates that require the availability of equivalent learning media on site for </w:t>
      </w:r>
      <w:r>
        <w:lastRenderedPageBreak/>
        <w:t>those with disabilities, such as blindness or low vision. While NPS sites offer m</w:t>
      </w:r>
      <w:r w:rsidR="000D3F28">
        <w:t>uch visual media, in many forms –</w:t>
      </w:r>
      <w:r>
        <w:t xml:space="preserve"> including vide</w:t>
      </w:r>
      <w:r w:rsidR="000D3F28">
        <w:t xml:space="preserve">os, visitor-center exhibits, and wayside signs – </w:t>
      </w:r>
      <w:r>
        <w:t>this research project has been focused strictly on the unique paper brochure</w:t>
      </w:r>
      <w:r w:rsidR="00F045E4">
        <w:t>s</w:t>
      </w:r>
      <w:r>
        <w:t xml:space="preserve"> offered at each place.</w:t>
      </w:r>
      <w:r w:rsidR="000D3F28">
        <w:t xml:space="preserve"> One objective of this research project has been to find a practical path for the NPS to translate its roughly 400 purely visual </w:t>
      </w:r>
      <w:r w:rsidR="00F045E4">
        <w:t xml:space="preserve">and </w:t>
      </w:r>
      <w:r w:rsidR="006C72FA">
        <w:t>silent (</w:t>
      </w:r>
      <w:r w:rsidR="00F045E4">
        <w:t>paper-based</w:t>
      </w:r>
      <w:r w:rsidR="006C72FA">
        <w:t>)</w:t>
      </w:r>
      <w:r w:rsidR="00F045E4">
        <w:t xml:space="preserve"> </w:t>
      </w:r>
      <w:r w:rsidR="000D3F28">
        <w:t xml:space="preserve">brochures into equivalent acoustic versions using a captioning-like process called audio description. </w:t>
      </w:r>
      <w:r w:rsidR="006C72FA">
        <w:t>For this work, o</w:t>
      </w:r>
      <w:r w:rsidR="000D3F28">
        <w:t xml:space="preserve">ur research team has </w:t>
      </w:r>
      <w:r w:rsidR="006C72FA">
        <w:t>custom</w:t>
      </w:r>
      <w:r w:rsidR="008C22DF">
        <w:t>-</w:t>
      </w:r>
      <w:r w:rsidR="006C72FA">
        <w:t>built a web-based tool</w:t>
      </w:r>
      <w:r w:rsidR="00A84798">
        <w:t xml:space="preserve">, </w:t>
      </w:r>
      <w:hyperlink r:id="rId10" w:history="1">
        <w:r w:rsidR="00A84798" w:rsidRPr="00796C80">
          <w:rPr>
            <w:rStyle w:val="Hyperlink"/>
          </w:rPr>
          <w:t>www.unidescription.org</w:t>
        </w:r>
      </w:hyperlink>
      <w:r w:rsidR="00A84798">
        <w:t xml:space="preserve">, which includes an online training </w:t>
      </w:r>
      <w:r w:rsidR="00F045E4">
        <w:t>center</w:t>
      </w:r>
      <w:r w:rsidR="00A84798">
        <w:t xml:space="preserve"> and forum. </w:t>
      </w:r>
      <w:r w:rsidR="008C22DF">
        <w:t>To user test this approach, w</w:t>
      </w:r>
      <w:r w:rsidR="00A84798">
        <w:t xml:space="preserve">e had organized and </w:t>
      </w:r>
      <w:r w:rsidR="008C22DF">
        <w:t>conducted</w:t>
      </w:r>
      <w:r w:rsidR="00A84798">
        <w:t xml:space="preserve"> </w:t>
      </w:r>
      <w:r w:rsidR="00670FDE">
        <w:t>two earlier</w:t>
      </w:r>
      <w:r w:rsidR="00A84798">
        <w:t xml:space="preserve"> </w:t>
      </w:r>
      <w:r w:rsidR="00F045E4">
        <w:t xml:space="preserve">and similar </w:t>
      </w:r>
      <w:r w:rsidR="00A84798">
        <w:t>training sessions for parks</w:t>
      </w:r>
      <w:r w:rsidR="008C22DF">
        <w:t>, as a way for them</w:t>
      </w:r>
      <w:r w:rsidR="006108BD">
        <w:t xml:space="preserve"> to learn and use the </w:t>
      </w:r>
      <w:proofErr w:type="spellStart"/>
      <w:r w:rsidR="006108BD">
        <w:t>UniD</w:t>
      </w:r>
      <w:proofErr w:type="spellEnd"/>
      <w:r w:rsidR="006108BD">
        <w:t xml:space="preserve"> system</w:t>
      </w:r>
      <w:r w:rsidR="00A84798">
        <w:t xml:space="preserve">, starting with three </w:t>
      </w:r>
      <w:r w:rsidR="00F045E4">
        <w:t>sites in Round 1 and</w:t>
      </w:r>
      <w:r w:rsidR="00A84798">
        <w:t xml:space="preserve"> </w:t>
      </w:r>
      <w:r w:rsidR="00670FDE">
        <w:t xml:space="preserve">eight parks in Round 2. For Round 3, though, we had </w:t>
      </w:r>
      <w:r w:rsidR="00F045E4">
        <w:t xml:space="preserve">many </w:t>
      </w:r>
      <w:r w:rsidR="00670FDE">
        <w:t>more parks</w:t>
      </w:r>
      <w:r w:rsidR="00F045E4">
        <w:t xml:space="preserve"> wanting to participate</w:t>
      </w:r>
      <w:r w:rsidR="006108BD">
        <w:t xml:space="preserve"> (</w:t>
      </w:r>
      <w:r w:rsidR="000722ED">
        <w:t>28</w:t>
      </w:r>
      <w:r w:rsidR="006108BD">
        <w:t>)</w:t>
      </w:r>
      <w:r w:rsidR="000722ED">
        <w:t xml:space="preserve"> </w:t>
      </w:r>
      <w:r w:rsidR="00F045E4">
        <w:t xml:space="preserve">and an ambition to use gamification techniques to increase the engagement and quality of our training and production processes, leading to more </w:t>
      </w:r>
      <w:r w:rsidR="006108BD">
        <w:t xml:space="preserve">and better </w:t>
      </w:r>
      <w:r w:rsidR="00F045E4">
        <w:t xml:space="preserve">data per park. With NCAA basketball’s </w:t>
      </w:r>
      <w:r w:rsidR="006108BD">
        <w:t xml:space="preserve">upcoming </w:t>
      </w:r>
      <w:r w:rsidR="00F045E4">
        <w:t xml:space="preserve">March Madness </w:t>
      </w:r>
      <w:r w:rsidR="006108BD">
        <w:t xml:space="preserve">as an inspiration, </w:t>
      </w:r>
      <w:r w:rsidR="00F045E4">
        <w:t xml:space="preserve">we decided to </w:t>
      </w:r>
      <w:r w:rsidR="008C22DF">
        <w:t xml:space="preserve">create </w:t>
      </w:r>
      <w:r w:rsidR="00F045E4">
        <w:t xml:space="preserve">our own </w:t>
      </w:r>
      <w:r w:rsidR="008C22DF">
        <w:t xml:space="preserve">sort of </w:t>
      </w:r>
      <w:r w:rsidR="00F045E4">
        <w:t>tournament bracket</w:t>
      </w:r>
      <w:r w:rsidR="00C5267A">
        <w:t xml:space="preserve"> and incorporate it in</w:t>
      </w:r>
      <w:r w:rsidR="008C22DF">
        <w:t>to</w:t>
      </w:r>
      <w:r w:rsidR="00C5267A">
        <w:t xml:space="preserve"> the</w:t>
      </w:r>
      <w:r w:rsidR="008C22DF">
        <w:t xml:space="preserve"> process, which we dubbed a</w:t>
      </w:r>
      <w:r w:rsidR="00C5267A">
        <w:t xml:space="preserve"> </w:t>
      </w:r>
      <w:r w:rsidR="008C22DF">
        <w:t>“</w:t>
      </w:r>
      <w:r w:rsidR="00C5267A">
        <w:t>Descriptathon</w:t>
      </w:r>
      <w:r w:rsidR="006108BD">
        <w:t>.</w:t>
      </w:r>
      <w:r w:rsidR="008C22DF">
        <w:t>”</w:t>
      </w:r>
      <w:r w:rsidR="006108BD">
        <w:t xml:space="preserve"> </w:t>
      </w:r>
      <w:r w:rsidR="008C22DF">
        <w:t xml:space="preserve">During this three-day training session, </w:t>
      </w:r>
      <w:r w:rsidR="006108BD">
        <w:t xml:space="preserve">we gave our usual </w:t>
      </w:r>
      <w:r w:rsidR="008C22DF">
        <w:t>spiels</w:t>
      </w:r>
      <w:r w:rsidR="006108BD">
        <w:t xml:space="preserve"> about audio description. We gave the parks guidance and objectives for finishing their brochures, like we did before. </w:t>
      </w:r>
      <w:r w:rsidR="008C22DF">
        <w:t>Yet i</w:t>
      </w:r>
      <w:r w:rsidR="00C5267A">
        <w:t>n t</w:t>
      </w:r>
      <w:r w:rsidR="006108BD">
        <w:t xml:space="preserve">his </w:t>
      </w:r>
      <w:r w:rsidR="00C5267A">
        <w:t xml:space="preserve">round, </w:t>
      </w:r>
      <w:r w:rsidR="006108BD">
        <w:t xml:space="preserve">we </w:t>
      </w:r>
      <w:r w:rsidR="008C22DF">
        <w:t xml:space="preserve">also </w:t>
      </w:r>
      <w:r w:rsidR="006108BD">
        <w:t xml:space="preserve">added </w:t>
      </w:r>
      <w:r w:rsidR="00F045E4">
        <w:t xml:space="preserve">a </w:t>
      </w:r>
      <w:r w:rsidR="00C5267A">
        <w:t xml:space="preserve">generally </w:t>
      </w:r>
      <w:r w:rsidR="00F045E4">
        <w:t xml:space="preserve">light-hearted competition </w:t>
      </w:r>
      <w:r w:rsidR="006108BD">
        <w:t xml:space="preserve">to see how that affected the </w:t>
      </w:r>
      <w:r w:rsidR="00C5267A">
        <w:t xml:space="preserve">Descriptathon </w:t>
      </w:r>
      <w:r w:rsidR="006108BD">
        <w:t>dynamic</w:t>
      </w:r>
      <w:r w:rsidR="00C5267A">
        <w:t>. In that process</w:t>
      </w:r>
      <w:r w:rsidR="006108BD">
        <w:t>,</w:t>
      </w:r>
      <w:r w:rsidR="00C5267A">
        <w:t xml:space="preserve"> we discovered </w:t>
      </w:r>
      <w:r w:rsidR="006108BD">
        <w:t xml:space="preserve">many positive aspects </w:t>
      </w:r>
      <w:r w:rsidR="00C5267A">
        <w:t xml:space="preserve">associated with </w:t>
      </w:r>
      <w:r w:rsidR="006108BD">
        <w:t xml:space="preserve">such a structure, </w:t>
      </w:r>
      <w:r w:rsidR="00C5267A">
        <w:t xml:space="preserve">including what </w:t>
      </w:r>
      <w:r w:rsidR="006108BD">
        <w:t>we perceived as increased camaraderie and</w:t>
      </w:r>
      <w:r w:rsidR="00C5267A">
        <w:t xml:space="preserve"> aesthetic motivations.</w:t>
      </w:r>
      <w:r w:rsidR="006108BD">
        <w:t xml:space="preserve"> </w:t>
      </w:r>
      <w:r w:rsidR="008C22DF">
        <w:t>We also had a few drop</w:t>
      </w:r>
      <w:r w:rsidR="00C5267A">
        <w:t>outs, which might or might not be attributable to the perception of an “electronic whip.”</w:t>
      </w:r>
    </w:p>
    <w:p w14:paraId="0E12A548" w14:textId="6C73EDD9" w:rsidR="002A779E" w:rsidRDefault="00C5267A" w:rsidP="002A779E">
      <w:pPr>
        <w:pStyle w:val="Heading2"/>
        <w:spacing w:before="120"/>
      </w:pPr>
      <w:r>
        <w:t>Gamification as a methodology</w:t>
      </w:r>
    </w:p>
    <w:p w14:paraId="4D61E2DB" w14:textId="29DD0E88" w:rsidR="0024326C" w:rsidRDefault="005C0B5D" w:rsidP="0024326C">
      <w:pPr>
        <w:pStyle w:val="BodyTextIndent"/>
        <w:spacing w:after="120"/>
      </w:pPr>
      <w:r>
        <w:t>Interest in gameplay to improve human processes is not new, by any means, but it did surge as an idea again in the mid-2000s, when a convergence of new mobile and web technologies intersected with evolving digital business models (</w:t>
      </w:r>
      <w:proofErr w:type="spellStart"/>
      <w:r w:rsidR="00C911C4">
        <w:t>Bogost</w:t>
      </w:r>
      <w:proofErr w:type="spellEnd"/>
      <w:r w:rsidR="00C911C4">
        <w:t xml:space="preserve">, 2016; </w:t>
      </w:r>
      <w:proofErr w:type="spellStart"/>
      <w:r w:rsidR="00092634">
        <w:t>McGonigal</w:t>
      </w:r>
      <w:proofErr w:type="spellEnd"/>
      <w:r w:rsidR="00092634">
        <w:t xml:space="preserve">, 2011; </w:t>
      </w:r>
      <w:proofErr w:type="spellStart"/>
      <w:r>
        <w:t>Nacke</w:t>
      </w:r>
      <w:proofErr w:type="spellEnd"/>
      <w:r>
        <w:t xml:space="preserve"> &amp; </w:t>
      </w:r>
      <w:proofErr w:type="spellStart"/>
      <w:r>
        <w:t>Deterding</w:t>
      </w:r>
      <w:proofErr w:type="spellEnd"/>
      <w:r>
        <w:t>, 2016</w:t>
      </w:r>
      <w:r w:rsidR="00036929">
        <w:t xml:space="preserve">; </w:t>
      </w:r>
      <w:proofErr w:type="spellStart"/>
      <w:r w:rsidR="00036929">
        <w:t>Walz</w:t>
      </w:r>
      <w:proofErr w:type="spellEnd"/>
      <w:r w:rsidR="00036929" w:rsidRPr="00036929">
        <w:t xml:space="preserve"> &amp; </w:t>
      </w:r>
      <w:proofErr w:type="spellStart"/>
      <w:r w:rsidR="00036929" w:rsidRPr="00036929">
        <w:t>Deterding</w:t>
      </w:r>
      <w:proofErr w:type="spellEnd"/>
      <w:r w:rsidR="00036929" w:rsidRPr="00036929">
        <w:t>, 2015</w:t>
      </w:r>
      <w:r>
        <w:t>). Gamification, as the term du jour, has been thought to drive behavior in situations outside of games, including in serious contexts, by, among other outcomes, spurring innovation, increasing engagement, and raising efficiency (Rauch, 2013). Technical communication is a natural home for gamification studies, because of crossover interests in interface design, information mana</w:t>
      </w:r>
      <w:r w:rsidR="008C22DF">
        <w:t>gement, and systems development;</w:t>
      </w:r>
      <w:r w:rsidR="008A5AD0">
        <w:t xml:space="preserve"> game design also revolves around concepts common in the </w:t>
      </w:r>
      <w:r w:rsidR="008C22DF">
        <w:t xml:space="preserve">academic </w:t>
      </w:r>
      <w:r w:rsidR="008A5AD0">
        <w:t>field’s practices, such as iterative design, rapid prototyping, and user testing (</w:t>
      </w:r>
      <w:proofErr w:type="spellStart"/>
      <w:r w:rsidR="008A5AD0" w:rsidRPr="00A10072">
        <w:t>deWinter</w:t>
      </w:r>
      <w:proofErr w:type="spellEnd"/>
      <w:r w:rsidR="008A5AD0" w:rsidRPr="00A10072">
        <w:t xml:space="preserve"> &amp; Vie, 2016)</w:t>
      </w:r>
      <w:r w:rsidR="008A5AD0">
        <w:t>.</w:t>
      </w:r>
      <w:r w:rsidR="006D4CB4">
        <w:t xml:space="preserve"> In this </w:t>
      </w:r>
      <w:r w:rsidR="008C22DF">
        <w:t xml:space="preserve">scholarly </w:t>
      </w:r>
      <w:r w:rsidR="006D4CB4">
        <w:t xml:space="preserve">arena, </w:t>
      </w:r>
      <w:r w:rsidR="008C22DF">
        <w:t>researchers</w:t>
      </w:r>
      <w:r w:rsidR="006D4CB4">
        <w:t xml:space="preserve"> now are moving past the fundamental questions of </w:t>
      </w:r>
      <w:r w:rsidR="006D4CB4">
        <w:lastRenderedPageBreak/>
        <w:t xml:space="preserve">definitions and motivations </w:t>
      </w:r>
      <w:r w:rsidR="008C22DF">
        <w:t>in</w:t>
      </w:r>
      <w:r w:rsidR="006D4CB4">
        <w:t>to inquiries about how such research should be done, when, and when not, including within that scope the challenges, heuristics, tools and methods of designing and implementing gamification techniques (</w:t>
      </w:r>
      <w:proofErr w:type="spellStart"/>
      <w:r w:rsidR="006D4CB4" w:rsidRPr="006D4CB4">
        <w:t>Deterding</w:t>
      </w:r>
      <w:proofErr w:type="spellEnd"/>
      <w:r w:rsidR="006D4CB4" w:rsidRPr="006D4CB4">
        <w:t xml:space="preserve">, </w:t>
      </w:r>
      <w:proofErr w:type="spellStart"/>
      <w:r w:rsidR="006D4CB4" w:rsidRPr="006D4CB4">
        <w:t>Björk</w:t>
      </w:r>
      <w:proofErr w:type="spellEnd"/>
      <w:r w:rsidR="006D4CB4" w:rsidRPr="006D4CB4">
        <w:t xml:space="preserve">, </w:t>
      </w:r>
      <w:proofErr w:type="spellStart"/>
      <w:r w:rsidR="006D4CB4" w:rsidRPr="006D4CB4">
        <w:t>Nacke</w:t>
      </w:r>
      <w:proofErr w:type="spellEnd"/>
      <w:r w:rsidR="006D4CB4" w:rsidRPr="006D4CB4">
        <w:t xml:space="preserve">, Dixon, &amp; </w:t>
      </w:r>
      <w:proofErr w:type="spellStart"/>
      <w:r w:rsidR="006D4CB4" w:rsidRPr="006D4CB4">
        <w:t>Lawley</w:t>
      </w:r>
      <w:proofErr w:type="spellEnd"/>
      <w:r w:rsidR="006D4CB4" w:rsidRPr="006D4CB4">
        <w:t>, 2013</w:t>
      </w:r>
      <w:r w:rsidR="006D4CB4">
        <w:t xml:space="preserve">; </w:t>
      </w:r>
      <w:proofErr w:type="spellStart"/>
      <w:r w:rsidR="006D4CB4">
        <w:t>Nacke</w:t>
      </w:r>
      <w:proofErr w:type="spellEnd"/>
      <w:r w:rsidR="006D4CB4">
        <w:t xml:space="preserve"> &amp; </w:t>
      </w:r>
      <w:proofErr w:type="spellStart"/>
      <w:r w:rsidR="006D4CB4">
        <w:t>Deterding</w:t>
      </w:r>
      <w:proofErr w:type="spellEnd"/>
      <w:r w:rsidR="006D4CB4">
        <w:t>, 2016).</w:t>
      </w:r>
      <w:r w:rsidR="008C22DF">
        <w:t xml:space="preserve"> This effort is part of that inquiry.</w:t>
      </w:r>
    </w:p>
    <w:p w14:paraId="6650C5A5" w14:textId="198D3493" w:rsidR="0024326C" w:rsidRDefault="0024326C" w:rsidP="0024326C">
      <w:pPr>
        <w:pStyle w:val="Heading1"/>
        <w:spacing w:before="120"/>
      </w:pPr>
      <w:r>
        <w:t>A “GAMIFIED” METHOD</w:t>
      </w:r>
    </w:p>
    <w:p w14:paraId="05FCCF44" w14:textId="6B9EEB79" w:rsidR="00396DEF" w:rsidRDefault="0024326C" w:rsidP="00396DEF">
      <w:pPr>
        <w:pStyle w:val="BodyTextIndent"/>
        <w:spacing w:after="120"/>
      </w:pPr>
      <w:r>
        <w:t xml:space="preserve">     </w:t>
      </w:r>
      <w:r w:rsidR="008C22DF">
        <w:t xml:space="preserve">Similar to a sports tournament, National Park Service sites were paired in this process and told they would be competing to see who could write the better audio description of a provided media artifact. Each round offered a new artifact to describe, with an increasing level of difficulty, starting with a photographic portrait of Thomas Edison and followed by a landscape photo in Denali National Park and Preserve, an Everglades National Park collage, and a Yellowstone National Park map, all </w:t>
      </w:r>
      <w:r w:rsidR="00396DEF">
        <w:t xml:space="preserve">retrieved </w:t>
      </w:r>
      <w:r w:rsidR="008C22DF">
        <w:t xml:space="preserve">as </w:t>
      </w:r>
      <w:r w:rsidR="00396DEF">
        <w:t xml:space="preserve">some of the most </w:t>
      </w:r>
      <w:r w:rsidR="008C22DF">
        <w:t>challenging examples from our Round 2 training.</w:t>
      </w:r>
      <w:r w:rsidR="00396DEF">
        <w:t xml:space="preserve"> </w:t>
      </w:r>
      <w:r w:rsidR="003245AB">
        <w:t>After getting the necessary permissions, we used the forum on the web tool (</w:t>
      </w:r>
      <w:r w:rsidR="003245AB" w:rsidRPr="003245AB">
        <w:t>www.unidescription.org/forum</w:t>
      </w:r>
      <w:r w:rsidR="003245AB">
        <w:t xml:space="preserve">) as a way to catalog the various responses and to open up the process and data to the general public. </w:t>
      </w:r>
    </w:p>
    <w:p w14:paraId="0424B696" w14:textId="611F9843" w:rsidR="00396DEF" w:rsidRDefault="00396DEF" w:rsidP="00396DEF">
      <w:pPr>
        <w:pStyle w:val="BodyTextIndent"/>
        <w:spacing w:after="120"/>
      </w:pPr>
      <w:r>
        <w:rPr>
          <w:noProof/>
        </w:rPr>
        <w:drawing>
          <wp:inline distT="0" distB="0" distL="0" distR="0" wp14:anchorId="007383EE" wp14:editId="574E0AD8">
            <wp:extent cx="1236998" cy="1412240"/>
            <wp:effectExtent l="0" t="0" r="7620" b="10160"/>
            <wp:docPr id="9" name="Picture 9" descr="Macintosh HD:Users:brettoppegaard:Desktop:Ed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ettoppegaard:Desktop:Edis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7009" cy="1412253"/>
                    </a:xfrm>
                    <a:prstGeom prst="rect">
                      <a:avLst/>
                    </a:prstGeom>
                    <a:noFill/>
                    <a:ln>
                      <a:noFill/>
                    </a:ln>
                  </pic:spPr>
                </pic:pic>
              </a:graphicData>
            </a:graphic>
          </wp:inline>
        </w:drawing>
      </w:r>
    </w:p>
    <w:p w14:paraId="5345F860" w14:textId="51CBBFBC" w:rsidR="00396DEF" w:rsidRDefault="00396DEF" w:rsidP="00396DEF">
      <w:pPr>
        <w:pStyle w:val="BodyTextIndent"/>
        <w:spacing w:after="120"/>
      </w:pPr>
      <w:r>
        <w:rPr>
          <w:b/>
          <w:noProof/>
        </w:rPr>
        <mc:AlternateContent>
          <mc:Choice Requires="wps">
            <w:drawing>
              <wp:anchor distT="0" distB="0" distL="114300" distR="114300" simplePos="0" relativeHeight="251662336" behindDoc="0" locked="0" layoutInCell="1" allowOverlap="1" wp14:anchorId="110EF90F" wp14:editId="7768C8F4">
                <wp:simplePos x="0" y="0"/>
                <wp:positionH relativeFrom="column">
                  <wp:posOffset>-62865</wp:posOffset>
                </wp:positionH>
                <wp:positionV relativeFrom="paragraph">
                  <wp:posOffset>73660</wp:posOffset>
                </wp:positionV>
                <wp:extent cx="3034030" cy="556895"/>
                <wp:effectExtent l="0" t="0" r="0" b="1905"/>
                <wp:wrapSquare wrapText="bothSides"/>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55689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147668" w14:textId="2B02F915" w:rsidR="00DC01AE" w:rsidRDefault="00DC01AE" w:rsidP="00396DEF">
                            <w:pPr>
                              <w:pStyle w:val="Caption"/>
                              <w:jc w:val="both"/>
                            </w:pPr>
                            <w:r>
                              <w:t xml:space="preserve">Figure 1. </w:t>
                            </w:r>
                            <w:proofErr w:type="gramStart"/>
                            <w:r>
                              <w:t>Thomas Edison portrait.</w:t>
                            </w:r>
                            <w:proofErr w:type="gramEnd"/>
                          </w:p>
                          <w:p w14:paraId="7B0F2502" w14:textId="2C1A76CB" w:rsidR="00DC01AE" w:rsidRPr="00256E66" w:rsidRDefault="00DC01AE" w:rsidP="00396DEF">
                            <w:proofErr w:type="gramStart"/>
                            <w:r>
                              <w:t>Courtesy of The National Park Service.</w:t>
                            </w:r>
                            <w:proofErr w:type="gramEnd"/>
                          </w:p>
                          <w:p w14:paraId="0F0BA488" w14:textId="77777777" w:rsidR="00DC01AE" w:rsidRDefault="00DC01AE" w:rsidP="00396DEF">
                            <w:pPr>
                              <w:pStyle w:val="Caption"/>
                            </w:pPr>
                          </w:p>
                          <w:p w14:paraId="4CB3B0F9" w14:textId="77777777" w:rsidR="00DC01AE" w:rsidRDefault="00DC01AE" w:rsidP="00396DEF">
                            <w:pPr>
                              <w:pStyle w:val="Caption"/>
                            </w:pPr>
                            <w:r>
                              <w:t>.</w:t>
                            </w:r>
                          </w:p>
                          <w:p w14:paraId="249929CF" w14:textId="77777777" w:rsidR="00DC01AE" w:rsidRDefault="00DC01AE" w:rsidP="00396DEF">
                            <w:pPr>
                              <w:rPr>
                                <w:lang w:val="en-AU"/>
                              </w:rPr>
                            </w:pPr>
                          </w:p>
                          <w:p w14:paraId="22E5AC83" w14:textId="77777777" w:rsidR="00DC01AE" w:rsidRDefault="00DC01AE" w:rsidP="00396DEF">
                            <w:pPr>
                              <w:rPr>
                                <w:lang w:val="en-AU"/>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4" o:spid="_x0000_s1027" type="#_x0000_t202" style="position:absolute;left:0;text-align:left;margin-left:-4.9pt;margin-top:5.8pt;width:238.9pt;height:4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" stroked="f">
                <v:shadow opacity="49150f"/>
                <v:textbox>
                  <w:txbxContent>
                    <w:p w14:paraId="1B147668" w14:textId="2B02F915" w:rsidR="00DC01AE" w:rsidRDefault="00DC01AE" w:rsidP="00396DEF">
                      <w:pPr>
                        <w:pStyle w:val="Caption"/>
                        <w:jc w:val="both"/>
                      </w:pPr>
                      <w:r>
                        <w:t xml:space="preserve">Figure 1. </w:t>
                      </w:r>
                      <w:proofErr w:type="gramStart"/>
                      <w:r>
                        <w:t>Thomas Edison portrait.</w:t>
                      </w:r>
                      <w:proofErr w:type="gramEnd"/>
                    </w:p>
                    <w:p w14:paraId="7B0F2502" w14:textId="2C1A76CB" w:rsidR="00DC01AE" w:rsidRPr="00256E66" w:rsidRDefault="00DC01AE" w:rsidP="00396DEF">
                      <w:proofErr w:type="gramStart"/>
                      <w:r>
                        <w:t>Courtesy of The National Park Service.</w:t>
                      </w:r>
                      <w:proofErr w:type="gramEnd"/>
                    </w:p>
                    <w:p w14:paraId="0F0BA488" w14:textId="77777777" w:rsidR="00DC01AE" w:rsidRDefault="00DC01AE" w:rsidP="00396DEF">
                      <w:pPr>
                        <w:pStyle w:val="Caption"/>
                      </w:pPr>
                    </w:p>
                    <w:p w14:paraId="4CB3B0F9" w14:textId="77777777" w:rsidR="00DC01AE" w:rsidRDefault="00DC01AE" w:rsidP="00396DEF">
                      <w:pPr>
                        <w:pStyle w:val="Caption"/>
                      </w:pPr>
                      <w:r>
                        <w:t>.</w:t>
                      </w:r>
                    </w:p>
                    <w:p w14:paraId="249929CF" w14:textId="77777777" w:rsidR="00DC01AE" w:rsidRDefault="00DC01AE" w:rsidP="00396DEF">
                      <w:pPr>
                        <w:rPr>
                          <w:lang w:val="en-AU"/>
                        </w:rPr>
                      </w:pPr>
                    </w:p>
                    <w:p w14:paraId="22E5AC83" w14:textId="77777777" w:rsidR="00DC01AE" w:rsidRDefault="00DC01AE" w:rsidP="00396DEF">
                      <w:pPr>
                        <w:rPr>
                          <w:lang w:val="en-AU"/>
                        </w:rPr>
                      </w:pPr>
                    </w:p>
                  </w:txbxContent>
                </v:textbox>
                <w10:wrap type="square"/>
              </v:shape>
            </w:pict>
          </mc:Fallback>
        </mc:AlternateContent>
      </w:r>
      <w:r>
        <w:t>In other words, the Edison portrait was one of our most debated and difficult artifacts to audio describe in Round 2 of our training (when we were working with Thomas Edison National Historical Park), so we brought it back to Round 3, gave it to this new group of park staff (none affiliated with that park) and had them give it a try, to see the responses and how they might differ. The 33 responses</w:t>
      </w:r>
      <w:r w:rsidR="005302E5">
        <w:t xml:space="preserve"> varied widely</w:t>
      </w:r>
      <w:r>
        <w:t xml:space="preserve"> (some particip</w:t>
      </w:r>
      <w:r w:rsidR="005302E5">
        <w:t xml:space="preserve">ants responded multiple times) and </w:t>
      </w:r>
      <w:r>
        <w:t xml:space="preserve">ranged from a </w:t>
      </w:r>
      <w:r w:rsidR="005302E5">
        <w:t xml:space="preserve">relatively </w:t>
      </w:r>
      <w:r>
        <w:t xml:space="preserve">straightforward description, such as: </w:t>
      </w:r>
    </w:p>
    <w:p w14:paraId="0AA68115" w14:textId="3E566473" w:rsidR="00396DEF" w:rsidRPr="005302E5" w:rsidRDefault="00396DEF" w:rsidP="00396DEF">
      <w:pPr>
        <w:pStyle w:val="BodyTextIndent"/>
        <w:spacing w:after="120"/>
        <w:rPr>
          <w:i/>
        </w:rPr>
      </w:pPr>
      <w:r w:rsidRPr="005302E5">
        <w:rPr>
          <w:i/>
        </w:rPr>
        <w:t>A black and white round photo shows a young Thomas Edison at age 14. He gazes directly and confidently straight at the camera, while wearing a newsboy cap, scarf, and jacket, and almost smiling.</w:t>
      </w:r>
    </w:p>
    <w:p w14:paraId="16A569B5" w14:textId="34D41E80" w:rsidR="00396DEF" w:rsidRDefault="005302E5" w:rsidP="00396DEF">
      <w:pPr>
        <w:pStyle w:val="BodyTextIndent"/>
        <w:spacing w:after="120"/>
      </w:pPr>
      <w:r>
        <w:t>To more interpretive impressions, such as:</w:t>
      </w:r>
    </w:p>
    <w:p w14:paraId="3CF9D119" w14:textId="77777777" w:rsidR="005302E5" w:rsidRPr="005302E5" w:rsidRDefault="005302E5" w:rsidP="005302E5">
      <w:pPr>
        <w:pStyle w:val="BodyTextIndent"/>
        <w:spacing w:after="120"/>
        <w:rPr>
          <w:i/>
        </w:rPr>
      </w:pPr>
      <w:r w:rsidRPr="005302E5">
        <w:rPr>
          <w:i/>
        </w:rPr>
        <w:t xml:space="preserve">Aged fourteen, Thomas Edison, dressed in a knitted scarf, workman's cap, and jacket, sits with a </w:t>
      </w:r>
      <w:proofErr w:type="gramStart"/>
      <w:r w:rsidRPr="005302E5">
        <w:rPr>
          <w:i/>
        </w:rPr>
        <w:t>confident</w:t>
      </w:r>
      <w:proofErr w:type="gramEnd"/>
      <w:r w:rsidRPr="005302E5">
        <w:rPr>
          <w:i/>
        </w:rPr>
        <w:t xml:space="preserve"> half-smile on his face. His eyes reveal his precocious intelligence, maturity, and, at the same time, the burden of responsibilities he bears. He is working already. He studies at home when he can, but does not attend school. He suffers from hearing problems, but his force of personality does not let that deter him. The young man will be an inventor and businessman, and will need the toughness and resourcefulness he honed in these formative years.</w:t>
      </w:r>
    </w:p>
    <w:p w14:paraId="2420B632" w14:textId="0F6CF4F8" w:rsidR="005302E5" w:rsidRDefault="005302E5" w:rsidP="000D51CD">
      <w:pPr>
        <w:pStyle w:val="BodyTextIndent"/>
        <w:spacing w:after="120"/>
      </w:pPr>
      <w:r>
        <w:t xml:space="preserve">At the end of each round, a panel of three judges (the Media Accessibility Coordinator for Harpers Ferry Center, Michele Hartley, and two independent consultants, specializing in audio description, </w:t>
      </w:r>
      <w:proofErr w:type="spellStart"/>
      <w:r>
        <w:t>Sina</w:t>
      </w:r>
      <w:proofErr w:type="spellEnd"/>
      <w:r>
        <w:t xml:space="preserve"> </w:t>
      </w:r>
      <w:proofErr w:type="spellStart"/>
      <w:r>
        <w:t>Bahram</w:t>
      </w:r>
      <w:proofErr w:type="spellEnd"/>
      <w:r>
        <w:t xml:space="preserve"> and Annie </w:t>
      </w:r>
      <w:proofErr w:type="spellStart"/>
      <w:r>
        <w:t>Leist</w:t>
      </w:r>
      <w:proofErr w:type="spellEnd"/>
      <w:r>
        <w:t xml:space="preserve">) picked a winner from each pairing. </w:t>
      </w:r>
      <w:r w:rsidR="000D51CD">
        <w:t>As half of the field was eliminated from the main competition in each round, those who were not part of the main tourney anymore were placed into a consolation bracket, which we called “People’s Choice.” Those parks competed against everyone else eliminated each round, with the opportunity to rise back into a form of contention. In the final round, this tournament therefore had two victors crowned, one from the main tourney and one from the People’s Choice tourney. The completed bracket shows the progression, in which Valley Forge won the main tourney and the author of the NPS System Map emerged as the People’s Choice.</w:t>
      </w:r>
    </w:p>
    <w:p w14:paraId="10876265" w14:textId="142129D2" w:rsidR="005302E5" w:rsidRDefault="000D51CD" w:rsidP="00396DEF">
      <w:pPr>
        <w:pStyle w:val="BodyTextIndent"/>
        <w:spacing w:after="120"/>
      </w:pPr>
      <w:r>
        <w:rPr>
          <w:b/>
          <w:noProof/>
        </w:rPr>
        <mc:AlternateContent>
          <mc:Choice Requires="wps">
            <w:drawing>
              <wp:anchor distT="0" distB="0" distL="114300" distR="114300" simplePos="0" relativeHeight="251664384" behindDoc="0" locked="0" layoutInCell="1" allowOverlap="1" wp14:anchorId="02044866" wp14:editId="43B785C8">
                <wp:simplePos x="0" y="0"/>
                <wp:positionH relativeFrom="column">
                  <wp:posOffset>295910</wp:posOffset>
                </wp:positionH>
                <wp:positionV relativeFrom="paragraph">
                  <wp:posOffset>2495550</wp:posOffset>
                </wp:positionV>
                <wp:extent cx="3034030" cy="213995"/>
                <wp:effectExtent l="0" t="0" r="0" b="0"/>
                <wp:wrapSquare wrapText="bothSides"/>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21399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EFCB37" w14:textId="1552B110" w:rsidR="00DC01AE" w:rsidRDefault="00DC01AE" w:rsidP="000D51CD">
                            <w:pPr>
                              <w:pStyle w:val="Caption"/>
                              <w:jc w:val="both"/>
                              <w:rPr>
                                <w:lang w:val="en-AU"/>
                              </w:rPr>
                            </w:pPr>
                            <w:r>
                              <w:t>Figure 2. Completed Descriptathon bracket.</w:t>
                            </w:r>
                            <w:r>
                              <w:rPr>
                                <w:lang w:val="en-AU"/>
                              </w:rPr>
                              <w:t xml:space="preserve"> </w:t>
                            </w:r>
                          </w:p>
                          <w:p w14:paraId="7F540798" w14:textId="77777777" w:rsidR="00DC01AE" w:rsidRDefault="00DC01AE" w:rsidP="000D51CD">
                            <w:pPr>
                              <w:rPr>
                                <w:lang w:val="en-AU"/>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_x0000_s1028" type="#_x0000_t202" style="position:absolute;left:0;text-align:left;margin-left:23.3pt;margin-top:196.5pt;width:238.9pt;height:16.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" stroked="f">
                <v:shadow opacity="49150f"/>
                <v:textbox>
                  <w:txbxContent>
                    <w:p w14:paraId="79EFCB37" w14:textId="1552B110" w:rsidR="00DC01AE" w:rsidRDefault="00DC01AE" w:rsidP="000D51CD">
                      <w:pPr>
                        <w:pStyle w:val="Caption"/>
                        <w:jc w:val="both"/>
                        <w:rPr>
                          <w:lang w:val="en-AU"/>
                        </w:rPr>
                      </w:pPr>
                      <w:r>
                        <w:t>Figure 2. Completed Descriptathon bracket.</w:t>
                      </w:r>
                      <w:r>
                        <w:rPr>
                          <w:lang w:val="en-AU"/>
                        </w:rPr>
                        <w:t xml:space="preserve"> </w:t>
                      </w:r>
                    </w:p>
                    <w:p w14:paraId="7F540798" w14:textId="77777777" w:rsidR="00DC01AE" w:rsidRDefault="00DC01AE" w:rsidP="000D51CD">
                      <w:pPr>
                        <w:rPr>
                          <w:lang w:val="en-AU"/>
                        </w:rPr>
                      </w:pPr>
                    </w:p>
                  </w:txbxContent>
                </v:textbox>
                <w10:wrap type="square"/>
              </v:shape>
            </w:pict>
          </mc:Fallback>
        </mc:AlternateContent>
      </w:r>
      <w:r w:rsidRPr="000722ED">
        <w:rPr>
          <w:noProof/>
        </w:rPr>
        <w:drawing>
          <wp:inline distT="0" distB="0" distL="0" distR="0" wp14:anchorId="597B2D58" wp14:editId="6587807A">
            <wp:extent cx="3048000" cy="2343150"/>
            <wp:effectExtent l="0" t="0" r="0" b="0"/>
            <wp:docPr id="4" name="Picture 4" descr="Macintosh HD:Users:brettoppegaard:Desktop:NPS bracket for Descriptathon 2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ettoppegaard:Desktop:NPS bracket for Descriptathon 2_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14:paraId="74DC152E" w14:textId="5470E341" w:rsidR="005C0B5D" w:rsidRDefault="005C0B5D" w:rsidP="000D51CD">
      <w:pPr>
        <w:pStyle w:val="BodyTextIndent"/>
        <w:spacing w:after="120"/>
        <w:ind w:firstLine="0"/>
      </w:pPr>
    </w:p>
    <w:p w14:paraId="3EDE8763" w14:textId="49DCA70F" w:rsidR="00904E8F" w:rsidRDefault="00066736" w:rsidP="00904E8F">
      <w:pPr>
        <w:pStyle w:val="Heading1"/>
        <w:spacing w:before="120"/>
      </w:pPr>
      <w:r>
        <w:t>FINDINGS</w:t>
      </w:r>
    </w:p>
    <w:p w14:paraId="5D9F0ABB" w14:textId="46E55F5F" w:rsidR="00DC01AE" w:rsidRDefault="005A0A8D" w:rsidP="0024326C">
      <w:pPr>
        <w:pStyle w:val="BodyTextIndent"/>
        <w:spacing w:after="120"/>
      </w:pPr>
      <w:r>
        <w:t xml:space="preserve">The </w:t>
      </w:r>
      <w:r w:rsidR="00321B1E">
        <w:t xml:space="preserve">“gamification” approach </w:t>
      </w:r>
      <w:r w:rsidR="00DC01AE">
        <w:t xml:space="preserve">described </w:t>
      </w:r>
      <w:r w:rsidR="00321B1E">
        <w:t xml:space="preserve">here </w:t>
      </w:r>
      <w:r w:rsidR="00DC01AE">
        <w:t xml:space="preserve">did </w:t>
      </w:r>
      <w:r w:rsidR="00321B1E">
        <w:t>produce</w:t>
      </w:r>
      <w:r w:rsidR="00DC01AE">
        <w:t xml:space="preserve"> an enormous amount of data, with the description responses of the contest, including 31 forum threads and 293 responses, </w:t>
      </w:r>
      <w:bookmarkStart w:id="0" w:name="_GoBack"/>
      <w:bookmarkEnd w:id="0"/>
    </w:p>
    <w:p w14:paraId="06F90F1E" w14:textId="396B9CD3" w:rsidR="00DC01AE" w:rsidRDefault="00DC01AE" w:rsidP="0024326C">
      <w:pPr>
        <w:pStyle w:val="BodyTextIndent"/>
        <w:spacing w:after="120"/>
      </w:pPr>
      <w:proofErr w:type="gramStart"/>
      <w:r>
        <w:t>plus</w:t>
      </w:r>
      <w:proofErr w:type="gramEnd"/>
      <w:r>
        <w:t xml:space="preserve"> 24 out of 28 completed (or mostly completed) their first drafts of the description of their park brochure.</w:t>
      </w:r>
    </w:p>
    <w:p w14:paraId="08A282D6" w14:textId="77777777" w:rsidR="00DC01AE" w:rsidRDefault="00DC01AE" w:rsidP="0024326C">
      <w:pPr>
        <w:pStyle w:val="BodyTextIndent"/>
        <w:spacing w:after="120"/>
      </w:pPr>
    </w:p>
    <w:p w14:paraId="447672DF" w14:textId="1BC5A6F3" w:rsidR="0024326C" w:rsidRDefault="00321B1E" w:rsidP="0024326C">
      <w:pPr>
        <w:pStyle w:val="BodyTextIndent"/>
        <w:spacing w:after="120"/>
      </w:pPr>
      <w:proofErr w:type="gramStart"/>
      <w:r>
        <w:t>d</w:t>
      </w:r>
      <w:proofErr w:type="gramEnd"/>
      <w:r>
        <w:t xml:space="preserve"> </w:t>
      </w:r>
      <w:r w:rsidR="005A0A8D">
        <w:t xml:space="preserve">larger sample size and the refined coding schema </w:t>
      </w:r>
      <w:r w:rsidR="003744F6">
        <w:t xml:space="preserve">of Round 3 </w:t>
      </w:r>
      <w:r w:rsidR="005A0A8D">
        <w:t xml:space="preserve">had </w:t>
      </w:r>
      <w:r w:rsidR="003744F6">
        <w:t>measureable</w:t>
      </w:r>
      <w:r w:rsidR="005A0A8D">
        <w:t xml:space="preserve"> effects on our understandings of the </w:t>
      </w:r>
      <w:proofErr w:type="spellStart"/>
      <w:r w:rsidR="005A0A8D">
        <w:t>Nati</w:t>
      </w:r>
      <w:proofErr w:type="spellEnd"/>
    </w:p>
    <w:p w14:paraId="6F86315A" w14:textId="2A659D02" w:rsidR="00904E8F" w:rsidRDefault="00066736" w:rsidP="00904E8F">
      <w:pPr>
        <w:pStyle w:val="Heading1"/>
        <w:spacing w:before="120"/>
      </w:pPr>
      <w:r>
        <w:t>DISCUSSION</w:t>
      </w:r>
    </w:p>
    <w:p w14:paraId="0B311A00" w14:textId="77777777" w:rsidR="0024326C" w:rsidRDefault="00904E8F" w:rsidP="0024326C">
      <w:pPr>
        <w:pStyle w:val="BodyTextIndent"/>
        <w:spacing w:after="120"/>
        <w:ind w:firstLine="0"/>
      </w:pPr>
      <w:r>
        <w:t xml:space="preserve">     </w:t>
      </w:r>
      <w:r w:rsidR="003B1149">
        <w:t>The Unigrid design system</w:t>
      </w:r>
      <w:r w:rsidR="00E222DC">
        <w:t>, in turn,</w:t>
      </w:r>
      <w:r w:rsidR="003B1149">
        <w:t xml:space="preserve"> provides a robust substructure to National Park Service brochures. If a visitor looks at </w:t>
      </w:r>
    </w:p>
    <w:p w14:paraId="5926AF23" w14:textId="2EEF190C" w:rsidR="0024326C" w:rsidRDefault="0024326C" w:rsidP="0024326C">
      <w:pPr>
        <w:pStyle w:val="BodyTextIndent"/>
        <w:spacing w:after="120"/>
        <w:ind w:firstLine="0"/>
      </w:pPr>
      <w:r>
        <w:t xml:space="preserve">As many scholars have stressed, gameplay has to be a voluntary activity (Huizinga, 1955).  </w:t>
      </w:r>
    </w:p>
    <w:p w14:paraId="2C65E405" w14:textId="311C6C5F" w:rsidR="001F329F" w:rsidRDefault="007A3804" w:rsidP="00E53B1B">
      <w:pPr>
        <w:ind w:firstLine="360"/>
      </w:pPr>
      <w:proofErr w:type="gramStart"/>
      <w:r>
        <w:t>levels</w:t>
      </w:r>
      <w:proofErr w:type="gramEnd"/>
      <w:r>
        <w:t xml:space="preserve">.  </w:t>
      </w:r>
    </w:p>
    <w:p w14:paraId="0731EC1D" w14:textId="77777777" w:rsidR="008B197E" w:rsidRDefault="008B197E">
      <w:pPr>
        <w:pStyle w:val="Heading1"/>
        <w:spacing w:before="120"/>
      </w:pPr>
      <w:r>
        <w:t>ACKNOWLEDGMENTS</w:t>
      </w:r>
    </w:p>
    <w:p w14:paraId="213BCE88" w14:textId="796795F5" w:rsidR="008B197E" w:rsidRDefault="008B197E">
      <w:pPr>
        <w:pStyle w:val="BodyTextIndent"/>
        <w:spacing w:after="120"/>
        <w:ind w:firstLine="0"/>
      </w:pPr>
      <w:r>
        <w:t xml:space="preserve">Our thanks to </w:t>
      </w:r>
      <w:r w:rsidR="00920E2E">
        <w:t>the National Park Service, in particular Michele Hartley,</w:t>
      </w:r>
      <w:r w:rsidR="00D66F7B">
        <w:t xml:space="preserve"> </w:t>
      </w:r>
      <w:r w:rsidR="0024326C">
        <w:t>who served as our liaison with the</w:t>
      </w:r>
      <w:r w:rsidR="005C6095">
        <w:t>se</w:t>
      </w:r>
      <w:r w:rsidR="0024326C">
        <w:t xml:space="preserve"> </w:t>
      </w:r>
      <w:r w:rsidR="005C6095">
        <w:t>site</w:t>
      </w:r>
      <w:r w:rsidR="0024326C">
        <w:t>s</w:t>
      </w:r>
      <w:r w:rsidR="005C6095">
        <w:t xml:space="preserve"> across the country</w:t>
      </w:r>
      <w:r w:rsidR="0024326C">
        <w:t xml:space="preserve">, </w:t>
      </w:r>
      <w:r w:rsidR="005302E5">
        <w:t xml:space="preserve">as well as to accessibility consultants </w:t>
      </w:r>
      <w:proofErr w:type="spellStart"/>
      <w:r w:rsidR="005302E5">
        <w:t>Sina</w:t>
      </w:r>
      <w:proofErr w:type="spellEnd"/>
      <w:r w:rsidR="005302E5">
        <w:t xml:space="preserve"> </w:t>
      </w:r>
      <w:proofErr w:type="spellStart"/>
      <w:r w:rsidR="005302E5">
        <w:t>Bahram</w:t>
      </w:r>
      <w:proofErr w:type="spellEnd"/>
      <w:r w:rsidR="005302E5">
        <w:t xml:space="preserve"> and Annie </w:t>
      </w:r>
      <w:proofErr w:type="spellStart"/>
      <w:r w:rsidR="005302E5">
        <w:t>Leist</w:t>
      </w:r>
      <w:proofErr w:type="spellEnd"/>
      <w:r w:rsidR="005302E5">
        <w:t xml:space="preserve">, </w:t>
      </w:r>
      <w:r w:rsidR="0024326C">
        <w:t xml:space="preserve">and to </w:t>
      </w:r>
      <w:r w:rsidR="005C6095">
        <w:t xml:space="preserve">UH </w:t>
      </w:r>
      <w:r w:rsidR="0024326C">
        <w:t>research assistants</w:t>
      </w:r>
      <w:r w:rsidR="005C6095">
        <w:t xml:space="preserve"> Philipp Jordan and </w:t>
      </w:r>
      <w:proofErr w:type="spellStart"/>
      <w:r w:rsidR="005C6095">
        <w:t>Tuyet</w:t>
      </w:r>
      <w:proofErr w:type="spellEnd"/>
      <w:r w:rsidR="005C6095">
        <w:t xml:space="preserve"> Hayes, who performed the experiment’s groundwork.</w:t>
      </w:r>
    </w:p>
    <w:p w14:paraId="0E6F0184" w14:textId="1722A3C9" w:rsidR="008B197E" w:rsidRDefault="008B197E">
      <w:pPr>
        <w:pStyle w:val="Heading1"/>
        <w:spacing w:before="120"/>
      </w:pPr>
      <w:r>
        <w:t>REFERENCES</w:t>
      </w:r>
      <w:r w:rsidR="00B90837">
        <w:t xml:space="preserve"> </w:t>
      </w:r>
    </w:p>
    <w:p w14:paraId="3B33C5BE" w14:textId="45561F2F" w:rsidR="00C911C4" w:rsidRDefault="00C911C4" w:rsidP="005C0B5D">
      <w:pPr>
        <w:pStyle w:val="References"/>
      </w:pPr>
      <w:proofErr w:type="spellStart"/>
      <w:r w:rsidRPr="00C911C4">
        <w:t>Bogost</w:t>
      </w:r>
      <w:proofErr w:type="spellEnd"/>
      <w:r w:rsidRPr="00C911C4">
        <w:t xml:space="preserve">, I. (2016). </w:t>
      </w:r>
      <w:r w:rsidRPr="00C911C4">
        <w:rPr>
          <w:i/>
          <w:iCs/>
        </w:rPr>
        <w:t>Play Anything: The Pleasure of Limits, the Uses of Boredom, and the Secret of Games</w:t>
      </w:r>
      <w:r w:rsidRPr="00C911C4">
        <w:t>. New York, NY: Basic Books.</w:t>
      </w:r>
    </w:p>
    <w:p w14:paraId="25A0BC19" w14:textId="1B48C0C4" w:rsidR="0024326C" w:rsidRDefault="005C6095" w:rsidP="005C0B5D">
      <w:pPr>
        <w:pStyle w:val="References"/>
      </w:pPr>
      <w:proofErr w:type="spellStart"/>
      <w:r w:rsidRPr="005C6095">
        <w:t>Deterding</w:t>
      </w:r>
      <w:proofErr w:type="spellEnd"/>
      <w:r w:rsidRPr="005C6095">
        <w:t xml:space="preserve">, S. (2014). </w:t>
      </w:r>
      <w:proofErr w:type="spellStart"/>
      <w:r w:rsidRPr="005C6095">
        <w:t>Eudaimonic</w:t>
      </w:r>
      <w:proofErr w:type="spellEnd"/>
      <w:r w:rsidRPr="005C6095">
        <w:t xml:space="preserve"> design, or: Six invitations to rethink gamification. In M. Fuchs, S. </w:t>
      </w:r>
      <w:proofErr w:type="spellStart"/>
      <w:r w:rsidRPr="005C6095">
        <w:t>Fizek</w:t>
      </w:r>
      <w:proofErr w:type="spellEnd"/>
      <w:r w:rsidRPr="005C6095">
        <w:t xml:space="preserve">, P. </w:t>
      </w:r>
      <w:proofErr w:type="spellStart"/>
      <w:r w:rsidRPr="005C6095">
        <w:t>Ruffino</w:t>
      </w:r>
      <w:proofErr w:type="spellEnd"/>
      <w:r w:rsidRPr="005C6095">
        <w:t xml:space="preserve">, &amp; N. </w:t>
      </w:r>
      <w:proofErr w:type="spellStart"/>
      <w:r w:rsidRPr="005C6095">
        <w:t>Schrape</w:t>
      </w:r>
      <w:proofErr w:type="spellEnd"/>
      <w:r w:rsidRPr="005C6095">
        <w:t xml:space="preserve"> (Eds.), </w:t>
      </w:r>
      <w:r w:rsidRPr="005C6095">
        <w:rPr>
          <w:i/>
          <w:iCs/>
        </w:rPr>
        <w:t>Rethinking Gamification</w:t>
      </w:r>
      <w:r w:rsidRPr="005C6095">
        <w:t xml:space="preserve"> (pp. 305-331). Luneburg, Germany: Meson Press.</w:t>
      </w:r>
    </w:p>
    <w:p w14:paraId="63D2B363" w14:textId="2538C14C" w:rsidR="006D4CB4" w:rsidRDefault="006D4CB4" w:rsidP="005C0B5D">
      <w:pPr>
        <w:pStyle w:val="References"/>
      </w:pPr>
      <w:proofErr w:type="spellStart"/>
      <w:r w:rsidRPr="006D4CB4">
        <w:t>Deterding</w:t>
      </w:r>
      <w:proofErr w:type="spellEnd"/>
      <w:r w:rsidRPr="006D4CB4">
        <w:t xml:space="preserve">, S., </w:t>
      </w:r>
      <w:proofErr w:type="spellStart"/>
      <w:r w:rsidRPr="006D4CB4">
        <w:t>Björk</w:t>
      </w:r>
      <w:proofErr w:type="spellEnd"/>
      <w:r w:rsidRPr="006D4CB4">
        <w:t xml:space="preserve">, S. L., </w:t>
      </w:r>
      <w:proofErr w:type="spellStart"/>
      <w:r w:rsidRPr="006D4CB4">
        <w:t>Nacke</w:t>
      </w:r>
      <w:proofErr w:type="spellEnd"/>
      <w:r w:rsidRPr="006D4CB4">
        <w:t xml:space="preserve">, L. E., Dixon, D., &amp; </w:t>
      </w:r>
      <w:proofErr w:type="spellStart"/>
      <w:r w:rsidRPr="006D4CB4">
        <w:t>Lawley</w:t>
      </w:r>
      <w:proofErr w:type="spellEnd"/>
      <w:r w:rsidRPr="006D4CB4">
        <w:t xml:space="preserve">, E. (2013). </w:t>
      </w:r>
      <w:r w:rsidRPr="006D4CB4">
        <w:rPr>
          <w:i/>
          <w:iCs/>
        </w:rPr>
        <w:t xml:space="preserve">Designing gamification: creating </w:t>
      </w:r>
      <w:proofErr w:type="spellStart"/>
      <w:r w:rsidRPr="006D4CB4">
        <w:rPr>
          <w:i/>
          <w:iCs/>
        </w:rPr>
        <w:t>gameful</w:t>
      </w:r>
      <w:proofErr w:type="spellEnd"/>
      <w:r w:rsidRPr="006D4CB4">
        <w:rPr>
          <w:i/>
          <w:iCs/>
        </w:rPr>
        <w:t xml:space="preserve"> and playful experiences.</w:t>
      </w:r>
      <w:r w:rsidRPr="006D4CB4">
        <w:t xml:space="preserve"> Paper presented at the CHI'13 Extended Abstracts on Human Factors in Computing Systems, New York, NY.</w:t>
      </w:r>
    </w:p>
    <w:p w14:paraId="3656CC35" w14:textId="3AE4F0B0" w:rsidR="00A10072" w:rsidRDefault="00A10072" w:rsidP="005C0B5D">
      <w:pPr>
        <w:pStyle w:val="References"/>
      </w:pPr>
      <w:proofErr w:type="spellStart"/>
      <w:proofErr w:type="gramStart"/>
      <w:r w:rsidRPr="00A10072">
        <w:t>deWinter</w:t>
      </w:r>
      <w:proofErr w:type="spellEnd"/>
      <w:proofErr w:type="gramEnd"/>
      <w:r w:rsidRPr="00A10072">
        <w:t xml:space="preserve">, J., &amp; Vie, S. (2016). Games in Technical Communication. </w:t>
      </w:r>
      <w:r w:rsidRPr="00A10072">
        <w:rPr>
          <w:i/>
          <w:iCs/>
        </w:rPr>
        <w:t>Technical Communication Quarterly, 25</w:t>
      </w:r>
      <w:r w:rsidRPr="00A10072">
        <w:t>(3), 151-154.</w:t>
      </w:r>
    </w:p>
    <w:p w14:paraId="42460395" w14:textId="1304518F" w:rsidR="005C6095" w:rsidRDefault="005C6095" w:rsidP="005C0B5D">
      <w:pPr>
        <w:pStyle w:val="References"/>
      </w:pPr>
      <w:r w:rsidRPr="005C6095">
        <w:t xml:space="preserve">Huizinga, J. (1955). </w:t>
      </w:r>
      <w:r w:rsidRPr="005C6095">
        <w:rPr>
          <w:i/>
          <w:iCs/>
        </w:rPr>
        <w:t xml:space="preserve">Homo </w:t>
      </w:r>
      <w:proofErr w:type="spellStart"/>
      <w:r w:rsidRPr="005C6095">
        <w:rPr>
          <w:i/>
          <w:iCs/>
        </w:rPr>
        <w:t>Ludens</w:t>
      </w:r>
      <w:proofErr w:type="spellEnd"/>
      <w:r w:rsidRPr="005C6095">
        <w:rPr>
          <w:i/>
          <w:iCs/>
        </w:rPr>
        <w:t>: A Study of the Play Element in Culture</w:t>
      </w:r>
      <w:r w:rsidRPr="005C6095">
        <w:t>. Boston: Beacon Press.</w:t>
      </w:r>
    </w:p>
    <w:p w14:paraId="47ADFB5E" w14:textId="1DADD76A" w:rsidR="00092634" w:rsidRDefault="00092634" w:rsidP="005C0B5D">
      <w:pPr>
        <w:pStyle w:val="References"/>
      </w:pPr>
      <w:proofErr w:type="spellStart"/>
      <w:r w:rsidRPr="00092634">
        <w:t>McGonigal</w:t>
      </w:r>
      <w:proofErr w:type="spellEnd"/>
      <w:r w:rsidRPr="00092634">
        <w:t xml:space="preserve">, J. (2011). </w:t>
      </w:r>
      <w:r w:rsidRPr="00092634">
        <w:rPr>
          <w:i/>
          <w:iCs/>
        </w:rPr>
        <w:t>Reality is broken: Why games make us better and how they can change the world</w:t>
      </w:r>
      <w:r w:rsidRPr="00092634">
        <w:t>. London: Penguin Books.</w:t>
      </w:r>
    </w:p>
    <w:p w14:paraId="2F3BF44A" w14:textId="77777777" w:rsidR="005C0B5D" w:rsidRDefault="005C0B5D" w:rsidP="005C0B5D">
      <w:pPr>
        <w:pStyle w:val="References"/>
      </w:pPr>
      <w:proofErr w:type="spellStart"/>
      <w:r>
        <w:t>Nacke</w:t>
      </w:r>
      <w:proofErr w:type="spellEnd"/>
      <w:r>
        <w:t xml:space="preserve">, L. E., &amp; </w:t>
      </w:r>
      <w:proofErr w:type="spellStart"/>
      <w:r>
        <w:t>Deterding</w:t>
      </w:r>
      <w:proofErr w:type="spellEnd"/>
      <w:r>
        <w:t xml:space="preserve">, S. (2017). The maturing of gamification research. </w:t>
      </w:r>
      <w:r w:rsidRPr="005C0B5D">
        <w:rPr>
          <w:i/>
          <w:iCs/>
        </w:rPr>
        <w:t>Computers in Human Behavior, 71</w:t>
      </w:r>
      <w:r>
        <w:t xml:space="preserve">, 450-454. </w:t>
      </w:r>
    </w:p>
    <w:p w14:paraId="614E11A2" w14:textId="57E33892" w:rsidR="005C0B5D" w:rsidRDefault="005C0B5D" w:rsidP="005C0B5D">
      <w:pPr>
        <w:pStyle w:val="References"/>
      </w:pPr>
      <w:r w:rsidRPr="005C0B5D">
        <w:t xml:space="preserve">Rauch, M. (2013). </w:t>
      </w:r>
      <w:r w:rsidRPr="005C0B5D">
        <w:rPr>
          <w:i/>
          <w:iCs/>
        </w:rPr>
        <w:t>Best practices for using enterprise gamification to engage employees and customers.</w:t>
      </w:r>
      <w:r w:rsidRPr="005C0B5D">
        <w:t xml:space="preserve"> Paper presented at the International Conference on Human-Computer Interaction, Las Vegas, NV.</w:t>
      </w:r>
    </w:p>
    <w:p w14:paraId="0791C847" w14:textId="77777777" w:rsidR="00036929" w:rsidRPr="00036929" w:rsidRDefault="00036929" w:rsidP="00036929">
      <w:pPr>
        <w:pStyle w:val="References"/>
      </w:pPr>
      <w:proofErr w:type="spellStart"/>
      <w:r w:rsidRPr="00036929">
        <w:t>Walz</w:t>
      </w:r>
      <w:proofErr w:type="spellEnd"/>
      <w:r w:rsidRPr="00036929">
        <w:t xml:space="preserve">, S. P., &amp; </w:t>
      </w:r>
      <w:proofErr w:type="spellStart"/>
      <w:r w:rsidRPr="00036929">
        <w:t>Deterding</w:t>
      </w:r>
      <w:proofErr w:type="spellEnd"/>
      <w:r w:rsidRPr="00036929">
        <w:t xml:space="preserve">, S. (2015). </w:t>
      </w:r>
      <w:r w:rsidRPr="00036929">
        <w:rPr>
          <w:i/>
          <w:iCs/>
        </w:rPr>
        <w:t xml:space="preserve">The </w:t>
      </w:r>
      <w:proofErr w:type="spellStart"/>
      <w:r w:rsidRPr="00036929">
        <w:rPr>
          <w:i/>
          <w:iCs/>
        </w:rPr>
        <w:t>gameful</w:t>
      </w:r>
      <w:proofErr w:type="spellEnd"/>
      <w:r w:rsidRPr="00036929">
        <w:rPr>
          <w:i/>
          <w:iCs/>
        </w:rPr>
        <w:t xml:space="preserve"> world: Approaches, issues, </w:t>
      </w:r>
      <w:proofErr w:type="gramStart"/>
      <w:r w:rsidRPr="00036929">
        <w:rPr>
          <w:i/>
          <w:iCs/>
        </w:rPr>
        <w:t>applications</w:t>
      </w:r>
      <w:proofErr w:type="gramEnd"/>
      <w:r w:rsidRPr="00036929">
        <w:t>. Cambridge, MA: MIT Press.</w:t>
      </w:r>
    </w:p>
    <w:p w14:paraId="53A5D464" w14:textId="28EA76F5" w:rsidR="008B197E" w:rsidRDefault="0024326C" w:rsidP="0024326C">
      <w:pPr>
        <w:pStyle w:val="References"/>
        <w:sectPr w:rsidR="008B197E" w:rsidSect="003B4153">
          <w:type w:val="continuous"/>
          <w:pgSz w:w="12240" w:h="15840" w:code="1"/>
          <w:pgMar w:top="1080" w:right="1080" w:bottom="1440" w:left="1080" w:header="720" w:footer="720" w:gutter="0"/>
          <w:cols w:num="2" w:space="475"/>
        </w:sectPr>
      </w:pPr>
      <w:proofErr w:type="spellStart"/>
      <w:r>
        <w:t>XXXXXXXX</w:t>
      </w:r>
      <w:r w:rsidR="007B2F60" w:rsidRPr="007B2F60">
        <w:t>Press</w:t>
      </w:r>
      <w:proofErr w:type="spellEnd"/>
      <w:r w:rsidR="007B2F60" w:rsidRPr="007B2F60">
        <w:t>.</w:t>
      </w:r>
    </w:p>
    <w:p w14:paraId="1BD1E569" w14:textId="77777777" w:rsidR="008B197E" w:rsidRDefault="008B197E" w:rsidP="008C0BAA">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AE724" w14:textId="77777777" w:rsidR="00DC01AE" w:rsidRDefault="00DC01AE">
      <w:r>
        <w:separator/>
      </w:r>
    </w:p>
  </w:endnote>
  <w:endnote w:type="continuationSeparator" w:id="0">
    <w:p w14:paraId="366ABE65" w14:textId="77777777" w:rsidR="00DC01AE" w:rsidRDefault="00DC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ian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D6D98" w14:textId="77777777" w:rsidR="00DC01AE" w:rsidRDefault="00DC01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24A18" w14:textId="77777777" w:rsidR="00DC01AE" w:rsidRDefault="00DC01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CEA28" w14:textId="77777777" w:rsidR="00DC01AE" w:rsidRDefault="00DC01AE">
      <w:r>
        <w:separator/>
      </w:r>
    </w:p>
  </w:footnote>
  <w:footnote w:type="continuationSeparator" w:id="0">
    <w:p w14:paraId="1F13DD9E" w14:textId="77777777" w:rsidR="00DC01AE" w:rsidRDefault="00DC01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584C"/>
    <w:multiLevelType w:val="multilevel"/>
    <w:tmpl w:val="392CA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92785"/>
    <w:multiLevelType w:val="hybridMultilevel"/>
    <w:tmpl w:val="CA70AA2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155C1"/>
    <w:multiLevelType w:val="hybridMultilevel"/>
    <w:tmpl w:val="C1E0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B25FB"/>
    <w:multiLevelType w:val="hybridMultilevel"/>
    <w:tmpl w:val="4D426988"/>
    <w:lvl w:ilvl="0" w:tplc="C980CAB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71616F71"/>
    <w:multiLevelType w:val="multilevel"/>
    <w:tmpl w:val="114C0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02"/>
    <w:rsid w:val="00016D54"/>
    <w:rsid w:val="000210C5"/>
    <w:rsid w:val="0002133B"/>
    <w:rsid w:val="00021CB5"/>
    <w:rsid w:val="00033E9A"/>
    <w:rsid w:val="000355F6"/>
    <w:rsid w:val="00036929"/>
    <w:rsid w:val="000500E2"/>
    <w:rsid w:val="000504D9"/>
    <w:rsid w:val="000535C2"/>
    <w:rsid w:val="00054132"/>
    <w:rsid w:val="00054D28"/>
    <w:rsid w:val="00057135"/>
    <w:rsid w:val="00062549"/>
    <w:rsid w:val="0006582D"/>
    <w:rsid w:val="00066736"/>
    <w:rsid w:val="000678FB"/>
    <w:rsid w:val="000709C0"/>
    <w:rsid w:val="000722ED"/>
    <w:rsid w:val="00092634"/>
    <w:rsid w:val="0009634A"/>
    <w:rsid w:val="000B07D8"/>
    <w:rsid w:val="000B40D8"/>
    <w:rsid w:val="000D142D"/>
    <w:rsid w:val="000D37AC"/>
    <w:rsid w:val="000D3F28"/>
    <w:rsid w:val="000D421F"/>
    <w:rsid w:val="000D51CD"/>
    <w:rsid w:val="000D7399"/>
    <w:rsid w:val="000E1E7C"/>
    <w:rsid w:val="000E25EC"/>
    <w:rsid w:val="000E405A"/>
    <w:rsid w:val="000E531B"/>
    <w:rsid w:val="000F1B9A"/>
    <w:rsid w:val="000F6ACF"/>
    <w:rsid w:val="000F6CD9"/>
    <w:rsid w:val="00102CAE"/>
    <w:rsid w:val="001060A5"/>
    <w:rsid w:val="00113C34"/>
    <w:rsid w:val="00115B4B"/>
    <w:rsid w:val="00117EB5"/>
    <w:rsid w:val="00127512"/>
    <w:rsid w:val="00130E24"/>
    <w:rsid w:val="001378B9"/>
    <w:rsid w:val="00146E6C"/>
    <w:rsid w:val="001578EE"/>
    <w:rsid w:val="00171F49"/>
    <w:rsid w:val="00172159"/>
    <w:rsid w:val="001752AD"/>
    <w:rsid w:val="0018006D"/>
    <w:rsid w:val="00180B59"/>
    <w:rsid w:val="0018630C"/>
    <w:rsid w:val="00186F5A"/>
    <w:rsid w:val="001A4490"/>
    <w:rsid w:val="001A6DED"/>
    <w:rsid w:val="001A7FFB"/>
    <w:rsid w:val="001B0002"/>
    <w:rsid w:val="001B4FB6"/>
    <w:rsid w:val="001C0985"/>
    <w:rsid w:val="001C34E4"/>
    <w:rsid w:val="001D397D"/>
    <w:rsid w:val="001D3CFF"/>
    <w:rsid w:val="001E3D0B"/>
    <w:rsid w:val="001E4A9D"/>
    <w:rsid w:val="001F06A7"/>
    <w:rsid w:val="001F1338"/>
    <w:rsid w:val="001F329F"/>
    <w:rsid w:val="001F7FAA"/>
    <w:rsid w:val="00211828"/>
    <w:rsid w:val="00235B41"/>
    <w:rsid w:val="0024326C"/>
    <w:rsid w:val="00244520"/>
    <w:rsid w:val="00245FA6"/>
    <w:rsid w:val="00246EF1"/>
    <w:rsid w:val="0024794E"/>
    <w:rsid w:val="0025380E"/>
    <w:rsid w:val="00255DCD"/>
    <w:rsid w:val="00256E66"/>
    <w:rsid w:val="00260E8E"/>
    <w:rsid w:val="002853D2"/>
    <w:rsid w:val="002955EA"/>
    <w:rsid w:val="002A779E"/>
    <w:rsid w:val="002B29EB"/>
    <w:rsid w:val="002B67AE"/>
    <w:rsid w:val="002C451D"/>
    <w:rsid w:val="002D53AE"/>
    <w:rsid w:val="002D593F"/>
    <w:rsid w:val="002D5C36"/>
    <w:rsid w:val="002D64BF"/>
    <w:rsid w:val="002D6A57"/>
    <w:rsid w:val="002E3657"/>
    <w:rsid w:val="002E580D"/>
    <w:rsid w:val="002F1BF1"/>
    <w:rsid w:val="00302AC0"/>
    <w:rsid w:val="00311104"/>
    <w:rsid w:val="00321B1E"/>
    <w:rsid w:val="003245AB"/>
    <w:rsid w:val="00326BCA"/>
    <w:rsid w:val="00331CC4"/>
    <w:rsid w:val="00341B64"/>
    <w:rsid w:val="003425EB"/>
    <w:rsid w:val="00342FE2"/>
    <w:rsid w:val="00357091"/>
    <w:rsid w:val="00364909"/>
    <w:rsid w:val="00366DFB"/>
    <w:rsid w:val="00370139"/>
    <w:rsid w:val="003744F6"/>
    <w:rsid w:val="00375299"/>
    <w:rsid w:val="00393821"/>
    <w:rsid w:val="00396DEF"/>
    <w:rsid w:val="003A23DB"/>
    <w:rsid w:val="003A26B4"/>
    <w:rsid w:val="003B06C9"/>
    <w:rsid w:val="003B1149"/>
    <w:rsid w:val="003B25C1"/>
    <w:rsid w:val="003B4153"/>
    <w:rsid w:val="003B7CC5"/>
    <w:rsid w:val="003C3EEA"/>
    <w:rsid w:val="003D0DFD"/>
    <w:rsid w:val="003E3258"/>
    <w:rsid w:val="003E698F"/>
    <w:rsid w:val="003F275A"/>
    <w:rsid w:val="00400A0B"/>
    <w:rsid w:val="00405E80"/>
    <w:rsid w:val="00412354"/>
    <w:rsid w:val="00412656"/>
    <w:rsid w:val="00416016"/>
    <w:rsid w:val="00423461"/>
    <w:rsid w:val="004241CD"/>
    <w:rsid w:val="00435BB5"/>
    <w:rsid w:val="00435C35"/>
    <w:rsid w:val="004374FA"/>
    <w:rsid w:val="00440AAC"/>
    <w:rsid w:val="00457055"/>
    <w:rsid w:val="00457C2F"/>
    <w:rsid w:val="00474255"/>
    <w:rsid w:val="00477E37"/>
    <w:rsid w:val="0048069C"/>
    <w:rsid w:val="0048270F"/>
    <w:rsid w:val="004842E2"/>
    <w:rsid w:val="00497AC8"/>
    <w:rsid w:val="004A139E"/>
    <w:rsid w:val="004A2C9E"/>
    <w:rsid w:val="004B1199"/>
    <w:rsid w:val="004B1CA2"/>
    <w:rsid w:val="004B6E48"/>
    <w:rsid w:val="004D76CA"/>
    <w:rsid w:val="004F64EA"/>
    <w:rsid w:val="005109F8"/>
    <w:rsid w:val="00513334"/>
    <w:rsid w:val="0051769C"/>
    <w:rsid w:val="005245A1"/>
    <w:rsid w:val="00526680"/>
    <w:rsid w:val="005302E5"/>
    <w:rsid w:val="00533C9E"/>
    <w:rsid w:val="00546DA5"/>
    <w:rsid w:val="00554B71"/>
    <w:rsid w:val="00567A83"/>
    <w:rsid w:val="00571CED"/>
    <w:rsid w:val="005842F9"/>
    <w:rsid w:val="00584A8E"/>
    <w:rsid w:val="0059071B"/>
    <w:rsid w:val="00592516"/>
    <w:rsid w:val="0059736C"/>
    <w:rsid w:val="00597FBB"/>
    <w:rsid w:val="005A0A8D"/>
    <w:rsid w:val="005B6A93"/>
    <w:rsid w:val="005C0B5D"/>
    <w:rsid w:val="005C247A"/>
    <w:rsid w:val="005C4C5A"/>
    <w:rsid w:val="005C6095"/>
    <w:rsid w:val="005C6FA6"/>
    <w:rsid w:val="005D0C2E"/>
    <w:rsid w:val="005D17B6"/>
    <w:rsid w:val="005E3F00"/>
    <w:rsid w:val="005F1AC4"/>
    <w:rsid w:val="005F7810"/>
    <w:rsid w:val="00603A4D"/>
    <w:rsid w:val="00605058"/>
    <w:rsid w:val="0061005D"/>
    <w:rsid w:val="006108BD"/>
    <w:rsid w:val="00611AA2"/>
    <w:rsid w:val="00614E52"/>
    <w:rsid w:val="0061710B"/>
    <w:rsid w:val="0062758A"/>
    <w:rsid w:val="00630B78"/>
    <w:rsid w:val="00631E08"/>
    <w:rsid w:val="00634EA5"/>
    <w:rsid w:val="00651DFA"/>
    <w:rsid w:val="00670806"/>
    <w:rsid w:val="00670FDE"/>
    <w:rsid w:val="00671FF5"/>
    <w:rsid w:val="00672BC3"/>
    <w:rsid w:val="0067690F"/>
    <w:rsid w:val="00677419"/>
    <w:rsid w:val="00683693"/>
    <w:rsid w:val="0068547D"/>
    <w:rsid w:val="00691A4D"/>
    <w:rsid w:val="0069356A"/>
    <w:rsid w:val="0069598F"/>
    <w:rsid w:val="006962F7"/>
    <w:rsid w:val="006A044B"/>
    <w:rsid w:val="006A1FA3"/>
    <w:rsid w:val="006A282E"/>
    <w:rsid w:val="006A3209"/>
    <w:rsid w:val="006A3211"/>
    <w:rsid w:val="006B2AA5"/>
    <w:rsid w:val="006B4906"/>
    <w:rsid w:val="006B7FDF"/>
    <w:rsid w:val="006C11FD"/>
    <w:rsid w:val="006C3893"/>
    <w:rsid w:val="006C49A2"/>
    <w:rsid w:val="006C5536"/>
    <w:rsid w:val="006C6A64"/>
    <w:rsid w:val="006C72FA"/>
    <w:rsid w:val="006D0984"/>
    <w:rsid w:val="006D36D3"/>
    <w:rsid w:val="006D451E"/>
    <w:rsid w:val="006D4CB4"/>
    <w:rsid w:val="006E50F5"/>
    <w:rsid w:val="006E5540"/>
    <w:rsid w:val="00700E18"/>
    <w:rsid w:val="00712456"/>
    <w:rsid w:val="00712655"/>
    <w:rsid w:val="00712961"/>
    <w:rsid w:val="00733BA5"/>
    <w:rsid w:val="0074100B"/>
    <w:rsid w:val="00747C47"/>
    <w:rsid w:val="00757C5C"/>
    <w:rsid w:val="00761B13"/>
    <w:rsid w:val="0076401F"/>
    <w:rsid w:val="00764912"/>
    <w:rsid w:val="00774CC7"/>
    <w:rsid w:val="00783F1E"/>
    <w:rsid w:val="00784BC1"/>
    <w:rsid w:val="007879EC"/>
    <w:rsid w:val="00791CF7"/>
    <w:rsid w:val="00793DF2"/>
    <w:rsid w:val="00793F69"/>
    <w:rsid w:val="007A3804"/>
    <w:rsid w:val="007A62A9"/>
    <w:rsid w:val="007B2F60"/>
    <w:rsid w:val="007B397F"/>
    <w:rsid w:val="007C08CF"/>
    <w:rsid w:val="007C3600"/>
    <w:rsid w:val="007D4C01"/>
    <w:rsid w:val="007E367F"/>
    <w:rsid w:val="007F4A26"/>
    <w:rsid w:val="00800417"/>
    <w:rsid w:val="008114B9"/>
    <w:rsid w:val="00822BB9"/>
    <w:rsid w:val="00825A48"/>
    <w:rsid w:val="008349E4"/>
    <w:rsid w:val="00834ECC"/>
    <w:rsid w:val="00835D26"/>
    <w:rsid w:val="008536AF"/>
    <w:rsid w:val="00853EE1"/>
    <w:rsid w:val="008556ED"/>
    <w:rsid w:val="00856800"/>
    <w:rsid w:val="008574E9"/>
    <w:rsid w:val="008613AB"/>
    <w:rsid w:val="008613B8"/>
    <w:rsid w:val="0087263E"/>
    <w:rsid w:val="00873EFD"/>
    <w:rsid w:val="0087467E"/>
    <w:rsid w:val="00881617"/>
    <w:rsid w:val="00893214"/>
    <w:rsid w:val="00894291"/>
    <w:rsid w:val="008A0EB5"/>
    <w:rsid w:val="008A448A"/>
    <w:rsid w:val="008A5AD0"/>
    <w:rsid w:val="008B0C7F"/>
    <w:rsid w:val="008B197E"/>
    <w:rsid w:val="008B579D"/>
    <w:rsid w:val="008B61AE"/>
    <w:rsid w:val="008C0BAA"/>
    <w:rsid w:val="008C22DF"/>
    <w:rsid w:val="008C4C59"/>
    <w:rsid w:val="008C54D6"/>
    <w:rsid w:val="008E1C0D"/>
    <w:rsid w:val="008E7B69"/>
    <w:rsid w:val="008F5B4D"/>
    <w:rsid w:val="008F6D13"/>
    <w:rsid w:val="0090144A"/>
    <w:rsid w:val="00904E8F"/>
    <w:rsid w:val="00905760"/>
    <w:rsid w:val="009161D8"/>
    <w:rsid w:val="00920E2E"/>
    <w:rsid w:val="00921FC0"/>
    <w:rsid w:val="00931905"/>
    <w:rsid w:val="00942094"/>
    <w:rsid w:val="00952D6B"/>
    <w:rsid w:val="00960218"/>
    <w:rsid w:val="0097488A"/>
    <w:rsid w:val="00982787"/>
    <w:rsid w:val="009A5D77"/>
    <w:rsid w:val="009B0721"/>
    <w:rsid w:val="009B26F9"/>
    <w:rsid w:val="009B701B"/>
    <w:rsid w:val="009C32BB"/>
    <w:rsid w:val="009C54F8"/>
    <w:rsid w:val="009C7177"/>
    <w:rsid w:val="009D0B81"/>
    <w:rsid w:val="009D0C15"/>
    <w:rsid w:val="009D42B8"/>
    <w:rsid w:val="009D587B"/>
    <w:rsid w:val="009D7D3C"/>
    <w:rsid w:val="009E58EC"/>
    <w:rsid w:val="009E65C0"/>
    <w:rsid w:val="009F1B74"/>
    <w:rsid w:val="009F3338"/>
    <w:rsid w:val="009F334B"/>
    <w:rsid w:val="009F6770"/>
    <w:rsid w:val="009F727A"/>
    <w:rsid w:val="00A035EB"/>
    <w:rsid w:val="00A03609"/>
    <w:rsid w:val="00A10072"/>
    <w:rsid w:val="00A105B5"/>
    <w:rsid w:val="00A21DC0"/>
    <w:rsid w:val="00A23362"/>
    <w:rsid w:val="00A255CF"/>
    <w:rsid w:val="00A271D2"/>
    <w:rsid w:val="00A306E0"/>
    <w:rsid w:val="00A329EF"/>
    <w:rsid w:val="00A344F9"/>
    <w:rsid w:val="00A3743C"/>
    <w:rsid w:val="00A43AE7"/>
    <w:rsid w:val="00A46528"/>
    <w:rsid w:val="00A4751C"/>
    <w:rsid w:val="00A50366"/>
    <w:rsid w:val="00A54CF6"/>
    <w:rsid w:val="00A55F30"/>
    <w:rsid w:val="00A6118E"/>
    <w:rsid w:val="00A6121F"/>
    <w:rsid w:val="00A62264"/>
    <w:rsid w:val="00A630FA"/>
    <w:rsid w:val="00A63AEF"/>
    <w:rsid w:val="00A649FB"/>
    <w:rsid w:val="00A667F3"/>
    <w:rsid w:val="00A66E61"/>
    <w:rsid w:val="00A70F43"/>
    <w:rsid w:val="00A72389"/>
    <w:rsid w:val="00A7281A"/>
    <w:rsid w:val="00A73820"/>
    <w:rsid w:val="00A83C9D"/>
    <w:rsid w:val="00A84798"/>
    <w:rsid w:val="00A85739"/>
    <w:rsid w:val="00A94465"/>
    <w:rsid w:val="00AB0293"/>
    <w:rsid w:val="00AB26F3"/>
    <w:rsid w:val="00AC15E1"/>
    <w:rsid w:val="00AC4465"/>
    <w:rsid w:val="00AD27F0"/>
    <w:rsid w:val="00AD430A"/>
    <w:rsid w:val="00AE2664"/>
    <w:rsid w:val="00AE339F"/>
    <w:rsid w:val="00AF1062"/>
    <w:rsid w:val="00AF6CE4"/>
    <w:rsid w:val="00B00907"/>
    <w:rsid w:val="00B133EB"/>
    <w:rsid w:val="00B15C23"/>
    <w:rsid w:val="00B24D34"/>
    <w:rsid w:val="00B35414"/>
    <w:rsid w:val="00B520DF"/>
    <w:rsid w:val="00B6135A"/>
    <w:rsid w:val="00B62182"/>
    <w:rsid w:val="00B708B7"/>
    <w:rsid w:val="00B8148E"/>
    <w:rsid w:val="00B8460B"/>
    <w:rsid w:val="00B90837"/>
    <w:rsid w:val="00B90A9C"/>
    <w:rsid w:val="00B9174F"/>
    <w:rsid w:val="00B966BB"/>
    <w:rsid w:val="00BA4FF6"/>
    <w:rsid w:val="00BA63D7"/>
    <w:rsid w:val="00BA6470"/>
    <w:rsid w:val="00BB7D9D"/>
    <w:rsid w:val="00BC0E1A"/>
    <w:rsid w:val="00BC432A"/>
    <w:rsid w:val="00BD3CC8"/>
    <w:rsid w:val="00BE6D1B"/>
    <w:rsid w:val="00BF2F3F"/>
    <w:rsid w:val="00BF32FB"/>
    <w:rsid w:val="00BF3697"/>
    <w:rsid w:val="00C070AD"/>
    <w:rsid w:val="00C07E65"/>
    <w:rsid w:val="00C13EC1"/>
    <w:rsid w:val="00C15402"/>
    <w:rsid w:val="00C1708E"/>
    <w:rsid w:val="00C23026"/>
    <w:rsid w:val="00C2799A"/>
    <w:rsid w:val="00C300DE"/>
    <w:rsid w:val="00C32ADA"/>
    <w:rsid w:val="00C45002"/>
    <w:rsid w:val="00C517F9"/>
    <w:rsid w:val="00C5267A"/>
    <w:rsid w:val="00C57A3A"/>
    <w:rsid w:val="00C63002"/>
    <w:rsid w:val="00C65035"/>
    <w:rsid w:val="00C70B67"/>
    <w:rsid w:val="00C73ED4"/>
    <w:rsid w:val="00C76074"/>
    <w:rsid w:val="00C86F99"/>
    <w:rsid w:val="00C911C4"/>
    <w:rsid w:val="00CA28A8"/>
    <w:rsid w:val="00CA69EE"/>
    <w:rsid w:val="00CB3E38"/>
    <w:rsid w:val="00CB4646"/>
    <w:rsid w:val="00CC4CDD"/>
    <w:rsid w:val="00CC72D5"/>
    <w:rsid w:val="00CC7E16"/>
    <w:rsid w:val="00CD04AD"/>
    <w:rsid w:val="00CD0B9D"/>
    <w:rsid w:val="00CD232E"/>
    <w:rsid w:val="00CD3396"/>
    <w:rsid w:val="00CD376F"/>
    <w:rsid w:val="00CD678C"/>
    <w:rsid w:val="00CD7EC6"/>
    <w:rsid w:val="00CE4904"/>
    <w:rsid w:val="00CF6419"/>
    <w:rsid w:val="00CF7FA3"/>
    <w:rsid w:val="00D105EC"/>
    <w:rsid w:val="00D16ACF"/>
    <w:rsid w:val="00D242BF"/>
    <w:rsid w:val="00D32075"/>
    <w:rsid w:val="00D3292B"/>
    <w:rsid w:val="00D33558"/>
    <w:rsid w:val="00D37587"/>
    <w:rsid w:val="00D4726E"/>
    <w:rsid w:val="00D66F7B"/>
    <w:rsid w:val="00D76BC9"/>
    <w:rsid w:val="00D82019"/>
    <w:rsid w:val="00D86258"/>
    <w:rsid w:val="00D933A0"/>
    <w:rsid w:val="00DA004A"/>
    <w:rsid w:val="00DA133C"/>
    <w:rsid w:val="00DA70EA"/>
    <w:rsid w:val="00DA7759"/>
    <w:rsid w:val="00DC01AE"/>
    <w:rsid w:val="00DD4FC6"/>
    <w:rsid w:val="00DE7D70"/>
    <w:rsid w:val="00E222DC"/>
    <w:rsid w:val="00E26518"/>
    <w:rsid w:val="00E302FD"/>
    <w:rsid w:val="00E3178B"/>
    <w:rsid w:val="00E47BB8"/>
    <w:rsid w:val="00E51405"/>
    <w:rsid w:val="00E53B1B"/>
    <w:rsid w:val="00E541AD"/>
    <w:rsid w:val="00E54FA5"/>
    <w:rsid w:val="00E75CAD"/>
    <w:rsid w:val="00E82CF9"/>
    <w:rsid w:val="00E84F4F"/>
    <w:rsid w:val="00E962B1"/>
    <w:rsid w:val="00E96F08"/>
    <w:rsid w:val="00E97E96"/>
    <w:rsid w:val="00EA01D1"/>
    <w:rsid w:val="00EA3B53"/>
    <w:rsid w:val="00EB5A94"/>
    <w:rsid w:val="00EC0D18"/>
    <w:rsid w:val="00EC1F6A"/>
    <w:rsid w:val="00ED03B6"/>
    <w:rsid w:val="00ED3D93"/>
    <w:rsid w:val="00EF004E"/>
    <w:rsid w:val="00EF3C52"/>
    <w:rsid w:val="00F045E4"/>
    <w:rsid w:val="00F05C85"/>
    <w:rsid w:val="00F15A0A"/>
    <w:rsid w:val="00F4227E"/>
    <w:rsid w:val="00F5043D"/>
    <w:rsid w:val="00F5157C"/>
    <w:rsid w:val="00F526AE"/>
    <w:rsid w:val="00F55C69"/>
    <w:rsid w:val="00F5619A"/>
    <w:rsid w:val="00F57665"/>
    <w:rsid w:val="00F60096"/>
    <w:rsid w:val="00F72C42"/>
    <w:rsid w:val="00F75530"/>
    <w:rsid w:val="00F75F8A"/>
    <w:rsid w:val="00F80DFA"/>
    <w:rsid w:val="00F85C2D"/>
    <w:rsid w:val="00F9017D"/>
    <w:rsid w:val="00F93812"/>
    <w:rsid w:val="00F96495"/>
    <w:rsid w:val="00FA0A49"/>
    <w:rsid w:val="00FA19CB"/>
    <w:rsid w:val="00FA2014"/>
    <w:rsid w:val="00FA3C57"/>
    <w:rsid w:val="00FB2559"/>
    <w:rsid w:val="00FC157D"/>
    <w:rsid w:val="00FD4869"/>
    <w:rsid w:val="00FD66D5"/>
    <w:rsid w:val="00FE4210"/>
    <w:rsid w:val="00FF24B0"/>
    <w:rsid w:val="00FF4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22F0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1A7FFB"/>
  </w:style>
  <w:style w:type="character" w:styleId="Emphasis">
    <w:name w:val="Emphasis"/>
    <w:uiPriority w:val="20"/>
    <w:qFormat/>
    <w:rsid w:val="001A7FFB"/>
    <w:rPr>
      <w:i/>
      <w:iCs/>
    </w:rPr>
  </w:style>
  <w:style w:type="paragraph" w:styleId="NormalWeb">
    <w:name w:val="Normal (Web)"/>
    <w:basedOn w:val="Normal"/>
    <w:uiPriority w:val="99"/>
    <w:unhideWhenUsed/>
    <w:rsid w:val="002D5C36"/>
    <w:pPr>
      <w:spacing w:before="100" w:beforeAutospacing="1" w:after="100" w:afterAutospacing="1"/>
      <w:jc w:val="left"/>
    </w:pPr>
    <w:rPr>
      <w:rFonts w:ascii="Times" w:hAnsi="Times"/>
      <w:sz w:val="20"/>
    </w:rPr>
  </w:style>
  <w:style w:type="paragraph" w:styleId="BalloonText">
    <w:name w:val="Balloon Text"/>
    <w:basedOn w:val="Normal"/>
    <w:link w:val="BalloonTextChar"/>
    <w:rsid w:val="00691A4D"/>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91A4D"/>
    <w:rPr>
      <w:rFonts w:ascii="Lucida Grande" w:hAnsi="Lucida Grande" w:cs="Lucida Grande"/>
      <w:sz w:val="18"/>
      <w:szCs w:val="18"/>
    </w:rPr>
  </w:style>
  <w:style w:type="character" w:customStyle="1" w:styleId="l4">
    <w:name w:val="l4"/>
    <w:basedOn w:val="DefaultParagraphFont"/>
    <w:rsid w:val="00634E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1A7FFB"/>
  </w:style>
  <w:style w:type="character" w:styleId="Emphasis">
    <w:name w:val="Emphasis"/>
    <w:uiPriority w:val="20"/>
    <w:qFormat/>
    <w:rsid w:val="001A7FFB"/>
    <w:rPr>
      <w:i/>
      <w:iCs/>
    </w:rPr>
  </w:style>
  <w:style w:type="paragraph" w:styleId="NormalWeb">
    <w:name w:val="Normal (Web)"/>
    <w:basedOn w:val="Normal"/>
    <w:uiPriority w:val="99"/>
    <w:unhideWhenUsed/>
    <w:rsid w:val="002D5C36"/>
    <w:pPr>
      <w:spacing w:before="100" w:beforeAutospacing="1" w:after="100" w:afterAutospacing="1"/>
      <w:jc w:val="left"/>
    </w:pPr>
    <w:rPr>
      <w:rFonts w:ascii="Times" w:hAnsi="Times"/>
      <w:sz w:val="20"/>
    </w:rPr>
  </w:style>
  <w:style w:type="paragraph" w:styleId="BalloonText">
    <w:name w:val="Balloon Text"/>
    <w:basedOn w:val="Normal"/>
    <w:link w:val="BalloonTextChar"/>
    <w:rsid w:val="00691A4D"/>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91A4D"/>
    <w:rPr>
      <w:rFonts w:ascii="Lucida Grande" w:hAnsi="Lucida Grande" w:cs="Lucida Grande"/>
      <w:sz w:val="18"/>
      <w:szCs w:val="18"/>
    </w:rPr>
  </w:style>
  <w:style w:type="character" w:customStyle="1" w:styleId="l4">
    <w:name w:val="l4"/>
    <w:basedOn w:val="DefaultParagraphFont"/>
    <w:rsid w:val="0063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221">
      <w:bodyDiv w:val="1"/>
      <w:marLeft w:val="0"/>
      <w:marRight w:val="0"/>
      <w:marTop w:val="0"/>
      <w:marBottom w:val="0"/>
      <w:divBdr>
        <w:top w:val="none" w:sz="0" w:space="0" w:color="auto"/>
        <w:left w:val="none" w:sz="0" w:space="0" w:color="auto"/>
        <w:bottom w:val="none" w:sz="0" w:space="0" w:color="auto"/>
        <w:right w:val="none" w:sz="0" w:space="0" w:color="auto"/>
      </w:divBdr>
    </w:div>
    <w:div w:id="147286812">
      <w:bodyDiv w:val="1"/>
      <w:marLeft w:val="0"/>
      <w:marRight w:val="0"/>
      <w:marTop w:val="0"/>
      <w:marBottom w:val="0"/>
      <w:divBdr>
        <w:top w:val="none" w:sz="0" w:space="0" w:color="auto"/>
        <w:left w:val="none" w:sz="0" w:space="0" w:color="auto"/>
        <w:bottom w:val="none" w:sz="0" w:space="0" w:color="auto"/>
        <w:right w:val="none" w:sz="0" w:space="0" w:color="auto"/>
      </w:divBdr>
    </w:div>
    <w:div w:id="180897797">
      <w:bodyDiv w:val="1"/>
      <w:marLeft w:val="0"/>
      <w:marRight w:val="0"/>
      <w:marTop w:val="0"/>
      <w:marBottom w:val="0"/>
      <w:divBdr>
        <w:top w:val="none" w:sz="0" w:space="0" w:color="auto"/>
        <w:left w:val="none" w:sz="0" w:space="0" w:color="auto"/>
        <w:bottom w:val="none" w:sz="0" w:space="0" w:color="auto"/>
        <w:right w:val="none" w:sz="0" w:space="0" w:color="auto"/>
      </w:divBdr>
    </w:div>
    <w:div w:id="204486483">
      <w:bodyDiv w:val="1"/>
      <w:marLeft w:val="0"/>
      <w:marRight w:val="0"/>
      <w:marTop w:val="0"/>
      <w:marBottom w:val="0"/>
      <w:divBdr>
        <w:top w:val="none" w:sz="0" w:space="0" w:color="auto"/>
        <w:left w:val="none" w:sz="0" w:space="0" w:color="auto"/>
        <w:bottom w:val="none" w:sz="0" w:space="0" w:color="auto"/>
        <w:right w:val="none" w:sz="0" w:space="0" w:color="auto"/>
      </w:divBdr>
    </w:div>
    <w:div w:id="284971761">
      <w:bodyDiv w:val="1"/>
      <w:marLeft w:val="0"/>
      <w:marRight w:val="0"/>
      <w:marTop w:val="0"/>
      <w:marBottom w:val="0"/>
      <w:divBdr>
        <w:top w:val="none" w:sz="0" w:space="0" w:color="auto"/>
        <w:left w:val="none" w:sz="0" w:space="0" w:color="auto"/>
        <w:bottom w:val="none" w:sz="0" w:space="0" w:color="auto"/>
        <w:right w:val="none" w:sz="0" w:space="0" w:color="auto"/>
      </w:divBdr>
    </w:div>
    <w:div w:id="335615697">
      <w:bodyDiv w:val="1"/>
      <w:marLeft w:val="0"/>
      <w:marRight w:val="0"/>
      <w:marTop w:val="0"/>
      <w:marBottom w:val="0"/>
      <w:divBdr>
        <w:top w:val="none" w:sz="0" w:space="0" w:color="auto"/>
        <w:left w:val="none" w:sz="0" w:space="0" w:color="auto"/>
        <w:bottom w:val="none" w:sz="0" w:space="0" w:color="auto"/>
        <w:right w:val="none" w:sz="0" w:space="0" w:color="auto"/>
      </w:divBdr>
    </w:div>
    <w:div w:id="437531946">
      <w:bodyDiv w:val="1"/>
      <w:marLeft w:val="0"/>
      <w:marRight w:val="0"/>
      <w:marTop w:val="0"/>
      <w:marBottom w:val="0"/>
      <w:divBdr>
        <w:top w:val="none" w:sz="0" w:space="0" w:color="auto"/>
        <w:left w:val="none" w:sz="0" w:space="0" w:color="auto"/>
        <w:bottom w:val="none" w:sz="0" w:space="0" w:color="auto"/>
        <w:right w:val="none" w:sz="0" w:space="0" w:color="auto"/>
      </w:divBdr>
    </w:div>
    <w:div w:id="595217216">
      <w:bodyDiv w:val="1"/>
      <w:marLeft w:val="0"/>
      <w:marRight w:val="0"/>
      <w:marTop w:val="0"/>
      <w:marBottom w:val="0"/>
      <w:divBdr>
        <w:top w:val="none" w:sz="0" w:space="0" w:color="auto"/>
        <w:left w:val="none" w:sz="0" w:space="0" w:color="auto"/>
        <w:bottom w:val="none" w:sz="0" w:space="0" w:color="auto"/>
        <w:right w:val="none" w:sz="0" w:space="0" w:color="auto"/>
      </w:divBdr>
    </w:div>
    <w:div w:id="625433544">
      <w:bodyDiv w:val="1"/>
      <w:marLeft w:val="0"/>
      <w:marRight w:val="0"/>
      <w:marTop w:val="0"/>
      <w:marBottom w:val="0"/>
      <w:divBdr>
        <w:top w:val="none" w:sz="0" w:space="0" w:color="auto"/>
        <w:left w:val="none" w:sz="0" w:space="0" w:color="auto"/>
        <w:bottom w:val="none" w:sz="0" w:space="0" w:color="auto"/>
        <w:right w:val="none" w:sz="0" w:space="0" w:color="auto"/>
      </w:divBdr>
    </w:div>
    <w:div w:id="638876417">
      <w:bodyDiv w:val="1"/>
      <w:marLeft w:val="0"/>
      <w:marRight w:val="0"/>
      <w:marTop w:val="0"/>
      <w:marBottom w:val="0"/>
      <w:divBdr>
        <w:top w:val="none" w:sz="0" w:space="0" w:color="auto"/>
        <w:left w:val="none" w:sz="0" w:space="0" w:color="auto"/>
        <w:bottom w:val="none" w:sz="0" w:space="0" w:color="auto"/>
        <w:right w:val="none" w:sz="0" w:space="0" w:color="auto"/>
      </w:divBdr>
    </w:div>
    <w:div w:id="673806602">
      <w:bodyDiv w:val="1"/>
      <w:marLeft w:val="0"/>
      <w:marRight w:val="0"/>
      <w:marTop w:val="0"/>
      <w:marBottom w:val="0"/>
      <w:divBdr>
        <w:top w:val="none" w:sz="0" w:space="0" w:color="auto"/>
        <w:left w:val="none" w:sz="0" w:space="0" w:color="auto"/>
        <w:bottom w:val="none" w:sz="0" w:space="0" w:color="auto"/>
        <w:right w:val="none" w:sz="0" w:space="0" w:color="auto"/>
      </w:divBdr>
    </w:div>
    <w:div w:id="676421688">
      <w:bodyDiv w:val="1"/>
      <w:marLeft w:val="0"/>
      <w:marRight w:val="0"/>
      <w:marTop w:val="0"/>
      <w:marBottom w:val="0"/>
      <w:divBdr>
        <w:top w:val="none" w:sz="0" w:space="0" w:color="auto"/>
        <w:left w:val="none" w:sz="0" w:space="0" w:color="auto"/>
        <w:bottom w:val="none" w:sz="0" w:space="0" w:color="auto"/>
        <w:right w:val="none" w:sz="0" w:space="0" w:color="auto"/>
      </w:divBdr>
    </w:div>
    <w:div w:id="843327142">
      <w:bodyDiv w:val="1"/>
      <w:marLeft w:val="0"/>
      <w:marRight w:val="0"/>
      <w:marTop w:val="0"/>
      <w:marBottom w:val="0"/>
      <w:divBdr>
        <w:top w:val="none" w:sz="0" w:space="0" w:color="auto"/>
        <w:left w:val="none" w:sz="0" w:space="0" w:color="auto"/>
        <w:bottom w:val="none" w:sz="0" w:space="0" w:color="auto"/>
        <w:right w:val="none" w:sz="0" w:space="0" w:color="auto"/>
      </w:divBdr>
    </w:div>
    <w:div w:id="844824712">
      <w:bodyDiv w:val="1"/>
      <w:marLeft w:val="0"/>
      <w:marRight w:val="0"/>
      <w:marTop w:val="0"/>
      <w:marBottom w:val="0"/>
      <w:divBdr>
        <w:top w:val="none" w:sz="0" w:space="0" w:color="auto"/>
        <w:left w:val="none" w:sz="0" w:space="0" w:color="auto"/>
        <w:bottom w:val="none" w:sz="0" w:space="0" w:color="auto"/>
        <w:right w:val="none" w:sz="0" w:space="0" w:color="auto"/>
      </w:divBdr>
    </w:div>
    <w:div w:id="1211957250">
      <w:bodyDiv w:val="1"/>
      <w:marLeft w:val="0"/>
      <w:marRight w:val="0"/>
      <w:marTop w:val="0"/>
      <w:marBottom w:val="0"/>
      <w:divBdr>
        <w:top w:val="none" w:sz="0" w:space="0" w:color="auto"/>
        <w:left w:val="none" w:sz="0" w:space="0" w:color="auto"/>
        <w:bottom w:val="none" w:sz="0" w:space="0" w:color="auto"/>
        <w:right w:val="none" w:sz="0" w:space="0" w:color="auto"/>
      </w:divBdr>
    </w:div>
    <w:div w:id="1344672179">
      <w:bodyDiv w:val="1"/>
      <w:marLeft w:val="0"/>
      <w:marRight w:val="0"/>
      <w:marTop w:val="0"/>
      <w:marBottom w:val="0"/>
      <w:divBdr>
        <w:top w:val="none" w:sz="0" w:space="0" w:color="auto"/>
        <w:left w:val="none" w:sz="0" w:space="0" w:color="auto"/>
        <w:bottom w:val="none" w:sz="0" w:space="0" w:color="auto"/>
        <w:right w:val="none" w:sz="0" w:space="0" w:color="auto"/>
      </w:divBdr>
    </w:div>
    <w:div w:id="1383823183">
      <w:bodyDiv w:val="1"/>
      <w:marLeft w:val="0"/>
      <w:marRight w:val="0"/>
      <w:marTop w:val="0"/>
      <w:marBottom w:val="0"/>
      <w:divBdr>
        <w:top w:val="none" w:sz="0" w:space="0" w:color="auto"/>
        <w:left w:val="none" w:sz="0" w:space="0" w:color="auto"/>
        <w:bottom w:val="none" w:sz="0" w:space="0" w:color="auto"/>
        <w:right w:val="none" w:sz="0" w:space="0" w:color="auto"/>
      </w:divBdr>
    </w:div>
    <w:div w:id="1685478952">
      <w:bodyDiv w:val="1"/>
      <w:marLeft w:val="0"/>
      <w:marRight w:val="0"/>
      <w:marTop w:val="0"/>
      <w:marBottom w:val="0"/>
      <w:divBdr>
        <w:top w:val="none" w:sz="0" w:space="0" w:color="auto"/>
        <w:left w:val="none" w:sz="0" w:space="0" w:color="auto"/>
        <w:bottom w:val="none" w:sz="0" w:space="0" w:color="auto"/>
        <w:right w:val="none" w:sz="0" w:space="0" w:color="auto"/>
      </w:divBdr>
    </w:div>
    <w:div w:id="1822691416">
      <w:bodyDiv w:val="1"/>
      <w:marLeft w:val="0"/>
      <w:marRight w:val="0"/>
      <w:marTop w:val="0"/>
      <w:marBottom w:val="0"/>
      <w:divBdr>
        <w:top w:val="none" w:sz="0" w:space="0" w:color="auto"/>
        <w:left w:val="none" w:sz="0" w:space="0" w:color="auto"/>
        <w:bottom w:val="none" w:sz="0" w:space="0" w:color="auto"/>
        <w:right w:val="none" w:sz="0" w:space="0" w:color="auto"/>
      </w:divBdr>
    </w:div>
    <w:div w:id="1835300342">
      <w:bodyDiv w:val="1"/>
      <w:marLeft w:val="0"/>
      <w:marRight w:val="0"/>
      <w:marTop w:val="0"/>
      <w:marBottom w:val="0"/>
      <w:divBdr>
        <w:top w:val="none" w:sz="0" w:space="0" w:color="auto"/>
        <w:left w:val="none" w:sz="0" w:space="0" w:color="auto"/>
        <w:bottom w:val="none" w:sz="0" w:space="0" w:color="auto"/>
        <w:right w:val="none" w:sz="0" w:space="0" w:color="auto"/>
      </w:divBdr>
    </w:div>
    <w:div w:id="1869949645">
      <w:bodyDiv w:val="1"/>
      <w:marLeft w:val="0"/>
      <w:marRight w:val="0"/>
      <w:marTop w:val="0"/>
      <w:marBottom w:val="0"/>
      <w:divBdr>
        <w:top w:val="none" w:sz="0" w:space="0" w:color="auto"/>
        <w:left w:val="none" w:sz="0" w:space="0" w:color="auto"/>
        <w:bottom w:val="none" w:sz="0" w:space="0" w:color="auto"/>
        <w:right w:val="none" w:sz="0" w:space="0" w:color="auto"/>
      </w:divBdr>
    </w:div>
    <w:div w:id="1880822439">
      <w:bodyDiv w:val="1"/>
      <w:marLeft w:val="0"/>
      <w:marRight w:val="0"/>
      <w:marTop w:val="0"/>
      <w:marBottom w:val="0"/>
      <w:divBdr>
        <w:top w:val="none" w:sz="0" w:space="0" w:color="auto"/>
        <w:left w:val="none" w:sz="0" w:space="0" w:color="auto"/>
        <w:bottom w:val="none" w:sz="0" w:space="0" w:color="auto"/>
        <w:right w:val="none" w:sz="0" w:space="0" w:color="auto"/>
      </w:divBdr>
    </w:div>
    <w:div w:id="1921480359">
      <w:bodyDiv w:val="1"/>
      <w:marLeft w:val="0"/>
      <w:marRight w:val="0"/>
      <w:marTop w:val="0"/>
      <w:marBottom w:val="0"/>
      <w:divBdr>
        <w:top w:val="none" w:sz="0" w:space="0" w:color="auto"/>
        <w:left w:val="none" w:sz="0" w:space="0" w:color="auto"/>
        <w:bottom w:val="none" w:sz="0" w:space="0" w:color="auto"/>
        <w:right w:val="none" w:sz="0" w:space="0" w:color="auto"/>
      </w:divBdr>
    </w:div>
    <w:div w:id="1938127421">
      <w:bodyDiv w:val="1"/>
      <w:marLeft w:val="0"/>
      <w:marRight w:val="0"/>
      <w:marTop w:val="0"/>
      <w:marBottom w:val="0"/>
      <w:divBdr>
        <w:top w:val="none" w:sz="0" w:space="0" w:color="auto"/>
        <w:left w:val="none" w:sz="0" w:space="0" w:color="auto"/>
        <w:bottom w:val="none" w:sz="0" w:space="0" w:color="auto"/>
        <w:right w:val="none" w:sz="0" w:space="0" w:color="auto"/>
      </w:divBdr>
    </w:div>
    <w:div w:id="2101094555">
      <w:bodyDiv w:val="1"/>
      <w:marLeft w:val="0"/>
      <w:marRight w:val="0"/>
      <w:marTop w:val="0"/>
      <w:marBottom w:val="0"/>
      <w:divBdr>
        <w:top w:val="none" w:sz="0" w:space="0" w:color="auto"/>
        <w:left w:val="none" w:sz="0" w:space="0" w:color="auto"/>
        <w:bottom w:val="none" w:sz="0" w:space="0" w:color="auto"/>
        <w:right w:val="none" w:sz="0" w:space="0" w:color="auto"/>
      </w:divBdr>
    </w:div>
    <w:div w:id="21079212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unidescrip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85868-303F-004F-B355-51C69B7D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1709</Words>
  <Characters>9743</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THE AUDIO DESCRIPTION ISSUE </vt:lpstr>
      <vt:lpstr>THE NPS RESPONSE </vt:lpstr>
      <vt:lpstr>A COMPONENTS APPROACH</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11430</CharactersWithSpaces>
  <SharedDoc>false</SharedDoc>
  <HLinks>
    <vt:vector size="60" baseType="variant">
      <vt:variant>
        <vt:i4>3473518</vt:i4>
      </vt:variant>
      <vt:variant>
        <vt:i4>27</vt:i4>
      </vt:variant>
      <vt:variant>
        <vt:i4>0</vt:i4>
      </vt:variant>
      <vt:variant>
        <vt:i4>5</vt:i4>
      </vt:variant>
      <vt:variant>
        <vt:lpwstr>http://doi.acm.org/10.1145/90417.90738</vt:lpwstr>
      </vt:variant>
      <vt:variant>
        <vt:lpwstr/>
      </vt:variant>
      <vt:variant>
        <vt:i4>3735559</vt:i4>
      </vt:variant>
      <vt:variant>
        <vt:i4>24</vt:i4>
      </vt:variant>
      <vt:variant>
        <vt:i4>0</vt:i4>
      </vt:variant>
      <vt:variant>
        <vt:i4>5</vt:i4>
      </vt:variant>
      <vt:variant>
        <vt:lpwstr>http://dx.doi.org/10.1016/j.jss.2005.05.030</vt:lpwstr>
      </vt:variant>
      <vt:variant>
        <vt:lpwstr/>
      </vt:variant>
      <vt:variant>
        <vt:i4>1310784</vt:i4>
      </vt:variant>
      <vt:variant>
        <vt:i4>21</vt:i4>
      </vt:variant>
      <vt:variant>
        <vt:i4>0</vt:i4>
      </vt:variant>
      <vt:variant>
        <vt:i4>5</vt:i4>
      </vt:variant>
      <vt:variant>
        <vt:lpwstr>http://doi.acm.org/10.1145/964696.964697</vt:lpwstr>
      </vt:variant>
      <vt:variant>
        <vt:lpwstr/>
      </vt:variant>
      <vt:variant>
        <vt:i4>1310793</vt:i4>
      </vt:variant>
      <vt:variant>
        <vt:i4>18</vt:i4>
      </vt:variant>
      <vt:variant>
        <vt:i4>0</vt:i4>
      </vt:variant>
      <vt:variant>
        <vt:i4>5</vt:i4>
      </vt:variant>
      <vt:variant>
        <vt:lpwstr>http://doi.acm.org/10.1145/332040.332491</vt:lpwstr>
      </vt:variant>
      <vt:variant>
        <vt:lpwstr/>
      </vt:variant>
      <vt:variant>
        <vt:i4>2293839</vt:i4>
      </vt:variant>
      <vt:variant>
        <vt:i4>15</vt:i4>
      </vt:variant>
      <vt:variant>
        <vt:i4>0</vt:i4>
      </vt:variant>
      <vt:variant>
        <vt:i4>5</vt:i4>
      </vt:variant>
      <vt:variant>
        <vt:lpwstr>http://doi.acm.org/10.1145/161468.16147</vt:lpwstr>
      </vt:variant>
      <vt:variant>
        <vt:lpwstr/>
      </vt:variant>
      <vt:variant>
        <vt:i4>2424923</vt:i4>
      </vt:variant>
      <vt:variant>
        <vt:i4>12</vt:i4>
      </vt:variant>
      <vt:variant>
        <vt:i4>0</vt:i4>
      </vt:variant>
      <vt:variant>
        <vt:i4>5</vt:i4>
      </vt:variant>
      <vt:variant>
        <vt:lpwstr>http://library.caltech.edu/reference/abbreviations/</vt:lpwstr>
      </vt:variant>
      <vt:variant>
        <vt:lpwstr/>
      </vt:variant>
      <vt:variant>
        <vt:i4>4063268</vt:i4>
      </vt:variant>
      <vt:variant>
        <vt:i4>6</vt:i4>
      </vt:variant>
      <vt:variant>
        <vt:i4>0</vt:i4>
      </vt:variant>
      <vt:variant>
        <vt:i4>5</vt:i4>
      </vt:variant>
      <vt:variant>
        <vt:lpwstr>http://www.cast.org/udl/index.html</vt:lpwstr>
      </vt:variant>
      <vt:variant>
        <vt:lpwstr/>
      </vt:variant>
      <vt:variant>
        <vt:i4>2162698</vt:i4>
      </vt:variant>
      <vt:variant>
        <vt:i4>3</vt:i4>
      </vt:variant>
      <vt:variant>
        <vt:i4>0</vt:i4>
      </vt:variant>
      <vt:variant>
        <vt:i4>5</vt:i4>
      </vt:variant>
      <vt:variant>
        <vt:lpwstr>http://www.w3.org/TR/mwabp/</vt:lpwstr>
      </vt:variant>
      <vt:variant>
        <vt:lpwstr/>
      </vt:variant>
      <vt:variant>
        <vt:i4>7274560</vt:i4>
      </vt:variant>
      <vt:variant>
        <vt:i4>0</vt:i4>
      </vt:variant>
      <vt:variant>
        <vt:i4>0</vt:i4>
      </vt:variant>
      <vt:variant>
        <vt:i4>5</vt:i4>
      </vt:variant>
      <vt:variant>
        <vt:lpwstr>http://www.nps.gov/policy/DOrders/DOrder42.html</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Brett Oppegaard</cp:lastModifiedBy>
  <cp:revision>12</cp:revision>
  <cp:lastPrinted>2015-05-28T21:28:00Z</cp:lastPrinted>
  <dcterms:created xsi:type="dcterms:W3CDTF">2017-04-25T01:37:00Z</dcterms:created>
  <dcterms:modified xsi:type="dcterms:W3CDTF">2017-04-26T18:54:00Z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