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8e1cb054e7fe6ed3315388e01f78a7aef44c5e"/>
    <w:p>
      <w:pPr>
        <w:pStyle w:val="Heading1"/>
      </w:pPr>
      <w:r>
        <w:t xml:space="preserve">Rapport d’Analyse de Performance des Endpoints d’une API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Ce rapport présente une analyse statistique complète des temps d’exécution d’une API Go benchmarkée sur différents endpoints. Les mesures sont extraites d’un fichier CSV contenant les colonnes suivantes :</w:t>
      </w:r>
      <w:r>
        <w:t xml:space="preserve"> </w:t>
      </w:r>
      <w:r>
        <w:rPr>
          <w:rStyle w:val="VerbatimChar"/>
        </w:rPr>
        <w:t xml:space="preserve">valeur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duration_microseconds</w:t>
      </w:r>
      <w:r>
        <w:t xml:space="preserve">, et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 L’objectif est de comparer les performances des endpoints entre eux, d’identifier les valeurs aberrantes et de visualiser la distribution temporelle des traitements.</w:t>
      </w:r>
    </w:p>
    <w:bookmarkEnd w:id="20"/>
    <w:bookmarkStart w:id="21" w:name="description-des-données"/>
    <w:p>
      <w:pPr>
        <w:pStyle w:val="Heading2"/>
      </w:pPr>
      <w:r>
        <w:t xml:space="preserve">2. Description des Données</w:t>
      </w:r>
    </w:p>
    <w:p>
      <w:pPr>
        <w:pStyle w:val="FirstParagraph"/>
      </w:pPr>
      <w:r>
        <w:t xml:space="preserve">Le jeu de données comporte plusieurs types d’endpoints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vecteur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analyse_vecteur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matrice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pro_matrice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promo</w:t>
      </w:r>
    </w:p>
    <w:p>
      <w:pPr>
        <w:pStyle w:val="FirstParagraph"/>
      </w:pPr>
      <w:r>
        <w:t xml:space="preserve">Chaque ligne du fichier CSV décrit :</w:t>
      </w:r>
      <w:r>
        <w:t xml:space="preserve"> </w:t>
      </w:r>
      <w:r>
        <w:t xml:space="preserve">- un identifiant</w:t>
      </w:r>
      <w:r>
        <w:t xml:space="preserve"> </w:t>
      </w:r>
      <w:r>
        <w:rPr>
          <w:rStyle w:val="VerbatimChar"/>
        </w:rPr>
        <w:t xml:space="preserve">valeur</w:t>
      </w:r>
      <w:r>
        <w:t xml:space="preserve"> </w:t>
      </w:r>
      <w:r>
        <w:t xml:space="preserve">- le nom du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- la durée d’exécution en microsecondes</w:t>
      </w:r>
      <w:r>
        <w:t xml:space="preserve"> </w:t>
      </w:r>
      <w:r>
        <w:rPr>
          <w:rStyle w:val="VerbatimChar"/>
        </w:rPr>
        <w:t xml:space="preserve">duration_microseconds</w:t>
      </w:r>
      <w:r>
        <w:t xml:space="preserve"> </w:t>
      </w:r>
      <w:r>
        <w:t xml:space="preserve">- un code de retour HTTP</w:t>
      </w:r>
      <w:r>
        <w:t xml:space="preserve"> </w:t>
      </w:r>
      <w:r>
        <w:rPr>
          <w:rStyle w:val="VerbatimChar"/>
        </w:rPr>
        <w:t xml:space="preserve">status_code</w:t>
      </w:r>
    </w:p>
    <w:bookmarkEnd w:id="21"/>
    <w:bookmarkStart w:id="22" w:name="méthodologie"/>
    <w:p>
      <w:pPr>
        <w:pStyle w:val="Heading2"/>
      </w:pPr>
      <w:r>
        <w:t xml:space="preserve">3. Méthodologie</w:t>
      </w:r>
    </w:p>
    <w:p>
      <w:pPr>
        <w:pStyle w:val="FirstParagraph"/>
      </w:pPr>
      <w:r>
        <w:t xml:space="preserve">Les données ont été chargées avec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 et visualisées avec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. Nous avons généré :</w:t>
      </w:r>
    </w:p>
    <w:p>
      <w:pPr>
        <w:pStyle w:val="Compact"/>
        <w:numPr>
          <w:ilvl w:val="0"/>
          <w:numId w:val="1002"/>
        </w:numPr>
      </w:pPr>
      <w:r>
        <w:t xml:space="preserve">Des histogrammes par endpoint</w:t>
      </w:r>
    </w:p>
    <w:p>
      <w:pPr>
        <w:pStyle w:val="Compact"/>
        <w:numPr>
          <w:ilvl w:val="0"/>
          <w:numId w:val="1002"/>
        </w:numPr>
      </w:pPr>
      <w:r>
        <w:t xml:space="preserve">Des boîtes à moustaches (boxplots) pour visualiser les distributions</w:t>
      </w:r>
    </w:p>
    <w:p>
      <w:pPr>
        <w:pStyle w:val="Compact"/>
        <w:numPr>
          <w:ilvl w:val="0"/>
          <w:numId w:val="1002"/>
        </w:numPr>
      </w:pPr>
      <w:r>
        <w:t xml:space="preserve">Des courbes de densité (KDE) pour étudier les tendances</w:t>
      </w:r>
    </w:p>
    <w:p>
      <w:pPr>
        <w:pStyle w:val="Compact"/>
        <w:numPr>
          <w:ilvl w:val="0"/>
          <w:numId w:val="1002"/>
        </w:numPr>
      </w:pPr>
      <w:r>
        <w:t xml:space="preserve">Des courbes de répartition des temps d’exécution</w:t>
      </w:r>
    </w:p>
    <w:p>
      <w:pPr>
        <w:pStyle w:val="Compact"/>
        <w:numPr>
          <w:ilvl w:val="0"/>
          <w:numId w:val="1002"/>
        </w:numPr>
      </w:pPr>
      <w:r>
        <w:t xml:space="preserve">Une comparaison multi-endpoints sur le même graphe</w:t>
      </w:r>
    </w:p>
    <w:bookmarkEnd w:id="22"/>
    <w:bookmarkStart w:id="29" w:name="analyse-générale"/>
    <w:p>
      <w:pPr>
        <w:pStyle w:val="Heading2"/>
      </w:pPr>
      <w:r>
        <w:t xml:space="preserve">4. Analyse Générale</w:t>
      </w:r>
    </w:p>
    <w:bookmarkStart w:id="23" w:name="statistiques-globales"/>
    <w:p>
      <w:pPr>
        <w:pStyle w:val="Heading3"/>
      </w:pPr>
      <w:r>
        <w:t xml:space="preserve">4.1 Statistiques globales</w:t>
      </w:r>
    </w:p>
    <w:p>
      <w:pPr>
        <w:pStyle w:val="Compact"/>
        <w:numPr>
          <w:ilvl w:val="0"/>
          <w:numId w:val="1003"/>
        </w:numPr>
      </w:pPr>
      <w:r>
        <w:t xml:space="preserve">Min, max, moyenne et médiane pour chaque endpoint</w:t>
      </w:r>
    </w:p>
    <w:p>
      <w:pPr>
        <w:pStyle w:val="Compact"/>
        <w:numPr>
          <w:ilvl w:val="0"/>
          <w:numId w:val="1003"/>
        </w:numPr>
      </w:pPr>
      <w:r>
        <w:t xml:space="preserve">Détection de valeurs extrêmes (outliers)</w:t>
      </w:r>
    </w:p>
    <w:bookmarkEnd w:id="23"/>
    <w:bookmarkStart w:id="28" w:name="analyse-par-endpoint"/>
    <w:p>
      <w:pPr>
        <w:pStyle w:val="Heading3"/>
      </w:pPr>
      <w:r>
        <w:t xml:space="preserve">4.2 Analyse par endpoint</w:t>
      </w:r>
    </w:p>
    <w:bookmarkStart w:id="24" w:name="endpoint-vecteur"/>
    <w:p>
      <w:pPr>
        <w:pStyle w:val="Heading4"/>
      </w:pPr>
      <w:r>
        <w:t xml:space="preserve">Endpoint :</w:t>
      </w:r>
      <w:r>
        <w:t xml:space="preserve"> </w:t>
      </w:r>
      <w:r>
        <w:rPr>
          <w:rStyle w:val="VerbatimChar"/>
        </w:rPr>
        <w:t xml:space="preserve">vecteur</w:t>
      </w:r>
    </w:p>
    <w:p>
      <w:pPr>
        <w:pStyle w:val="Compact"/>
        <w:numPr>
          <w:ilvl w:val="0"/>
          <w:numId w:val="1004"/>
        </w:numPr>
      </w:pPr>
      <w:r>
        <w:t xml:space="preserve">Durées très faibles en général (autour de 2 à 30 µs)</w:t>
      </w:r>
    </w:p>
    <w:p>
      <w:pPr>
        <w:pStyle w:val="Compact"/>
        <w:numPr>
          <w:ilvl w:val="0"/>
          <w:numId w:val="1004"/>
        </w:numPr>
      </w:pPr>
      <w:r>
        <w:t xml:space="preserve">Stables sauf rares pics à 60 µs</w:t>
      </w:r>
    </w:p>
    <w:bookmarkEnd w:id="24"/>
    <w:bookmarkStart w:id="25" w:name="endpoint-analyse_vecteur"/>
    <w:p>
      <w:pPr>
        <w:pStyle w:val="Heading4"/>
      </w:pPr>
      <w:r>
        <w:t xml:space="preserve">Endpoint :</w:t>
      </w:r>
      <w:r>
        <w:t xml:space="preserve"> </w:t>
      </w:r>
      <w:r>
        <w:rPr>
          <w:rStyle w:val="VerbatimChar"/>
        </w:rPr>
        <w:t xml:space="preserve">analyse_vecteur</w:t>
      </w:r>
    </w:p>
    <w:p>
      <w:pPr>
        <w:pStyle w:val="Compact"/>
        <w:numPr>
          <w:ilvl w:val="0"/>
          <w:numId w:val="1005"/>
        </w:numPr>
      </w:pPr>
      <w:r>
        <w:t xml:space="preserve">Deux sous-groupes : valeurs rapides (2 à 60 µs) et lentes (jusqu’à 1880 µs et plus)</w:t>
      </w:r>
    </w:p>
    <w:p>
      <w:pPr>
        <w:pStyle w:val="Compact"/>
        <w:numPr>
          <w:ilvl w:val="0"/>
          <w:numId w:val="1005"/>
        </w:numPr>
      </w:pPr>
      <w:r>
        <w:t xml:space="preserve">Plusieurs codes 500 suggèrent des échecs dans certains cas (anomalies)</w:t>
      </w:r>
    </w:p>
    <w:bookmarkEnd w:id="25"/>
    <w:bookmarkStart w:id="26" w:name="endpoint-matrice-vs-pro_matrice"/>
    <w:p>
      <w:pPr>
        <w:pStyle w:val="Heading4"/>
      </w:pPr>
      <w:r>
        <w:t xml:space="preserve">Endpoint :</w:t>
      </w:r>
      <w:r>
        <w:t xml:space="preserve"> </w:t>
      </w:r>
      <w:r>
        <w:rPr>
          <w:rStyle w:val="VerbatimChar"/>
        </w:rPr>
        <w:t xml:space="preserve">matrice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pro_matrice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matrice</w:t>
      </w:r>
      <w:r>
        <w:t xml:space="preserve"> </w:t>
      </w:r>
      <w:r>
        <w:t xml:space="preserve">: croissance modérée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pro_matrice</w:t>
      </w:r>
      <w:r>
        <w:t xml:space="preserve"> </w:t>
      </w:r>
      <w:r>
        <w:t xml:space="preserve">: très forte variance, avec des temps pouvant atteindre 9 secondes</w:t>
      </w:r>
    </w:p>
    <w:bookmarkEnd w:id="26"/>
    <w:bookmarkStart w:id="27" w:name="endpoint-promo"/>
    <w:p>
      <w:pPr>
        <w:pStyle w:val="Heading4"/>
      </w:pPr>
      <w:r>
        <w:t xml:space="preserve">Endpoint :</w:t>
      </w:r>
      <w:r>
        <w:t xml:space="preserve"> </w:t>
      </w:r>
      <w:r>
        <w:rPr>
          <w:rStyle w:val="VerbatimChar"/>
        </w:rPr>
        <w:t xml:space="preserve">promo</w:t>
      </w:r>
    </w:p>
    <w:p>
      <w:pPr>
        <w:pStyle w:val="Compact"/>
        <w:numPr>
          <w:ilvl w:val="0"/>
          <w:numId w:val="1007"/>
        </w:numPr>
      </w:pPr>
      <w:r>
        <w:t xml:space="preserve">Temps très homogènes (15 à 113 µs), stable, sans outlier majeur</w:t>
      </w:r>
    </w:p>
    <w:bookmarkEnd w:id="27"/>
    <w:bookmarkEnd w:id="28"/>
    <w:bookmarkEnd w:id="29"/>
    <w:bookmarkStart w:id="33" w:name="visualisations"/>
    <w:p>
      <w:pPr>
        <w:pStyle w:val="Heading2"/>
      </w:pPr>
      <w:r>
        <w:t xml:space="preserve">5. Visualisations</w:t>
      </w:r>
    </w:p>
    <w:bookmarkStart w:id="30" w:name="comparaison-globale"/>
    <w:p>
      <w:pPr>
        <w:pStyle w:val="Heading3"/>
      </w:pPr>
      <w:r>
        <w:t xml:space="preserve">5.1 Comparaison globale</w:t>
      </w:r>
    </w:p>
    <w:p>
      <w:pPr>
        <w:pStyle w:val="Compact"/>
        <w:numPr>
          <w:ilvl w:val="0"/>
          <w:numId w:val="1008"/>
        </w:numPr>
      </w:pPr>
      <w:r>
        <w:t xml:space="preserve">Graphe en barres pour chaque endpoint (temps moyen)</w:t>
      </w:r>
    </w:p>
    <w:p>
      <w:pPr>
        <w:pStyle w:val="Compact"/>
        <w:numPr>
          <w:ilvl w:val="0"/>
          <w:numId w:val="1008"/>
        </w:numPr>
      </w:pPr>
      <w:r>
        <w:t xml:space="preserve">Boxplot comparatif multi-endpoints</w:t>
      </w:r>
    </w:p>
    <w:p>
      <w:pPr>
        <w:pStyle w:val="Compact"/>
        <w:numPr>
          <w:ilvl w:val="0"/>
          <w:numId w:val="1008"/>
        </w:numPr>
      </w:pPr>
      <w:r>
        <w:t xml:space="preserve">Histogrammes superposés</w:t>
      </w:r>
    </w:p>
    <w:bookmarkEnd w:id="30"/>
    <w:bookmarkStart w:id="31" w:name="analyse-temporelle"/>
    <w:p>
      <w:pPr>
        <w:pStyle w:val="Heading3"/>
      </w:pPr>
      <w:r>
        <w:t xml:space="preserve">5.2 Analyse temporelle</w:t>
      </w:r>
    </w:p>
    <w:p>
      <w:pPr>
        <w:pStyle w:val="Compact"/>
        <w:numPr>
          <w:ilvl w:val="0"/>
          <w:numId w:val="1009"/>
        </w:numPr>
      </w:pPr>
      <w:r>
        <w:t xml:space="preserve">Graphe linéaire des durées par ordre croissant</w:t>
      </w:r>
    </w:p>
    <w:p>
      <w:pPr>
        <w:pStyle w:val="Compact"/>
        <w:numPr>
          <w:ilvl w:val="0"/>
          <w:numId w:val="1009"/>
        </w:numPr>
      </w:pPr>
      <w:r>
        <w:t xml:space="preserve">Densités KDE</w:t>
      </w:r>
    </w:p>
    <w:bookmarkEnd w:id="31"/>
    <w:bookmarkStart w:id="32" w:name="outliers"/>
    <w:p>
      <w:pPr>
        <w:pStyle w:val="Heading3"/>
      </w:pPr>
      <w:r>
        <w:t xml:space="preserve">5.3 Outliers</w:t>
      </w:r>
    </w:p>
    <w:p>
      <w:pPr>
        <w:pStyle w:val="Compact"/>
        <w:numPr>
          <w:ilvl w:val="0"/>
          <w:numId w:val="1010"/>
        </w:numPr>
      </w:pPr>
      <w:r>
        <w:t xml:space="preserve">Diagrammes par endpoint pour repérer les anomalies</w:t>
      </w:r>
    </w:p>
    <w:bookmarkEnd w:id="32"/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L’analyse met en évidence des comportements hétérogènes entre endpoints.</w:t>
      </w:r>
      <w:r>
        <w:t xml:space="preserve"> </w:t>
      </w:r>
      <w:r>
        <w:rPr>
          <w:rStyle w:val="VerbatimChar"/>
        </w:rPr>
        <w:t xml:space="preserve">pro_matrice</w:t>
      </w:r>
      <w:r>
        <w:t xml:space="preserve"> </w:t>
      </w:r>
      <w:r>
        <w:t xml:space="preserve">montre les pires performances et la plus forte variance, tandis que</w:t>
      </w:r>
      <w:r>
        <w:t xml:space="preserve"> </w:t>
      </w:r>
      <w:r>
        <w:rPr>
          <w:rStyle w:val="VerbatimChar"/>
        </w:rPr>
        <w:t xml:space="preserve">promo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vecteur</w:t>
      </w:r>
      <w:r>
        <w:t xml:space="preserve"> </w:t>
      </w:r>
      <w:r>
        <w:t xml:space="preserve">sont les plus stables. Les erreurs 500 pour</w:t>
      </w:r>
      <w:r>
        <w:t xml:space="preserve"> </w:t>
      </w:r>
      <w:r>
        <w:rPr>
          <w:rStyle w:val="VerbatimChar"/>
        </w:rPr>
        <w:t xml:space="preserve">analyse_vecteur</w:t>
      </w:r>
      <w:r>
        <w:t xml:space="preserve"> </w:t>
      </w:r>
      <w:r>
        <w:t xml:space="preserve">doivent être investiguées. Ce rapport peut servir à orienter les efforts d’optimisation et de refactoring de l’API.</w:t>
      </w:r>
    </w:p>
    <w:bookmarkEnd w:id="34"/>
    <w:bookmarkStart w:id="35" w:name="recommandations"/>
    <w:p>
      <w:pPr>
        <w:pStyle w:val="Heading2"/>
      </w:pPr>
      <w:r>
        <w:t xml:space="preserve">7. Recommandations</w:t>
      </w:r>
    </w:p>
    <w:p>
      <w:pPr>
        <w:pStyle w:val="Compact"/>
        <w:numPr>
          <w:ilvl w:val="0"/>
          <w:numId w:val="1011"/>
        </w:numPr>
      </w:pPr>
      <w:r>
        <w:t xml:space="preserve">Investiguer les causes des codes</w:t>
      </w:r>
      <w:r>
        <w:t xml:space="preserve"> </w:t>
      </w:r>
      <w:r>
        <w:rPr>
          <w:rStyle w:val="VerbatimChar"/>
        </w:rPr>
        <w:t xml:space="preserve">500</w:t>
      </w:r>
    </w:p>
    <w:p>
      <w:pPr>
        <w:pStyle w:val="Compact"/>
        <w:numPr>
          <w:ilvl w:val="0"/>
          <w:numId w:val="1011"/>
        </w:numPr>
      </w:pPr>
      <w:r>
        <w:t xml:space="preserve">Ajouter du monitoring/alerting</w:t>
      </w:r>
    </w:p>
    <w:p>
      <w:pPr>
        <w:pStyle w:val="Compact"/>
        <w:numPr>
          <w:ilvl w:val="0"/>
          <w:numId w:val="1011"/>
        </w:numPr>
      </w:pPr>
      <w:r>
        <w:t xml:space="preserve">Mettre en cache les résultats pour les appels très longs (</w:t>
      </w:r>
      <w:r>
        <w:rPr>
          <w:rStyle w:val="VerbatimChar"/>
        </w:rPr>
        <w:t xml:space="preserve">pro_matrice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Optimiser les algorithmes pour</w:t>
      </w:r>
      <w:r>
        <w:t xml:space="preserve"> </w:t>
      </w:r>
      <w:r>
        <w:rPr>
          <w:rStyle w:val="VerbatimChar"/>
        </w:rPr>
        <w:t xml:space="preserve">analyse_vecteur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pro_matrice</w:t>
      </w:r>
    </w:p>
    <w:bookmarkEnd w:id="35"/>
    <w:bookmarkStart w:id="36" w:name="annexes"/>
    <w:p>
      <w:pPr>
        <w:pStyle w:val="Heading2"/>
      </w:pPr>
      <w:r>
        <w:t xml:space="preserve">8. Annexes</w:t>
      </w:r>
    </w:p>
    <w:p>
      <w:pPr>
        <w:pStyle w:val="Compact"/>
        <w:numPr>
          <w:ilvl w:val="0"/>
          <w:numId w:val="1012"/>
        </w:numPr>
      </w:pPr>
      <w:r>
        <w:t xml:space="preserve">Fichier</w:t>
      </w:r>
      <w:r>
        <w:t xml:space="preserve"> </w:t>
      </w:r>
      <w:r>
        <w:rPr>
          <w:rStyle w:val="VerbatimChar"/>
        </w:rPr>
        <w:t xml:space="preserve">benchmark.csv</w:t>
      </w:r>
    </w:p>
    <w:p>
      <w:pPr>
        <w:pStyle w:val="Compact"/>
        <w:numPr>
          <w:ilvl w:val="0"/>
          <w:numId w:val="1012"/>
        </w:numPr>
      </w:pPr>
      <w:r>
        <w:t xml:space="preserve">Scripts Python utilisés pour l’analyse</w:t>
      </w:r>
    </w:p>
    <w:p>
      <w:pPr>
        <w:pStyle w:val="Compact"/>
        <w:numPr>
          <w:ilvl w:val="0"/>
          <w:numId w:val="1012"/>
        </w:numPr>
      </w:pPr>
      <w:r>
        <w:t xml:space="preserve">Graphiques PNG générés (histogrammes, boxplots, KDE)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Auteur :</w:t>
      </w:r>
      <w:r>
        <w:t xml:space="preserve"> </w:t>
      </w:r>
      <w:r>
        <w:t xml:space="preserve">Montassar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Juillet 2025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2025-07-19T02:44:38Z</dcterms:created>
  <dcterms:modified xsi:type="dcterms:W3CDTF">2025-07-19T02:44:38Z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