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Meta Ads Campaign — Coaching Recommendations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Blue Ocean AI Agency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Based on Brooks Van Norman coaching session — March 24, 2026</w:t>
      </w:r>
    </w:p>
    <w:p>
      <w:pPr>
        <w:pStyle w:val="Heading1"/>
      </w:pPr>
      <w:r>
        <w:t xml:space="preserve">Context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following recommendations were provided by Brooks Van Norman (ads specialist and program mentor) in response to a review of the current Project Pro Construction Leads Meta ads campaign. The campaign was running $50 CAD/day across three ad sets with ~90 creatives total, directing traffic to a landing page and then off to the client's website for credit card registration. Performance was limited. These notes are intended for the ads manager to action immediately.</w:t>
      </w:r>
    </w:p>
    <w:p>
      <w:pPr>
        <w:pStyle w:val="Heading1"/>
      </w:pPr>
      <w:r>
        <w:t xml:space="preserve">Key Problems Identified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 many creatives for the budget — algorithm can't optimize with $50/day spread across 3 ad sets and 90 creatives.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ad sets are competing against each other (audience overlap), killing algorithm efficiency.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Sending traffic off-platform to a landing page creates too much friction — mobile page load issues confirmed this is a conversion leak.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ask (credit card registration) is too high-friction for cold traffic at this budget level.</w:t>
      </w:r>
    </w:p>
    <w:p>
      <w:pPr>
        <w:pStyle w:val="Heading1"/>
      </w:pPr>
      <w:r>
        <w:t xml:space="preserve">Recommended Action Plan — SOP</w:t>
      </w:r>
    </w:p>
    <w:p>
      <w:pPr>
        <w:pStyle w:val="Heading2"/>
      </w:pPr>
      <w:r>
        <w:t xml:space="preserve">1. Consolidate to One Ad 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 all current ad sets except one. Run a single ad set at the full $50/day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algorithm needs concentrated spend to learn and optimize. Splitting across multiple ad sets at this budget level starves each one.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Note: The Andromeda update (Meta's AI creative optimization) only works effectively with large budgets. At $50/day, one sharp ad set is the right move.</w:t>
      </w:r>
    </w:p>
    <w:p>
      <w:pPr>
        <w:pStyle w:val="Heading2"/>
      </w:pPr>
      <w:r>
        <w:t xml:space="preserve">2. Reduce Creative Volume — Focus on 4–7 Strong Angles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 back to 4–7 creatives total. Each should test a distinct pain point angle.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Creative format: simple, scroll-stopping static images — bright color, bold text. No fancy design.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Body copy stays the same across all creatives. Differentiate only at the creative/hook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Creative mix breakdown: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70–80%: Pain/outcome-based hooks (e.g. "Tired of competing on bid boards with 10 other suppliers?")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20–30%: Identity-based hooks (e.g. messaging that speaks to who they are as a professional)</w:t>
      </w:r>
    </w:p>
    <w:p>
      <w:pPr>
        <w:pStyle w:val="Heading2"/>
      </w:pPr>
      <w:r>
        <w:t xml:space="preserve">3. Use a Contrarian Hook in Creative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Brooks's recommended framework for this ICP: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with what they currently do that isn't working, then flip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Example for this client: "If you think your next client is coming from a bid board — stop. Here's what leading distributors are doing instead."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contrarian hook interrupts the scroll and triggers curiosity without being gimmicky.</w:t>
      </w:r>
    </w:p>
    <w:p>
      <w:pPr>
        <w:pStyle w:val="Heading2"/>
      </w:pPr>
      <w:r>
        <w:t xml:space="preserve">4. Switch to Native Lead Forms (Stop Sending Off-Platform)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the landing page / external website redirect with a Meta native lead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eliminates the off-platform friction that was causing confirmed mobile drop-off.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form should capture: First name, email, phone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one qualifying gating question: "Do you have your own sales team? Yes / No"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"No" responses get filtered out. Helps train the pixel to find more of the right leads.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"Yes" responses go into follow-up sequence immediately.</w:t>
      </w:r>
    </w:p>
    <w:p>
      <w:pPr>
        <w:pStyle w:val="Heading2"/>
      </w:pPr>
      <w:r>
        <w:t xml:space="preserve">5. Reframe the Offer in Ad Copy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Don't lead with "30-day free trial" or credit card registration — too much ask for cold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Reframe the CTA around the outcome/guarantee: "Get access to 100+ active construction bids before they hit public boards."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Suggested CTA framing: "Click to see if you qualify" — keeps friction low and adds perceived exclusivity.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goal of the ad is to get the lead form filled out — not to close the trial sign-up. Sales team handles conversion from there.</w:t>
      </w:r>
    </w:p>
    <w:p>
      <w:pPr>
        <w:pStyle w:val="Heading2"/>
      </w:pPr>
      <w:r>
        <w:t xml:space="preserve">6. Build a Hard Follow-Up System for Inbound Leads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Expect some junk leads from native forms (bad phone numbers, personal emails). That's normal.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a follow-up sequence combining: email, SMS, and phone calls.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Brooks's benchmark: 10–15% of leads will self-book a call. SDR outreach to the remainder can bring total booked calls to 20–30% of all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Resulting cost-per-booked-call at this stage: approximately $200–$800 CAD depending on quality filters.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SDR resource mentioned: Brooks dropped the company name in the session chat — check the recording for the link.</w:t>
      </w:r>
    </w:p>
    <w:p>
      <w:pPr>
        <w:pStyle w:val="Heading2"/>
      </w:pPr>
      <w:r>
        <w:t xml:space="preserve">7. Optional Upgrade — Business Email Gating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Meta allows you to require a business email address on lead forms (checkbox option in form settings).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roughly doubles cost-per-lead, but significantly improves lead quality. Worth testing once baseline volume is established.</w:t>
      </w:r>
    </w:p>
    <w:p>
      <w:pPr>
        <w:pStyle w:val="Heading1"/>
      </w:pPr>
      <w:r>
        <w:t xml:space="preserve">Summary — Priority Changes for Ads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00"/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to 1 ad set, full $50/day budget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 4–7 creatives — pain/outcome + 1–2 identity hooks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contrarian hook format in creative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landing page with Meta native lead form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qualifying question: "Do you have a sales team? Y/N"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Reframe offer CTA — outcome/guarantee framing, not trial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email + SMS + phone follow-up sequence for leads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SDR resource (see session chat)</w:t>
            </w:r>
          </w:p>
        </w:tc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07000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16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business email gating for lead quality improvement</w:t>
            </w:r>
          </w:p>
        </w:tc>
        <w:tc>
          <w:tcPr>
            <w:tcW w:type="dxa" w:w="3600"/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After baseline established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Brooks Van Norman — Ads Coaching Session, March 24, 2026. Segment begins at ~15:33 in the recording.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2026-03-24T15:40:29.520Z</dcterms:created>
  <dcterms:modified xsi:type="dcterms:W3CDTF">2026-03-24T15:40:29.521Z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