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600"/>
      </w:pPr>
    </w:p>
    <w:p>
      <w:pPr>
        <w:spacing w:after="80"/>
        <w:jc w:val="center"/>
      </w:pPr>
      <w:r>
        <w:rPr>
          <w:rFonts w:ascii="Arial" w:cs="Arial" w:eastAsia="Arial" w:hAnsi="Arial"/>
          <w:b/>
          <w:bCs/>
          <w:color w:val="628CA3"/>
          <w:sz w:val="44"/>
          <w:szCs w:val="44"/>
        </w:rPr>
        <w:t xml:space="preserve">SCIENTIFIC DATA SYSTEMS</w:t>
      </w:r>
    </w:p>
    <w:p>
      <w:pPr>
        <w:spacing w:after="40"/>
        <w:jc w:val="center"/>
      </w:pPr>
      <w:r>
        <w:rPr>
          <w:rFonts w:ascii="Arial" w:cs="Arial" w:eastAsia="Arial" w:hAnsi="Arial"/>
          <w:color w:val="4B86B4"/>
          <w:sz w:val="36"/>
          <w:szCs w:val="36"/>
        </w:rPr>
        <w:t xml:space="preserve">Website Redesign</w:t>
      </w:r>
    </w:p>
    <w:p>
      <w:pPr>
        <w:spacing w:after="40"/>
        <w:jc w:val="center"/>
      </w:pPr>
      <w:r>
        <w:rPr>
          <w:rFonts w:ascii="Arial" w:cs="Arial" w:eastAsia="Arial" w:hAnsi="Arial"/>
          <w:color w:val="4B86B4"/>
          <w:sz w:val="36"/>
          <w:szCs w:val="36"/>
        </w:rPr>
        <w:t xml:space="preserve">Update Recommendations</w:t>
      </w:r>
    </w:p>
    <w:p>
      <w:pPr>
        <w:pBdr>
          <w:bottom w:val="single" w:color="C6A92B" w:sz="6" w:space="12"/>
        </w:pBdr>
        <w:spacing w:after="200"/>
        <w:jc w:val="center"/>
      </w:pPr>
    </w:p>
    <w:p>
      <w:pPr>
        <w:spacing w:after="60"/>
        <w:jc w:val="center"/>
      </w:pPr>
      <w:r>
        <w:rPr>
          <w:rFonts w:ascii="Arial" w:cs="Arial" w:eastAsia="Arial" w:hAnsi="Arial"/>
          <w:i/>
          <w:iCs/>
          <w:color w:val="C6A92B"/>
          <w:sz w:val="24"/>
          <w:szCs w:val="24"/>
        </w:rPr>
        <w:t xml:space="preserve">Aligned to the 2026 Brand Voice Manifesto</w:t>
      </w:r>
    </w:p>
    <w:p>
      <w:pPr>
        <w:spacing w:after="60"/>
        <w:jc w:val="center"/>
      </w:pPr>
      <w:r>
        <w:rPr>
          <w:rFonts w:ascii="Arial" w:cs="Arial" w:eastAsia="Arial" w:hAnsi="Arial"/>
          <w:i/>
          <w:iCs/>
          <w:color w:val="C6A92B"/>
          <w:sz w:val="24"/>
          <w:szCs w:val="24"/>
        </w:rPr>
        <w:t xml:space="preserve">&amp; Warrior Platform Messaging</w:t>
      </w:r>
    </w:p>
    <w:p>
      <w:pPr>
        <w:spacing w:after="200"/>
        <w:jc w:val="center"/>
      </w:pPr>
      <w:r>
        <w:rPr>
          <w:rFonts w:ascii="Arial" w:cs="Arial" w:eastAsia="Arial" w:hAnsi="Arial"/>
          <w:color w:val="3498DB"/>
          <w:sz w:val="22"/>
          <w:szCs w:val="22"/>
        </w:rPr>
        <w:t xml:space="preserve">sdsdata.lovable.app</w:t>
      </w:r>
    </w:p>
    <w:p>
      <w:pPr>
        <w:spacing w:after="60"/>
        <w:jc w:val="center"/>
      </w:pPr>
      <w:r>
        <w:rPr>
          <w:rFonts w:ascii="Arial" w:cs="Arial" w:eastAsia="Arial" w:hAnsi="Arial"/>
          <w:color w:val="888888"/>
          <w:sz w:val="22"/>
          <w:szCs w:val="22"/>
        </w:rPr>
        <w:t xml:space="preserve">Prepared: April 2026</w:t>
      </w:r>
    </w:p>
    <w:p>
      <w:r>
        <w:br w:type="page"/>
      </w:r>
    </w:p>
    <w:p>
      <w:pPr>
        <w:pStyle w:val="Heading1"/>
      </w:pPr>
      <w:r>
        <w:t xml:space="preserve">1. Logo — SDS</w:t>
      </w:r>
    </w:p>
    <w:p>
      <w:pPr>
        <w:spacing w:after="120"/>
      </w:pPr>
      <w:r>
        <w:rPr>
          <w:rFonts w:ascii="Arial" w:cs="Arial" w:eastAsia="Arial" w:hAnsi="Arial"/>
          <w:color w:val="1A2A3A"/>
          <w:sz w:val="22"/>
          <w:szCs w:val="22"/>
        </w:rPr>
        <w:t xml:space="preserve">The SDS logo should anchor the top-left corner of every page and serve as the primary trust signal. Recommendations for the Lovable site:</w:t>
      </w:r>
    </w:p>
    <w:p>
      <w:pPr>
        <w:spacing w:after="60" w:before="60"/>
      </w:pPr>
    </w:p>
    <w:p>
      <w:pPr>
        <w:spacing w:after="120"/>
      </w:pPr>
      <w:r>
        <w:rPr>
          <w:rFonts w:ascii="Arial" w:cs="Arial" w:eastAsia="Arial" w:hAnsi="Arial"/>
          <w:b/>
          <w:bCs/>
          <w:color w:val="4B86B4"/>
          <w:sz w:val="22"/>
          <w:szCs w:val="22"/>
        </w:rPr>
        <w:t xml:space="preserve">Primary Logo Mark: </w:t>
      </w:r>
      <w:r>
        <w:rPr>
          <w:rFonts w:ascii="Arial" w:cs="Arial" w:eastAsia="Arial" w:hAnsi="Arial"/>
          <w:color w:val="1A2A3A"/>
          <w:sz w:val="22"/>
          <w:szCs w:val="22"/>
        </w:rPr>
        <w:t xml:space="preserve">"SDS" lettermark in white (#FFFFFF) against the Slate Base (#628CA3) navigation bar. Letters should feel weighted and intentional, reflecting the "Rugged Tech" identity pillar.</w:t>
      </w:r>
    </w:p>
    <w:p>
      <w:pPr>
        <w:spacing w:after="120"/>
      </w:pPr>
      <w:r>
        <w:rPr>
          <w:rFonts w:ascii="Arial" w:cs="Arial" w:eastAsia="Arial" w:hAnsi="Arial"/>
          <w:b/>
          <w:bCs/>
          <w:color w:val="4B86B4"/>
          <w:sz w:val="22"/>
          <w:szCs w:val="22"/>
        </w:rPr>
        <w:t xml:space="preserve">Logo Lockup: </w:t>
      </w:r>
      <w:r>
        <w:rPr>
          <w:rFonts w:ascii="Arial" w:cs="Arial" w:eastAsia="Arial" w:hAnsi="Arial"/>
          <w:color w:val="1A2A3A"/>
          <w:sz w:val="22"/>
          <w:szCs w:val="22"/>
        </w:rPr>
        <w:t xml:space="preserve">Below or beside the lettermark, include the full name "Scientific Data Systems" in Steel Mid-Blue (#4B86B4) at a smaller weight. On mobile, collapse to the SDS lettermark only.</w:t>
      </w:r>
    </w:p>
    <w:p>
      <w:pPr>
        <w:spacing w:after="120"/>
      </w:pPr>
      <w:r>
        <w:rPr>
          <w:rFonts w:ascii="Arial" w:cs="Arial" w:eastAsia="Arial" w:hAnsi="Arial"/>
          <w:b/>
          <w:bCs/>
          <w:color w:val="4B86B4"/>
          <w:sz w:val="22"/>
          <w:szCs w:val="22"/>
        </w:rPr>
        <w:t xml:space="preserve">Favicon / App Icon: </w:t>
      </w:r>
      <w:r>
        <w:rPr>
          <w:rFonts w:ascii="Arial" w:cs="Arial" w:eastAsia="Arial" w:hAnsi="Arial"/>
          <w:color w:val="1A2A3A"/>
          <w:sz w:val="22"/>
          <w:szCs w:val="22"/>
        </w:rPr>
        <w:t xml:space="preserve">SDS monogram with a gold (#C6A92B) accent stroke to convey precision and heritage.</w:t>
      </w:r>
    </w:p>
    <w:p>
      <w:pPr>
        <w:spacing w:after="120"/>
      </w:pPr>
      <w:r>
        <w:rPr>
          <w:rFonts w:ascii="Arial" w:cs="Arial" w:eastAsia="Arial" w:hAnsi="Arial"/>
          <w:b/>
          <w:bCs/>
          <w:color w:val="4B86B4"/>
          <w:sz w:val="22"/>
          <w:szCs w:val="22"/>
        </w:rPr>
        <w:t xml:space="preserve">Usage Rule: </w:t>
      </w:r>
      <w:r>
        <w:rPr>
          <w:rFonts w:ascii="Arial" w:cs="Arial" w:eastAsia="Arial" w:hAnsi="Arial"/>
          <w:color w:val="1A2A3A"/>
          <w:sz w:val="22"/>
          <w:szCs w:val="22"/>
        </w:rPr>
        <w:t xml:space="preserve">The logo should never appear on a busy background without a solid Slate Base container. Maintain generous clear space equal to the height of the "S" character on all sides.</w:t>
      </w:r>
    </w:p>
    <w:p>
      <w:pPr>
        <w:spacing w:after="120"/>
      </w:pPr>
      <w:r>
        <w:rPr>
          <w:rFonts w:ascii="Arial" w:cs="Arial" w:eastAsia="Arial" w:hAnsi="Arial"/>
          <w:b/>
          <w:bCs/>
          <w:color w:val="4B86B4"/>
          <w:sz w:val="22"/>
          <w:szCs w:val="22"/>
        </w:rPr>
        <w:t xml:space="preserve">Brand Voice Alignment: </w:t>
      </w:r>
      <w:r>
        <w:rPr>
          <w:rFonts w:ascii="Arial" w:cs="Arial" w:eastAsia="Arial" w:hAnsi="Arial"/>
          <w:color w:val="1A2A3A"/>
          <w:sz w:val="22"/>
          <w:szCs w:val="22"/>
        </w:rPr>
        <w:t xml:space="preserve">The manifesto calls for visuals that are "high-contrast and industrial" with words that feel "weighted and intentional." The logo treatment should embody digital precision for a physical world.</w:t>
      </w:r>
    </w:p>
    <w:p>
      <w:pPr>
        <w:pBdr>
          <w:bottom w:val="single" w:color="C6A92B" w:sz="4" w:space="8"/>
        </w:pBdr>
        <w:spacing w:after="200" w:before="200"/>
      </w:pPr>
    </w:p>
    <w:p>
      <w:pPr>
        <w:pStyle w:val="Heading1"/>
      </w:pPr>
      <w:r>
        <w:t xml:space="preserve">2. Brand Colors</w:t>
      </w:r>
    </w:p>
    <w:p>
      <w:pPr>
        <w:spacing w:after="120"/>
      </w:pPr>
      <w:r>
        <w:rPr>
          <w:rFonts w:ascii="Arial" w:cs="Arial" w:eastAsia="Arial" w:hAnsi="Arial"/>
          <w:color w:val="1A2A3A"/>
          <w:sz w:val="22"/>
          <w:szCs w:val="22"/>
        </w:rPr>
        <w:t xml:space="preserve">The color system below is derived from the brand guide and should be implemented as CSS custom properties across the entire Lovable site. Each color has a defined role.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800"/>
        <w:gridCol w:w="2760"/>
      </w:tblGrid>
      <w:tr>
        <w:trPr>
          <w:tblHeader/>
        </w:trPr>
        <w:tc>
          <w:tcPr>
            <w:tcW w:type="dxa" w:w="2200"/>
            <w:tcBorders>
              <w:top w:val="single" w:color="D0D8E0" w:sz="1"/>
              <w:left w:val="single" w:color="D0D8E0" w:sz="1"/>
              <w:bottom w:val="single" w:color="D0D8E0" w:sz="1"/>
              <w:right w:val="single" w:color="D0D8E0" w:sz="1"/>
            </w:tcBorders>
            <w:shd w:fill="628CA3" w:val="clear"/>
            <w:tcMar>
              <w:top w:type="dxa" w:w="80"/>
              <w:left w:type="dxa" w:w="120"/>
              <w:bottom w:type="dxa" w:w="80"/>
              <w:right w:type="dxa" w:w="120"/>
            </w:tcMar>
          </w:tcPr>
          <w:p>
            <w:r>
              <w:rPr>
                <w:rFonts w:ascii="Arial" w:cs="Arial" w:eastAsia="Arial" w:hAnsi="Arial"/>
                <w:b/>
                <w:bCs/>
                <w:color w:val="FFFFFF"/>
                <w:sz w:val="20"/>
                <w:szCs w:val="20"/>
              </w:rPr>
              <w:t xml:space="preserve">Color Name</w:t>
            </w:r>
          </w:p>
        </w:tc>
        <w:tc>
          <w:tcPr>
            <w:tcW w:type="dxa" w:w="1600"/>
            <w:tcBorders>
              <w:top w:val="single" w:color="D0D8E0" w:sz="1"/>
              <w:left w:val="single" w:color="D0D8E0" w:sz="1"/>
              <w:bottom w:val="single" w:color="D0D8E0" w:sz="1"/>
              <w:right w:val="single" w:color="D0D8E0" w:sz="1"/>
            </w:tcBorders>
            <w:shd w:fill="628CA3"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2800"/>
            <w:tcBorders>
              <w:top w:val="single" w:color="D0D8E0" w:sz="1"/>
              <w:left w:val="single" w:color="D0D8E0" w:sz="1"/>
              <w:bottom w:val="single" w:color="D0D8E0" w:sz="1"/>
              <w:right w:val="single" w:color="D0D8E0" w:sz="1"/>
            </w:tcBorders>
            <w:shd w:fill="628CA3" w:val="clear"/>
            <w:tcMar>
              <w:top w:type="dxa" w:w="80"/>
              <w:left w:type="dxa" w:w="120"/>
              <w:bottom w:type="dxa" w:w="80"/>
              <w:right w:type="dxa" w:w="120"/>
            </w:tcMar>
          </w:tcPr>
          <w:p>
            <w:r>
              <w:rPr>
                <w:rFonts w:ascii="Arial" w:cs="Arial" w:eastAsia="Arial" w:hAnsi="Arial"/>
                <w:b/>
                <w:bCs/>
                <w:color w:val="FFFFFF"/>
                <w:sz w:val="20"/>
                <w:szCs w:val="20"/>
              </w:rPr>
              <w:t xml:space="preserve">Role on Website</w:t>
            </w:r>
          </w:p>
        </w:tc>
        <w:tc>
          <w:tcPr>
            <w:tcW w:type="dxa" w:w="2760"/>
            <w:tcBorders>
              <w:top w:val="single" w:color="D0D8E0" w:sz="1"/>
              <w:left w:val="single" w:color="D0D8E0" w:sz="1"/>
              <w:bottom w:val="single" w:color="D0D8E0" w:sz="1"/>
              <w:right w:val="single" w:color="D0D8E0" w:sz="1"/>
            </w:tcBorders>
            <w:shd w:fill="628CA3" w:val="clear"/>
            <w:tcMar>
              <w:top w:type="dxa" w:w="80"/>
              <w:left w:type="dxa" w:w="120"/>
              <w:bottom w:type="dxa" w:w="80"/>
              <w:right w:type="dxa" w:w="120"/>
            </w:tcMar>
          </w:tcPr>
          <w:p>
            <w:r>
              <w:rPr>
                <w:rFonts w:ascii="Arial" w:cs="Arial" w:eastAsia="Arial" w:hAnsi="Arial"/>
                <w:b/>
                <w:bCs/>
                <w:color w:val="FFFFFF"/>
                <w:sz w:val="20"/>
                <w:szCs w:val="20"/>
              </w:rPr>
              <w:t xml:space="preserve">CSS Variable</w:t>
            </w:r>
          </w:p>
        </w:tc>
      </w:tr>
      <w:tr>
        <w:tc>
          <w:tcPr>
            <w:tcW w:type="dxa" w:w="220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Arial" w:cs="Arial" w:eastAsia="Arial" w:hAnsi="Arial"/>
                <w:color w:val="1A2A3A"/>
                <w:sz w:val="20"/>
                <w:szCs w:val="20"/>
              </w:rPr>
              <w:t xml:space="preserve">Slate Base</w:t>
            </w:r>
          </w:p>
        </w:tc>
        <w:tc>
          <w:tcPr>
            <w:tcW w:type="dxa" w:w="160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Arial" w:cs="Arial" w:eastAsia="Arial" w:hAnsi="Arial"/>
                <w:color w:val="1A2A3A"/>
                <w:sz w:val="20"/>
                <w:szCs w:val="20"/>
              </w:rPr>
              <w:t xml:space="preserve">#628CA3</w:t>
            </w:r>
          </w:p>
        </w:tc>
        <w:tc>
          <w:tcPr>
            <w:tcW w:type="dxa" w:w="280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Arial" w:cs="Arial" w:eastAsia="Arial" w:hAnsi="Arial"/>
                <w:color w:val="1A2A3A"/>
                <w:sz w:val="20"/>
                <w:szCs w:val="20"/>
              </w:rPr>
              <w:t xml:space="preserve">Hero backgrounds, nav bar, footer, section breaks</w:t>
            </w:r>
          </w:p>
        </w:tc>
        <w:tc>
          <w:tcPr>
            <w:tcW w:type="dxa" w:w="276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Arial" w:cs="Arial" w:eastAsia="Arial" w:hAnsi="Arial"/>
                <w:color w:val="1A2A3A"/>
                <w:sz w:val="20"/>
                <w:szCs w:val="20"/>
              </w:rPr>
              <w:t xml:space="preserve">--sds-slate</w:t>
            </w:r>
          </w:p>
        </w:tc>
      </w:tr>
      <w:tr>
        <w:tc>
          <w:tcPr>
            <w:tcW w:type="dxa" w:w="220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Arial" w:cs="Arial" w:eastAsia="Arial" w:hAnsi="Arial"/>
                <w:color w:val="1A2A3A"/>
                <w:sz w:val="20"/>
                <w:szCs w:val="20"/>
              </w:rPr>
              <w:t xml:space="preserve">Signal Blue</w:t>
            </w:r>
          </w:p>
        </w:tc>
        <w:tc>
          <w:tcPr>
            <w:tcW w:type="dxa" w:w="160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Arial" w:cs="Arial" w:eastAsia="Arial" w:hAnsi="Arial"/>
                <w:color w:val="1A2A3A"/>
                <w:sz w:val="20"/>
                <w:szCs w:val="20"/>
              </w:rPr>
              <w:t xml:space="preserve">#3498DB</w:t>
            </w:r>
          </w:p>
        </w:tc>
        <w:tc>
          <w:tcPr>
            <w:tcW w:type="dxa" w:w="280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Arial" w:cs="Arial" w:eastAsia="Arial" w:hAnsi="Arial"/>
                <w:color w:val="1A2A3A"/>
                <w:sz w:val="20"/>
                <w:szCs w:val="20"/>
              </w:rPr>
              <w:t xml:space="preserve">CTAs, links, hover states, primary buttons, linework</w:t>
            </w:r>
          </w:p>
        </w:tc>
        <w:tc>
          <w:tcPr>
            <w:tcW w:type="dxa" w:w="276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Arial" w:cs="Arial" w:eastAsia="Arial" w:hAnsi="Arial"/>
                <w:color w:val="1A2A3A"/>
                <w:sz w:val="20"/>
                <w:szCs w:val="20"/>
              </w:rPr>
              <w:t xml:space="preserve">--sds-signal</w:t>
            </w:r>
          </w:p>
        </w:tc>
      </w:tr>
      <w:tr>
        <w:tc>
          <w:tcPr>
            <w:tcW w:type="dxa" w:w="220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Arial" w:cs="Arial" w:eastAsia="Arial" w:hAnsi="Arial"/>
                <w:color w:val="1A2A3A"/>
                <w:sz w:val="20"/>
                <w:szCs w:val="20"/>
              </w:rPr>
              <w:t xml:space="preserve">Steel Mid-Blue</w:t>
            </w:r>
          </w:p>
        </w:tc>
        <w:tc>
          <w:tcPr>
            <w:tcW w:type="dxa" w:w="160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Arial" w:cs="Arial" w:eastAsia="Arial" w:hAnsi="Arial"/>
                <w:color w:val="1A2A3A"/>
                <w:sz w:val="20"/>
                <w:szCs w:val="20"/>
              </w:rPr>
              <w:t xml:space="preserve">#4B86B4</w:t>
            </w:r>
          </w:p>
        </w:tc>
        <w:tc>
          <w:tcPr>
            <w:tcW w:type="dxa" w:w="280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Arial" w:cs="Arial" w:eastAsia="Arial" w:hAnsi="Arial"/>
                <w:color w:val="1A2A3A"/>
                <w:sz w:val="20"/>
                <w:szCs w:val="20"/>
              </w:rPr>
              <w:t xml:space="preserve">Secondary text, subheadings, card borders, icon strokes</w:t>
            </w:r>
          </w:p>
        </w:tc>
        <w:tc>
          <w:tcPr>
            <w:tcW w:type="dxa" w:w="276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Arial" w:cs="Arial" w:eastAsia="Arial" w:hAnsi="Arial"/>
                <w:color w:val="1A2A3A"/>
                <w:sz w:val="20"/>
                <w:szCs w:val="20"/>
              </w:rPr>
              <w:t xml:space="preserve">--sds-steel</w:t>
            </w:r>
          </w:p>
        </w:tc>
      </w:tr>
      <w:tr>
        <w:tc>
          <w:tcPr>
            <w:tcW w:type="dxa" w:w="220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Arial" w:cs="Arial" w:eastAsia="Arial" w:hAnsi="Arial"/>
                <w:color w:val="1A2A3A"/>
                <w:sz w:val="20"/>
                <w:szCs w:val="20"/>
              </w:rPr>
              <w:t xml:space="preserve">White</w:t>
            </w:r>
          </w:p>
        </w:tc>
        <w:tc>
          <w:tcPr>
            <w:tcW w:type="dxa" w:w="160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Arial" w:cs="Arial" w:eastAsia="Arial" w:hAnsi="Arial"/>
                <w:color w:val="1A2A3A"/>
                <w:sz w:val="20"/>
                <w:szCs w:val="20"/>
              </w:rPr>
              <w:t xml:space="preserve">#FFFFFF</w:t>
            </w:r>
          </w:p>
        </w:tc>
        <w:tc>
          <w:tcPr>
            <w:tcW w:type="dxa" w:w="280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Arial" w:cs="Arial" w:eastAsia="Arial" w:hAnsi="Arial"/>
                <w:color w:val="1A2A3A"/>
                <w:sz w:val="20"/>
                <w:szCs w:val="20"/>
              </w:rPr>
              <w:t xml:space="preserve">Body text on dark backgrounds, card surfaces</w:t>
            </w:r>
          </w:p>
        </w:tc>
        <w:tc>
          <w:tcPr>
            <w:tcW w:type="dxa" w:w="276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Arial" w:cs="Arial" w:eastAsia="Arial" w:hAnsi="Arial"/>
                <w:color w:val="1A2A3A"/>
                <w:sz w:val="20"/>
                <w:szCs w:val="20"/>
              </w:rPr>
              <w:t xml:space="preserve">--sds-white</w:t>
            </w:r>
          </w:p>
        </w:tc>
      </w:tr>
      <w:tr>
        <w:tc>
          <w:tcPr>
            <w:tcW w:type="dxa" w:w="220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Arial" w:cs="Arial" w:eastAsia="Arial" w:hAnsi="Arial"/>
                <w:color w:val="1A2A3A"/>
                <w:sz w:val="20"/>
                <w:szCs w:val="20"/>
              </w:rPr>
              <w:t xml:space="preserve">Gold / Brass Accent</w:t>
            </w:r>
          </w:p>
        </w:tc>
        <w:tc>
          <w:tcPr>
            <w:tcW w:type="dxa" w:w="160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Arial" w:cs="Arial" w:eastAsia="Arial" w:hAnsi="Arial"/>
                <w:color w:val="1A2A3A"/>
                <w:sz w:val="20"/>
                <w:szCs w:val="20"/>
              </w:rPr>
              <w:t xml:space="preserve">Gradient: #C09C00 to #C8B44F (fallback: #C6A92B)</w:t>
            </w:r>
          </w:p>
        </w:tc>
        <w:tc>
          <w:tcPr>
            <w:tcW w:type="dxa" w:w="280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Arial" w:cs="Arial" w:eastAsia="Arial" w:hAnsi="Arial"/>
                <w:color w:val="1A2A3A"/>
                <w:sz w:val="20"/>
                <w:szCs w:val="20"/>
              </w:rPr>
              <w:t xml:space="preserve">Section dividers, badge accents, "34 years" callout, hover highlights on premium elements</w:t>
            </w:r>
          </w:p>
        </w:tc>
        <w:tc>
          <w:tcPr>
            <w:tcW w:type="dxa" w:w="276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Arial" w:cs="Arial" w:eastAsia="Arial" w:hAnsi="Arial"/>
                <w:color w:val="1A2A3A"/>
                <w:sz w:val="20"/>
                <w:szCs w:val="20"/>
              </w:rPr>
              <w:t xml:space="preserve">--sds-gold</w:t>
            </w:r>
          </w:p>
        </w:tc>
      </w:tr>
      <w:tr>
        <w:tc>
          <w:tcPr>
            <w:tcW w:type="dxa" w:w="220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Arial" w:cs="Arial" w:eastAsia="Arial" w:hAnsi="Arial"/>
                <w:color w:val="1A2A3A"/>
                <w:sz w:val="20"/>
                <w:szCs w:val="20"/>
              </w:rPr>
              <w:t xml:space="preserve">Dark Text</w:t>
            </w:r>
          </w:p>
        </w:tc>
        <w:tc>
          <w:tcPr>
            <w:tcW w:type="dxa" w:w="160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Arial" w:cs="Arial" w:eastAsia="Arial" w:hAnsi="Arial"/>
                <w:color w:val="1A2A3A"/>
                <w:sz w:val="20"/>
                <w:szCs w:val="20"/>
              </w:rPr>
              <w:t xml:space="preserve">#1A2A3A</w:t>
            </w:r>
          </w:p>
        </w:tc>
        <w:tc>
          <w:tcPr>
            <w:tcW w:type="dxa" w:w="280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Arial" w:cs="Arial" w:eastAsia="Arial" w:hAnsi="Arial"/>
                <w:color w:val="1A2A3A"/>
                <w:sz w:val="20"/>
                <w:szCs w:val="20"/>
              </w:rPr>
              <w:t xml:space="preserve">Body copy on white backgrounds, high-contrast readability</w:t>
            </w:r>
          </w:p>
        </w:tc>
        <w:tc>
          <w:tcPr>
            <w:tcW w:type="dxa" w:w="276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Arial" w:cs="Arial" w:eastAsia="Arial" w:hAnsi="Arial"/>
                <w:color w:val="1A2A3A"/>
                <w:sz w:val="20"/>
                <w:szCs w:val="20"/>
              </w:rPr>
              <w:t xml:space="preserve">--sds-dark</w:t>
            </w:r>
          </w:p>
        </w:tc>
      </w:tr>
    </w:tbl>
    <w:p>
      <w:pPr>
        <w:spacing w:after="80" w:before="80"/>
      </w:pPr>
    </w:p>
    <w:p>
      <w:pPr>
        <w:spacing w:after="120"/>
      </w:pPr>
      <w:r>
        <w:rPr>
          <w:rFonts w:ascii="Arial" w:cs="Arial" w:eastAsia="Arial" w:hAnsi="Arial"/>
          <w:b/>
          <w:bCs/>
          <w:color w:val="4B86B4"/>
          <w:sz w:val="22"/>
          <w:szCs w:val="22"/>
        </w:rPr>
        <w:t xml:space="preserve">Gold Gradient Implementation: </w:t>
      </w:r>
      <w:r>
        <w:rPr>
          <w:rFonts w:ascii="Arial" w:cs="Arial" w:eastAsia="Arial" w:hAnsi="Arial"/>
          <w:color w:val="1A2A3A"/>
          <w:sz w:val="22"/>
          <w:szCs w:val="22"/>
        </w:rPr>
        <w:t xml:space="preserve">For the website, apply a CSS linear-gradient blending from #C09C00 to #C8B44F on section dividers, the "34 years" heritage badge, and any premium accent elements. Use the solid fallback #C6A92B for small text, icons, or any element under 14px where gradients lose fidelity.</w:t>
      </w:r>
    </w:p>
    <w:p>
      <w:pPr>
        <w:pBdr>
          <w:bottom w:val="single" w:color="C6A92B" w:sz="4" w:space="8"/>
        </w:pBdr>
        <w:spacing w:after="200" w:before="200"/>
      </w:pPr>
    </w:p>
    <w:p>
      <w:pPr>
        <w:pStyle w:val="Heading1"/>
      </w:pPr>
      <w:r>
        <w:t xml:space="preserve">3. Front Page Headline</w:t>
      </w:r>
    </w:p>
    <w:p>
      <w:pPr>
        <w:spacing w:after="60" w:before="60"/>
      </w:pPr>
    </w:p>
    <w:p>
      <w:pPr>
        <w:spacing w:after="120"/>
      </w:pPr>
      <w:r>
        <w:rPr>
          <w:rFonts w:ascii="Arial" w:cs="Arial" w:eastAsia="Arial" w:hAnsi="Arial"/>
          <w:b/>
          <w:bCs/>
          <w:color w:val="4B86B4"/>
          <w:sz w:val="22"/>
          <w:szCs w:val="22"/>
        </w:rPr>
        <w:t xml:space="preserve">Current (estimated): </w:t>
      </w:r>
      <w:r>
        <w:rPr>
          <w:rFonts w:ascii="Arial" w:cs="Arial" w:eastAsia="Arial" w:hAnsi="Arial"/>
          <w:color w:val="1A2A3A"/>
          <w:sz w:val="22"/>
          <w:szCs w:val="22"/>
        </w:rPr>
        <w:t xml:space="preserve">Generic wireline/logging language lacking brand differentiation</w:t>
      </w:r>
    </w:p>
    <w:p>
      <w:pPr>
        <w:spacing w:after="40" w:before="40"/>
      </w:pPr>
    </w:p>
    <w:p>
      <w:pPr>
        <w:spacing w:after="120"/>
      </w:pPr>
      <w:r>
        <w:rPr>
          <w:rFonts w:ascii="Arial" w:cs="Arial" w:eastAsia="Arial" w:hAnsi="Arial"/>
          <w:b/>
          <w:bCs/>
          <w:color w:val="4B86B4"/>
          <w:sz w:val="22"/>
          <w:szCs w:val="22"/>
        </w:rPr>
        <w:t xml:space="preserve">Proposed Headline:
</w:t>
      </w:r>
      <w:r>
        <w:rPr>
          <w:rFonts w:ascii="Arial" w:cs="Arial" w:eastAsia="Arial" w:hAnsi="Arial"/>
          <w:b/>
          <w:bCs/>
          <w:color w:val="1A2A3A"/>
          <w:sz w:val="32"/>
          <w:szCs w:val="32"/>
        </w:rPr>
        <w:t xml:space="preserve">"One Platform. Any Tool. Clean Data Every Time."</w:t>
      </w:r>
    </w:p>
    <w:p>
      <w:pPr>
        <w:spacing w:after="40" w:before="40"/>
      </w:pPr>
    </w:p>
    <w:p>
      <w:pPr>
        <w:spacing w:after="120"/>
      </w:pPr>
      <w:r>
        <w:rPr>
          <w:rFonts w:ascii="Arial" w:cs="Arial" w:eastAsia="Arial" w:hAnsi="Arial"/>
          <w:color w:val="1A2A3A"/>
          <w:sz w:val="22"/>
          <w:szCs w:val="22"/>
        </w:rPr>
        <w:t xml:space="preserve">This is the core positioning line from the 2026 product messaging. It encapsulates three brand promises in eight words: platform unity, vendor-agnostic flexibility, and data confidence. It mirrors the manifesto’s pillar of "Verifiable Integrity" and the emphasis on operational clarity. It should render in white (#FFFFFF) text, large and bold, over a full-bleed hero image or video of a wireline operation, with the Slate Base (#628CA3) as an overlay at roughly 60–70% opacity to ensure legibility.</w:t>
      </w:r>
    </w:p>
    <w:p>
      <w:pPr>
        <w:pBdr>
          <w:bottom w:val="single" w:color="C6A92B" w:sz="4" w:space="8"/>
        </w:pBdr>
        <w:spacing w:after="200" w:before="200"/>
      </w:pPr>
    </w:p>
    <w:p>
      <w:pPr>
        <w:pStyle w:val="Heading1"/>
      </w:pPr>
      <w:r>
        <w:t xml:space="preserve">4. Front Page Subheading</w:t>
      </w:r>
    </w:p>
    <w:p>
      <w:pPr>
        <w:spacing w:after="60" w:before="60"/>
      </w:pPr>
    </w:p>
    <w:p>
      <w:pPr>
        <w:spacing w:after="120"/>
      </w:pPr>
      <w:r>
        <w:rPr>
          <w:rFonts w:ascii="Arial" w:cs="Arial" w:eastAsia="Arial" w:hAnsi="Arial"/>
          <w:b/>
          <w:bCs/>
          <w:color w:val="4B86B4"/>
          <w:sz w:val="22"/>
          <w:szCs w:val="22"/>
        </w:rPr>
        <w:t xml:space="preserve">Proposed Subheading:
</w:t>
      </w:r>
      <w:r>
        <w:rPr>
          <w:rFonts w:ascii="Arial" w:cs="Arial" w:eastAsia="Arial" w:hAnsi="Arial"/>
          <w:color w:val="1A2A3A"/>
          <w:sz w:val="24"/>
          <w:szCs w:val="24"/>
        </w:rPr>
        <w:t xml:space="preserve">"The vendor-agnostic wireline acquisition platform built on 34 years of field use. Connect to virtually any downhole tool — logging or perforating — through one surface unit, one interface, and one workflow."</w:t>
      </w:r>
    </w:p>
    <w:p>
      <w:pPr>
        <w:spacing w:after="40" w:before="40"/>
      </w:pPr>
    </w:p>
    <w:p>
      <w:pPr>
        <w:spacing w:after="120"/>
      </w:pPr>
      <w:r>
        <w:rPr>
          <w:rFonts w:ascii="Arial" w:cs="Arial" w:eastAsia="Arial" w:hAnsi="Arial"/>
          <w:color w:val="1A2A3A"/>
          <w:sz w:val="22"/>
          <w:szCs w:val="22"/>
        </w:rPr>
        <w:t xml:space="preserve">This subheading does the heavy lifting by immediately establishing three differentiators: vendor-agnostic architecture, 34 years of proven field use ("battle-tested," per the manifesto), and the Universal Panel’s single-interface advantage. The language avoids jargon the manifesto flags as outdated (“vendor lock-in,” “data silo”) and instead uses direct, outcome-focused language. Render in Steel Mid-Blue (#4B86B4) or white depending on background contrast.</w:t>
      </w:r>
    </w:p>
    <w:p>
      <w:pPr>
        <w:spacing w:after="40" w:before="40"/>
      </w:pPr>
    </w:p>
    <w:p>
      <w:pPr>
        <w:spacing w:after="120"/>
      </w:pPr>
      <w:r>
        <w:rPr>
          <w:rFonts w:ascii="Arial" w:cs="Arial" w:eastAsia="Arial" w:hAnsi="Arial"/>
          <w:b/>
          <w:bCs/>
          <w:color w:val="4B86B4"/>
          <w:sz w:val="22"/>
          <w:szCs w:val="22"/>
        </w:rPr>
        <w:t xml:space="preserve">CTA Button: </w:t>
      </w:r>
      <w:r>
        <w:rPr>
          <w:rFonts w:ascii="Arial" w:cs="Arial" w:eastAsia="Arial" w:hAnsi="Arial"/>
          <w:color w:val="1A2A3A"/>
          <w:sz w:val="22"/>
          <w:szCs w:val="22"/>
        </w:rPr>
        <w:t xml:space="preserve">"See How It Works" or "Request a Demo" in Signal Blue (#3498DB) with white text. A secondary ghost-button option: "View the Warrior Platform" in white outline on the hero.</w:t>
      </w:r>
    </w:p>
    <w:p>
      <w:pPr>
        <w:pBdr>
          <w:bottom w:val="single" w:color="C6A92B" w:sz="4" w:space="8"/>
        </w:pBdr>
        <w:spacing w:after="200" w:before="200"/>
      </w:pPr>
    </w:p>
    <w:p>
      <w:pPr>
        <w:pStyle w:val="Heading1"/>
      </w:pPr>
      <w:r>
        <w:t xml:space="preserve">5. About Us Headline</w:t>
      </w:r>
    </w:p>
    <w:p>
      <w:pPr>
        <w:spacing w:after="60" w:before="60"/>
      </w:pPr>
    </w:p>
    <w:p>
      <w:pPr>
        <w:spacing w:after="120"/>
      </w:pPr>
      <w:r>
        <w:rPr>
          <w:rFonts w:ascii="Arial" w:cs="Arial" w:eastAsia="Arial" w:hAnsi="Arial"/>
          <w:b/>
          <w:bCs/>
          <w:color w:val="4B86B4"/>
          <w:sz w:val="22"/>
          <w:szCs w:val="22"/>
        </w:rPr>
        <w:t xml:space="preserve">Proposed Headline:
</w:t>
      </w:r>
      <w:r>
        <w:rPr>
          <w:rFonts w:ascii="Arial" w:cs="Arial" w:eastAsia="Arial" w:hAnsi="Arial"/>
          <w:b/>
          <w:bCs/>
          <w:color w:val="1A2A3A"/>
          <w:sz w:val="28"/>
          <w:szCs w:val="28"/>
        </w:rPr>
        <w:t xml:space="preserve">"Founded in Houston. Proven Globally. Built for the Next 40 Years."</w:t>
      </w:r>
    </w:p>
    <w:p>
      <w:pPr>
        <w:spacing w:after="40" w:before="40"/>
      </w:pPr>
    </w:p>
    <w:p>
      <w:pPr>
        <w:spacing w:after="120"/>
      </w:pPr>
      <w:r>
        <w:rPr>
          <w:rFonts w:ascii="Arial" w:cs="Arial" w:eastAsia="Arial" w:hAnsi="Arial"/>
          <w:color w:val="1A2A3A"/>
          <w:sz w:val="22"/>
          <w:szCs w:val="22"/>
        </w:rPr>
        <w:t xml:space="preserve">This line comes directly from the manifesto’s "Modern Wisdom" pillar. It references history purely to prove future-readiness, avoiding the trap of sounding legacy or past-tense. The line positions SDS as a forward-looking company with deep roots, which is exactly the tension the brand voice is designed to hold.</w:t>
      </w:r>
    </w:p>
    <w:p>
      <w:pPr>
        <w:pBdr>
          <w:bottom w:val="single" w:color="C6A92B" w:sz="4" w:space="8"/>
        </w:pBdr>
        <w:spacing w:after="200" w:before="200"/>
      </w:pPr>
    </w:p>
    <w:p>
      <w:pPr>
        <w:pStyle w:val="Heading1"/>
      </w:pPr>
      <w:r>
        <w:t xml:space="preserve">6. About Us Subheading</w:t>
      </w:r>
    </w:p>
    <w:p>
      <w:pPr>
        <w:spacing w:after="60" w:before="60"/>
      </w:pPr>
    </w:p>
    <w:p>
      <w:pPr>
        <w:spacing w:after="120"/>
      </w:pPr>
      <w:r>
        <w:rPr>
          <w:rFonts w:ascii="Arial" w:cs="Arial" w:eastAsia="Arial" w:hAnsi="Arial"/>
          <w:b/>
          <w:bCs/>
          <w:color w:val="4B86B4"/>
          <w:sz w:val="22"/>
          <w:szCs w:val="22"/>
        </w:rPr>
        <w:t xml:space="preserve">Proposed Subheading:
</w:t>
      </w:r>
      <w:r>
        <w:rPr>
          <w:rFonts w:ascii="Arial" w:cs="Arial" w:eastAsia="Arial" w:hAnsi="Arial"/>
          <w:color w:val="1A2A3A"/>
          <w:sz w:val="24"/>
          <w:szCs w:val="24"/>
        </w:rPr>
        <w:t xml:space="preserve">"We are the architects of subsurface clarity. In a world of closed ecosystems and proprietary formats, SDS stands for open interoperability and uncompromising integrity."</w:t>
      </w:r>
    </w:p>
    <w:p>
      <w:pPr>
        <w:spacing w:after="40" w:before="40"/>
      </w:pPr>
    </w:p>
    <w:p>
      <w:pPr>
        <w:spacing w:after="120"/>
      </w:pPr>
      <w:r>
        <w:rPr>
          <w:rFonts w:ascii="Arial" w:cs="Arial" w:eastAsia="Arial" w:hAnsi="Arial"/>
          <w:color w:val="1A2A3A"/>
          <w:sz w:val="22"/>
          <w:szCs w:val="22"/>
        </w:rPr>
        <w:t xml:space="preserve">Adapted from the manifesto’s Core Identity statement, this subheading immediately distinguishes SDS from competitors who build around their own tool ecosystems. "Architects of subsurface clarity" is aspirational but grounded. "Open interoperability" replaces the flagged phrase "vendor lock-in" with a positive framing. Render in Steel Mid-Blue on a white background section.</w:t>
      </w:r>
    </w:p>
    <w:p>
      <w:pPr>
        <w:pBdr>
          <w:bottom w:val="single" w:color="C6A92B" w:sz="4" w:space="8"/>
        </w:pBdr>
        <w:spacing w:after="200" w:before="200"/>
      </w:pPr>
    </w:p>
    <w:p>
      <w:pPr>
        <w:pStyle w:val="Heading1"/>
      </w:pPr>
      <w:r>
        <w:t xml:space="preserve">7. About Us Story</w:t>
      </w:r>
    </w:p>
    <w:p>
      <w:pPr>
        <w:spacing w:after="60" w:before="60"/>
      </w:pPr>
    </w:p>
    <w:p>
      <w:pPr>
        <w:spacing w:after="120"/>
      </w:pPr>
      <w:r>
        <w:rPr>
          <w:rFonts w:ascii="Arial" w:cs="Arial" w:eastAsia="Arial" w:hAnsi="Arial"/>
          <w:b/>
          <w:bCs/>
          <w:color w:val="4B86B4"/>
          <w:sz w:val="22"/>
          <w:szCs w:val="22"/>
        </w:rPr>
        <w:t xml:space="preserve">Proposed About Us Story Copy:</w:t>
      </w:r>
    </w:p>
    <w:p>
      <w:pPr>
        <w:spacing w:after="40" w:before="40"/>
      </w:pPr>
    </w:p>
    <w:p>
      <w:pPr>
        <w:spacing w:after="120"/>
      </w:pPr>
      <w:r>
        <w:rPr>
          <w:rFonts w:ascii="Arial" w:cs="Arial" w:eastAsia="Arial" w:hAnsi="Arial"/>
          <w:color w:val="1A2A3A"/>
          <w:sz w:val="22"/>
          <w:szCs w:val="22"/>
        </w:rPr>
        <w:t xml:space="preserve">For 34 years, Scientific Data Systems has built wireline acquisition technology in Houston, Texas — not for a single manufacturer’s ecosystem, but for the job itself.</w:t>
      </w:r>
    </w:p>
    <w:p>
      <w:pPr>
        <w:spacing w:after="120"/>
      </w:pPr>
      <w:r>
        <w:rPr>
          <w:rFonts w:ascii="Arial" w:cs="Arial" w:eastAsia="Arial" w:hAnsi="Arial"/>
          <w:color w:val="1A2A3A"/>
          <w:sz w:val="22"/>
          <w:szCs w:val="22"/>
        </w:rPr>
        <w:t xml:space="preserve">Our Warrior platform connects to virtually any downhole tool, from any manufacturer, through one surface unit and one unified workflow. Where other systems force you to choose sides, Warrior gives your crews the freedom to run the best tool for each job without changing panels, retraining operators, or second-guessing data quality.</w:t>
      </w:r>
    </w:p>
    <w:p>
      <w:pPr>
        <w:spacing w:after="120"/>
      </w:pPr>
      <w:r>
        <w:rPr>
          <w:rFonts w:ascii="Arial" w:cs="Arial" w:eastAsia="Arial" w:hAnsi="Arial"/>
          <w:color w:val="1A2A3A"/>
          <w:sz w:val="22"/>
          <w:szCs w:val="22"/>
        </w:rPr>
        <w:t xml:space="preserve">The new Universal Panel takes this further. Multiple switches, tool strings, and surface systems run simultaneously. Custom, job-specific interfaces mean each crew sees exactly what they need and nothing they don’t. Automation handles the setup steps that used to depend on who was trained and who was watching — so your people can spend their time on safety and quality, not configuration.</w:t>
      </w:r>
    </w:p>
    <w:p>
      <w:pPr>
        <w:spacing w:after="120"/>
      </w:pPr>
      <w:r>
        <w:rPr>
          <w:rFonts w:ascii="Arial" w:cs="Arial" w:eastAsia="Arial" w:hAnsi="Arial"/>
          <w:color w:val="1A2A3A"/>
          <w:sz w:val="22"/>
          <w:szCs w:val="22"/>
        </w:rPr>
        <w:t xml:space="preserve">Our Warrior Data Logging Systems are manufactured and quality-controlled right here in Houston. From assembly to delivery, our engineers and technicians test every unit so the product is ready for immediate field use.</w:t>
      </w:r>
    </w:p>
    <w:p>
      <w:pPr>
        <w:spacing w:after="120"/>
      </w:pPr>
      <w:r>
        <w:rPr>
          <w:rFonts w:ascii="Arial" w:cs="Arial" w:eastAsia="Arial" w:hAnsi="Arial"/>
          <w:color w:val="1A2A3A"/>
          <w:sz w:val="22"/>
          <w:szCs w:val="22"/>
        </w:rPr>
        <w:t xml:space="preserve">We serve the petroleum, geothermal, and water well industries worldwide. Whether it’s cased hole, open hole, slickline, memory, or LWD, Warrior is the central platform that ties it all together.</w:t>
      </w:r>
    </w:p>
    <w:p>
      <w:pPr>
        <w:spacing w:after="120"/>
      </w:pPr>
      <w:r>
        <w:rPr>
          <w:rFonts w:ascii="Arial" w:cs="Arial" w:eastAsia="Arial" w:hAnsi="Arial"/>
          <w:color w:val="1A2A3A"/>
          <w:sz w:val="22"/>
          <w:szCs w:val="22"/>
        </w:rPr>
        <w:t xml:space="preserve">We aren’t just an oilfield tool. We are a resource management platform — powering the transition from oil to geothermal and beyond.</w:t>
      </w:r>
    </w:p>
    <w:p>
      <w:pPr>
        <w:spacing w:after="60" w:before="60"/>
      </w:pPr>
    </w:p>
    <w:p>
      <w:pPr>
        <w:spacing w:after="120"/>
      </w:pPr>
      <w:r>
        <w:rPr>
          <w:rFonts w:ascii="Arial" w:cs="Arial" w:eastAsia="Arial" w:hAnsi="Arial"/>
          <w:b/>
          <w:bCs/>
          <w:color w:val="C6A92B"/>
          <w:sz w:val="22"/>
          <w:szCs w:val="22"/>
        </w:rPr>
        <w:t xml:space="preserve">Voice Check: </w:t>
      </w:r>
      <w:r>
        <w:rPr>
          <w:rFonts w:ascii="Arial" w:cs="Arial" w:eastAsia="Arial" w:hAnsi="Arial"/>
          <w:color w:val="1A2A3A"/>
          <w:sz w:val="22"/>
          <w:szCs w:val="22"/>
        </w:rPr>
        <w:t xml:space="preserve">This copy follows the manifesto’s directive to be "authoritative but accessible," uses "field-validated" framing instead of "old" or "legacy," and tells the story of outcomes (crew freedom, data confidence, safety time) rather than listing features. The closing line ties to the "Stewardship of Resources" pillar for energy transition relevance.</w:t>
      </w:r>
    </w:p>
    <w:p>
      <w:pPr>
        <w:pBdr>
          <w:bottom w:val="single" w:color="C6A92B" w:sz="4" w:space="8"/>
        </w:pBdr>
        <w:spacing w:after="200" w:before="200"/>
      </w:pPr>
    </w:p>
    <w:p>
      <w:pPr>
        <w:pStyle w:val="Heading1"/>
      </w:pPr>
      <w:r>
        <w:t xml:space="preserve">8. About Us — Leadership Section</w:t>
      </w:r>
    </w:p>
    <w:p>
      <w:pPr>
        <w:spacing w:after="60" w:before="60"/>
      </w:pPr>
    </w:p>
    <w:p>
      <w:pPr>
        <w:spacing w:after="120"/>
      </w:pPr>
      <w:r>
        <w:rPr>
          <w:rFonts w:ascii="Arial" w:cs="Arial" w:eastAsia="Arial" w:hAnsi="Arial"/>
          <w:b/>
          <w:bCs/>
          <w:color w:val="4B86B4"/>
          <w:sz w:val="22"/>
          <w:szCs w:val="22"/>
        </w:rPr>
        <w:t xml:space="preserve">Recommendation: Move Leadership UP </w:t>
      </w:r>
      <w:r>
        <w:rPr>
          <w:rFonts w:ascii="Arial" w:cs="Arial" w:eastAsia="Arial" w:hAnsi="Arial"/>
          <w:color w:val="1A2A3A"/>
          <w:sz w:val="22"/>
          <w:szCs w:val="22"/>
        </w:rPr>
        <w:t xml:space="preserve">so it appears directly after the About Us story, before any product detail sections.</w:t>
      </w:r>
    </w:p>
    <w:p>
      <w:pPr>
        <w:spacing w:after="40" w:before="40"/>
      </w:pPr>
    </w:p>
    <w:p>
      <w:pPr>
        <w:spacing w:after="120"/>
      </w:pPr>
      <w:r>
        <w:rPr>
          <w:rFonts w:ascii="Arial" w:cs="Arial" w:eastAsia="Arial" w:hAnsi="Arial"/>
          <w:color w:val="1A2A3A"/>
          <w:sz w:val="22"/>
          <w:szCs w:val="22"/>
        </w:rPr>
        <w:t xml:space="preserve">In the wireline industry, buyers purchase from people they trust. The manifesto’s "Culture" pillar is explicit: "We speak your language because we’ve walked your site." Featuring leadership immediately after the company story reinforces the peer-to-peer credibility that the brand voice demands.</w:t>
      </w:r>
    </w:p>
    <w:p>
      <w:pPr>
        <w:spacing w:after="40" w:before="40"/>
      </w:pPr>
    </w:p>
    <w:p>
      <w:pPr>
        <w:spacing w:after="120"/>
      </w:pPr>
      <w:r>
        <w:rPr>
          <w:rFonts w:ascii="Arial" w:cs="Arial" w:eastAsia="Arial" w:hAnsi="Arial"/>
          <w:b/>
          <w:bCs/>
          <w:color w:val="4B86B4"/>
          <w:sz w:val="22"/>
          <w:szCs w:val="22"/>
        </w:rPr>
        <w:t xml:space="preserve">Layout Recommendations:</w:t>
      </w:r>
    </w:p>
    <w:p>
      <w:pPr>
        <w:spacing w:after="120"/>
      </w:pPr>
      <w:r>
        <w:rPr>
          <w:rFonts w:ascii="Arial" w:cs="Arial" w:eastAsia="Arial" w:hAnsi="Arial"/>
          <w:color w:val="1A2A3A"/>
          <w:sz w:val="22"/>
          <w:szCs w:val="22"/>
        </w:rPr>
        <w:t xml:space="preserve">Place leadership in a two- or three-column card grid directly below the About Us story. Each card should include a professional headshot (high-contrast, industrial tone per the "Identity" pillar), full name, title, and a one-line descriptor that emphasizes field experience rather than corporate title. Example: "28 years in downhole diagnostics" rather than simply "VP of Engineering." Use the Gold accent as a subtle bottom-border on each card to visually tie them to the heritage theme.</w:t>
      </w:r>
    </w:p>
    <w:p>
      <w:pPr>
        <w:pBdr>
          <w:bottom w:val="single" w:color="C6A92B" w:sz="4" w:space="8"/>
        </w:pBdr>
        <w:spacing w:after="200" w:before="200"/>
      </w:pPr>
    </w:p>
    <w:p>
      <w:pPr>
        <w:pStyle w:val="Heading1"/>
      </w:pPr>
      <w:r>
        <w:t xml:space="preserve">9. Request a Quote Headline</w:t>
      </w:r>
    </w:p>
    <w:p>
      <w:pPr>
        <w:spacing w:after="60" w:before="60"/>
      </w:pPr>
    </w:p>
    <w:p>
      <w:pPr>
        <w:spacing w:after="120"/>
      </w:pPr>
      <w:r>
        <w:rPr>
          <w:rFonts w:ascii="Arial" w:cs="Arial" w:eastAsia="Arial" w:hAnsi="Arial"/>
          <w:b/>
          <w:bCs/>
          <w:color w:val="4B86B4"/>
          <w:sz w:val="22"/>
          <w:szCs w:val="22"/>
        </w:rPr>
        <w:t xml:space="preserve">Proposed Headline:
</w:t>
      </w:r>
      <w:r>
        <w:rPr>
          <w:rFonts w:ascii="Arial" w:cs="Arial" w:eastAsia="Arial" w:hAnsi="Arial"/>
          <w:b/>
          <w:bCs/>
          <w:color w:val="1A2A3A"/>
          <w:sz w:val="28"/>
          <w:szCs w:val="28"/>
        </w:rPr>
        <w:t xml:space="preserve">"Let’s Build Your System."</w:t>
      </w:r>
    </w:p>
    <w:p>
      <w:pPr>
        <w:spacing w:after="40" w:before="40"/>
      </w:pPr>
    </w:p>
    <w:p>
      <w:pPr>
        <w:spacing w:after="120"/>
      </w:pPr>
      <w:r>
        <w:rPr>
          <w:rFonts w:ascii="Arial" w:cs="Arial" w:eastAsia="Arial" w:hAnsi="Arial"/>
          <w:color w:val="1A2A3A"/>
          <w:sz w:val="22"/>
          <w:szCs w:val="22"/>
        </w:rPr>
        <w:t xml:space="preserve">This headline shifts from transactional ("Request a Quote") to collaborative, reflecting the manifesto’s peer-to-peer, engineer-to-engineer relationship. It implies customization and partnership rather than a price catalog. The word "build" connects to the physical, industrial identity of the brand.</w:t>
      </w:r>
    </w:p>
    <w:p>
      <w:pPr>
        <w:spacing w:after="40" w:before="40"/>
      </w:pPr>
    </w:p>
    <w:p>
      <w:pPr>
        <w:spacing w:after="120"/>
      </w:pPr>
      <w:r>
        <w:rPr>
          <w:rFonts w:ascii="Arial" w:cs="Arial" w:eastAsia="Arial" w:hAnsi="Arial"/>
          <w:b/>
          <w:bCs/>
          <w:color w:val="4B86B4"/>
          <w:sz w:val="22"/>
          <w:szCs w:val="22"/>
        </w:rPr>
        <w:t xml:space="preserve">Alternative Option: </w:t>
      </w:r>
      <w:r>
        <w:rPr>
          <w:rFonts w:ascii="Arial" w:cs="Arial" w:eastAsia="Arial" w:hAnsi="Arial"/>
          <w:color w:val="1A2A3A"/>
          <w:sz w:val="22"/>
          <w:szCs w:val="22"/>
        </w:rPr>
        <w:t xml:space="preserve">"Ready to See Warrior in Action?" — if the team prefers a product-led approach.</w:t>
      </w:r>
    </w:p>
    <w:p>
      <w:pPr>
        <w:pBdr>
          <w:bottom w:val="single" w:color="C6A92B" w:sz="4" w:space="8"/>
        </w:pBdr>
        <w:spacing w:after="200" w:before="200"/>
      </w:pPr>
    </w:p>
    <w:p>
      <w:pPr>
        <w:pStyle w:val="Heading1"/>
      </w:pPr>
      <w:r>
        <w:t xml:space="preserve">10. Request a Quote Subheading</w:t>
      </w:r>
    </w:p>
    <w:p>
      <w:pPr>
        <w:spacing w:after="60" w:before="60"/>
      </w:pPr>
    </w:p>
    <w:p>
      <w:pPr>
        <w:spacing w:after="120"/>
      </w:pPr>
      <w:r>
        <w:rPr>
          <w:rFonts w:ascii="Arial" w:cs="Arial" w:eastAsia="Arial" w:hAnsi="Arial"/>
          <w:b/>
          <w:bCs/>
          <w:color w:val="4B86B4"/>
          <w:sz w:val="22"/>
          <w:szCs w:val="22"/>
        </w:rPr>
        <w:t xml:space="preserve">Proposed Subheading:
</w:t>
      </w:r>
      <w:r>
        <w:rPr>
          <w:rFonts w:ascii="Arial" w:cs="Arial" w:eastAsia="Arial" w:hAnsi="Arial"/>
          <w:color w:val="1A2A3A"/>
          <w:sz w:val="24"/>
          <w:szCs w:val="24"/>
        </w:rPr>
        <w:t xml:space="preserve">"Tell us what you run and where you run it. We’ll configure a Warrior system tailored to your fleet, your tools, and your crews — no matter the manufacturer."</w:t>
      </w:r>
    </w:p>
    <w:p>
      <w:pPr>
        <w:spacing w:after="40" w:before="40"/>
      </w:pPr>
    </w:p>
    <w:p>
      <w:pPr>
        <w:spacing w:after="120"/>
      </w:pPr>
      <w:r>
        <w:rPr>
          <w:rFonts w:ascii="Arial" w:cs="Arial" w:eastAsia="Arial" w:hAnsi="Arial"/>
          <w:color w:val="1A2A3A"/>
          <w:sz w:val="22"/>
          <w:szCs w:val="22"/>
        </w:rPr>
        <w:t xml:space="preserve">This copy does three things at once: it qualifies the lead ("tell us what you run"), reinforces the vendor-agnostic value proposition ("no matter the manufacturer"), and echoes the manifesto’s Experience pillar of being "powerful enough for the expert, intuitive enough for the next generation." The language is direct and unpretentious, matching the "no sales-y fluff" mandate from the Culture pillar.</w:t>
      </w:r>
    </w:p>
    <w:p>
      <w:pPr>
        <w:spacing w:after="40" w:before="40"/>
      </w:pPr>
    </w:p>
    <w:p>
      <w:pPr>
        <w:spacing w:after="120"/>
      </w:pPr>
      <w:r>
        <w:rPr>
          <w:rFonts w:ascii="Arial" w:cs="Arial" w:eastAsia="Arial" w:hAnsi="Arial"/>
          <w:b/>
          <w:bCs/>
          <w:color w:val="4B86B4"/>
          <w:sz w:val="22"/>
          <w:szCs w:val="22"/>
        </w:rPr>
        <w:t xml:space="preserve">Form Fields Recommended: </w:t>
      </w:r>
      <w:r>
        <w:rPr>
          <w:rFonts w:ascii="Arial" w:cs="Arial" w:eastAsia="Arial" w:hAnsi="Arial"/>
          <w:color w:val="1A2A3A"/>
          <w:sz w:val="22"/>
          <w:szCs w:val="22"/>
        </w:rPr>
        <w:t xml:space="preserve">Name, Company, Email, Phone, "What tools / systems do you currently run?" (open text), "What are you looking to improve?" (dropdown: Data quality, Crew efficiency, Multi-tool integration, Cost reduction, Other). Keep the form short — five fields maximum. The manifesto’s UX promise is "frictionless by design."</w:t>
      </w:r>
    </w:p>
    <w:p>
      <w:r>
        <w:br w:type="page"/>
      </w:r>
    </w:p>
    <w:p>
      <w:pPr>
        <w:pStyle w:val="Heading1"/>
      </w:pPr>
      <w:r>
        <w:t xml:space="preserve">Additional Recommendations</w:t>
      </w:r>
    </w:p>
    <w:p>
      <w:pPr>
        <w:spacing w:after="60" w:before="60"/>
      </w:pPr>
    </w:p>
    <w:p>
      <w:pPr>
        <w:pStyle w:val="Heading2"/>
      </w:pPr>
      <w:r>
        <w:t xml:space="preserve">A. Persona-Driven Section Callouts</w:t>
      </w:r>
    </w:p>
    <w:p>
      <w:pPr>
        <w:spacing w:after="120"/>
      </w:pPr>
      <w:r>
        <w:rPr>
          <w:rFonts w:ascii="Arial" w:cs="Arial" w:eastAsia="Arial" w:hAnsi="Arial"/>
          <w:color w:val="1A2A3A"/>
          <w:sz w:val="22"/>
          <w:szCs w:val="22"/>
        </w:rPr>
        <w:t xml:space="preserve">The manifesto includes detailed Jobs to Be Done for nine buyer personas. Consider adding a rotating callout or testimonial-style module on the homepage that speaks directly to each persona’s emotional job. Example callouts:</w:t>
      </w:r>
    </w:p>
    <w:p>
      <w:pPr>
        <w:spacing w:after="40" w:before="40"/>
      </w:pPr>
    </w:p>
    <w:p>
      <w:pPr>
        <w:spacing w:after="120"/>
      </w:pPr>
      <w:r>
        <w:rPr>
          <w:rFonts w:ascii="Arial" w:cs="Arial" w:eastAsia="Arial" w:hAnsi="Arial"/>
          <w:b/>
          <w:bCs/>
          <w:color w:val="4B86B4"/>
          <w:sz w:val="22"/>
          <w:szCs w:val="22"/>
        </w:rPr>
        <w:t xml:space="preserve">Field Service Manager: </w:t>
      </w:r>
      <w:r>
        <w:rPr>
          <w:rFonts w:ascii="Arial" w:cs="Arial" w:eastAsia="Arial" w:hAnsi="Arial"/>
          <w:i/>
          <w:iCs/>
          <w:color w:val="1A2A3A"/>
          <w:sz w:val="22"/>
          <w:szCs w:val="22"/>
        </w:rPr>
        <w:t xml:space="preserve">"Know exactly what’s happening at the wellhead without having to be there."</w:t>
      </w:r>
    </w:p>
    <w:p>
      <w:pPr>
        <w:spacing w:after="120"/>
      </w:pPr>
      <w:r>
        <w:rPr>
          <w:rFonts w:ascii="Arial" w:cs="Arial" w:eastAsia="Arial" w:hAnsi="Arial"/>
          <w:b/>
          <w:bCs/>
          <w:color w:val="4B86B4"/>
          <w:sz w:val="22"/>
          <w:szCs w:val="22"/>
        </w:rPr>
        <w:t xml:space="preserve">Electronics Technician: </w:t>
      </w:r>
      <w:r>
        <w:rPr>
          <w:rFonts w:ascii="Arial" w:cs="Arial" w:eastAsia="Arial" w:hAnsi="Arial"/>
          <w:i/>
          <w:iCs/>
          <w:color w:val="1A2A3A"/>
          <w:sz w:val="22"/>
          <w:szCs w:val="22"/>
        </w:rPr>
        <w:t xml:space="preserve">"Finally, software that talks to the tools as clearly as you do."</w:t>
      </w:r>
    </w:p>
    <w:p>
      <w:pPr>
        <w:spacing w:after="120"/>
      </w:pPr>
      <w:r>
        <w:rPr>
          <w:rFonts w:ascii="Arial" w:cs="Arial" w:eastAsia="Arial" w:hAnsi="Arial"/>
          <w:b/>
          <w:bCs/>
          <w:color w:val="4B86B4"/>
          <w:sz w:val="22"/>
          <w:szCs w:val="22"/>
        </w:rPr>
        <w:t xml:space="preserve">Operator Company Man: </w:t>
      </w:r>
      <w:r>
        <w:rPr>
          <w:rFonts w:ascii="Arial" w:cs="Arial" w:eastAsia="Arial" w:hAnsi="Arial"/>
          <w:i/>
          <w:iCs/>
          <w:color w:val="1A2A3A"/>
          <w:sz w:val="22"/>
          <w:szCs w:val="22"/>
        </w:rPr>
        <w:t xml:space="preserve">"Logs you can actually trust before the tool even hits the surface."</w:t>
      </w:r>
    </w:p>
    <w:p>
      <w:pPr>
        <w:spacing w:after="120"/>
      </w:pPr>
      <w:r>
        <w:rPr>
          <w:rFonts w:ascii="Arial" w:cs="Arial" w:eastAsia="Arial" w:hAnsi="Arial"/>
          <w:b/>
          <w:bCs/>
          <w:color w:val="4B86B4"/>
          <w:sz w:val="22"/>
          <w:szCs w:val="22"/>
        </w:rPr>
        <w:t xml:space="preserve">Service Company Leader: </w:t>
      </w:r>
      <w:r>
        <w:rPr>
          <w:rFonts w:ascii="Arial" w:cs="Arial" w:eastAsia="Arial" w:hAnsi="Arial"/>
          <w:i/>
          <w:iCs/>
          <w:color w:val="1A2A3A"/>
          <w:sz w:val="22"/>
          <w:szCs w:val="22"/>
        </w:rPr>
        <w:t xml:space="preserve">"Technology that protects your reputation as much as your bottom line."</w:t>
      </w:r>
    </w:p>
    <w:p>
      <w:pPr>
        <w:spacing w:after="60" w:before="60"/>
      </w:pPr>
    </w:p>
    <w:p>
      <w:pPr>
        <w:pStyle w:val="Heading2"/>
      </w:pPr>
      <w:r>
        <w:t xml:space="preserve">B. Value Pillars Feature Strip</w:t>
      </w:r>
    </w:p>
    <w:p>
      <w:pPr>
        <w:spacing w:after="120"/>
      </w:pPr>
      <w:r>
        <w:rPr>
          <w:rFonts w:ascii="Arial" w:cs="Arial" w:eastAsia="Arial" w:hAnsi="Arial"/>
          <w:color w:val="1A2A3A"/>
          <w:sz w:val="22"/>
          <w:szCs w:val="22"/>
        </w:rPr>
        <w:t xml:space="preserve">Add a four-column icon strip below the hero section, one column per value pillar. Each should have a simple icon, a two-word label, and a single-sentence description:</w:t>
      </w:r>
    </w:p>
    <w:p>
      <w:pPr>
        <w:spacing w:after="40" w:before="40"/>
      </w:pPr>
    </w:p>
    <w:p>
      <w:pPr>
        <w:spacing w:after="120"/>
      </w:pPr>
      <w:r>
        <w:rPr>
          <w:rFonts w:ascii="Arial" w:cs="Arial" w:eastAsia="Arial" w:hAnsi="Arial"/>
          <w:b/>
          <w:bCs/>
          <w:color w:val="3498DB"/>
          <w:sz w:val="22"/>
          <w:szCs w:val="22"/>
        </w:rPr>
        <w:t xml:space="preserve">Operational Efficiency — </w:t>
      </w:r>
      <w:r>
        <w:rPr>
          <w:rFonts w:ascii="Arial" w:cs="Arial" w:eastAsia="Arial" w:hAnsi="Arial"/>
          <w:color w:val="1A2A3A"/>
          <w:sz w:val="22"/>
          <w:szCs w:val="22"/>
        </w:rPr>
        <w:t xml:space="preserve">Run more jobs with the crews and equipment you already have.</w:t>
      </w:r>
    </w:p>
    <w:p>
      <w:pPr>
        <w:spacing w:after="120"/>
      </w:pPr>
      <w:r>
        <w:rPr>
          <w:rFonts w:ascii="Arial" w:cs="Arial" w:eastAsia="Arial" w:hAnsi="Arial"/>
          <w:b/>
          <w:bCs/>
          <w:color w:val="3498DB"/>
          <w:sz w:val="22"/>
          <w:szCs w:val="22"/>
        </w:rPr>
        <w:t xml:space="preserve">Cost Control — </w:t>
      </w:r>
      <w:r>
        <w:rPr>
          <w:rFonts w:ascii="Arial" w:cs="Arial" w:eastAsia="Arial" w:hAnsi="Arial"/>
          <w:color w:val="1A2A3A"/>
          <w:sz w:val="22"/>
          <w:szCs w:val="22"/>
        </w:rPr>
        <w:t xml:space="preserve">Fewer systems, less wiring, less that can go wrong before the first log pass.</w:t>
      </w:r>
    </w:p>
    <w:p>
      <w:pPr>
        <w:spacing w:after="120"/>
      </w:pPr>
      <w:r>
        <w:rPr>
          <w:rFonts w:ascii="Arial" w:cs="Arial" w:eastAsia="Arial" w:hAnsi="Arial"/>
          <w:b/>
          <w:bCs/>
          <w:color w:val="3498DB"/>
          <w:sz w:val="22"/>
          <w:szCs w:val="22"/>
        </w:rPr>
        <w:t xml:space="preserve">Speed of Decision — </w:t>
      </w:r>
      <w:r>
        <w:rPr>
          <w:rFonts w:ascii="Arial" w:cs="Arial" w:eastAsia="Arial" w:hAnsi="Arial"/>
          <w:color w:val="1A2A3A"/>
          <w:sz w:val="22"/>
          <w:szCs w:val="22"/>
        </w:rPr>
        <w:t xml:space="preserve">Guided workflows mean the right call happens before the tool goes downhole.</w:t>
      </w:r>
    </w:p>
    <w:p>
      <w:pPr>
        <w:spacing w:after="120"/>
      </w:pPr>
      <w:r>
        <w:rPr>
          <w:rFonts w:ascii="Arial" w:cs="Arial" w:eastAsia="Arial" w:hAnsi="Arial"/>
          <w:b/>
          <w:bCs/>
          <w:color w:val="3498DB"/>
          <w:sz w:val="22"/>
          <w:szCs w:val="22"/>
        </w:rPr>
        <w:t xml:space="preserve">Data Confidence — </w:t>
      </w:r>
      <w:r>
        <w:rPr>
          <w:rFonts w:ascii="Arial" w:cs="Arial" w:eastAsia="Arial" w:hAnsi="Arial"/>
          <w:color w:val="1A2A3A"/>
          <w:sz w:val="22"/>
          <w:szCs w:val="22"/>
        </w:rPr>
        <w:t xml:space="preserve">Consistent acquisition standards across every truck, every crew, every job.</w:t>
      </w:r>
    </w:p>
    <w:p>
      <w:pPr>
        <w:spacing w:after="60" w:before="60"/>
      </w:pPr>
    </w:p>
    <w:p>
      <w:pPr>
        <w:pStyle w:val="Heading2"/>
      </w:pPr>
      <w:r>
        <w:t xml:space="preserve">C. Vocabulary Enforcement</w:t>
      </w:r>
    </w:p>
    <w:p>
      <w:pPr>
        <w:spacing w:after="120"/>
      </w:pPr>
      <w:r>
        <w:rPr>
          <w:rFonts w:ascii="Arial" w:cs="Arial" w:eastAsia="Arial" w:hAnsi="Arial"/>
          <w:color w:val="1A2A3A"/>
          <w:sz w:val="22"/>
          <w:szCs w:val="22"/>
        </w:rPr>
        <w:t xml:space="preserve">Audit all existing site copy and replace legacy language per the manifesto’s vocabulary table. Swap "proprietary formats" for "Data Sovereignty," "well logging software" for "Subsurface Intelligence," "old / legacy" for "Field-Validated," "compatible" for "Interoperable," and "important" for "Mission-Critical." This should be a global find-and-replace across every page of the Lovable site.</w:t>
      </w:r>
    </w:p>
    <w:p>
      <w:pPr>
        <w:spacing w:after="60" w:before="60"/>
      </w:pPr>
    </w:p>
    <w:p>
      <w:pPr>
        <w:pStyle w:val="Heading2"/>
      </w:pPr>
      <w:r>
        <w:t xml:space="preserve">D. Footer Tagline</w:t>
      </w:r>
    </w:p>
    <w:p>
      <w:pPr>
        <w:spacing w:after="120"/>
      </w:pPr>
      <w:r>
        <w:rPr>
          <w:rFonts w:ascii="Arial" w:cs="Arial" w:eastAsia="Arial" w:hAnsi="Arial"/>
          <w:b/>
          <w:bCs/>
          <w:color w:val="4B86B4"/>
          <w:sz w:val="22"/>
          <w:szCs w:val="22"/>
        </w:rPr>
        <w:t xml:space="preserve">Add to the site footer: </w:t>
      </w:r>
      <w:r>
        <w:rPr>
          <w:rFonts w:ascii="Arial" w:cs="Arial" w:eastAsia="Arial" w:hAnsi="Arial"/>
          <w:color w:val="1A2A3A"/>
          <w:sz w:val="22"/>
          <w:szCs w:val="22"/>
        </w:rPr>
        <w:t xml:space="preserve">"Digital precision for a physical world." — from the manifesto’s Identity pillar. Render in the Gold accent with a subtle gradient.</w:t>
      </w:r>
    </w:p>
    <w:p>
      <w:r>
        <w:br w:type="page"/>
      </w:r>
    </w:p>
    <w:p>
      <w:pPr>
        <w:pStyle w:val="Heading1"/>
      </w:pPr>
      <w:r>
        <w:t xml:space="preserve">Quick-Reference: All Proposed Updates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3000"/>
        <w:gridCol w:w="2160"/>
      </w:tblGrid>
      <w:tr>
        <w:trPr>
          <w:tblHeader/>
        </w:trPr>
        <w:tc>
          <w:tcPr>
            <w:tcW w:type="dxa" w:w="1800"/>
            <w:tcBorders>
              <w:top w:val="single" w:color="D0D8E0" w:sz="1"/>
              <w:left w:val="single" w:color="D0D8E0" w:sz="1"/>
              <w:bottom w:val="single" w:color="D0D8E0" w:sz="1"/>
              <w:right w:val="single" w:color="D0D8E0" w:sz="1"/>
            </w:tcBorders>
            <w:shd w:fill="628CA3"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2400"/>
            <w:tcBorders>
              <w:top w:val="single" w:color="D0D8E0" w:sz="1"/>
              <w:left w:val="single" w:color="D0D8E0" w:sz="1"/>
              <w:bottom w:val="single" w:color="D0D8E0" w:sz="1"/>
              <w:right w:val="single" w:color="D0D8E0" w:sz="1"/>
            </w:tcBorders>
            <w:shd w:fill="628CA3" w:val="clear"/>
            <w:tcMar>
              <w:top w:type="dxa" w:w="80"/>
              <w:left w:type="dxa" w:w="120"/>
              <w:bottom w:type="dxa" w:w="80"/>
              <w:right w:type="dxa" w:w="120"/>
            </w:tcMar>
          </w:tcPr>
          <w:p>
            <w:r>
              <w:rPr>
                <w:rFonts w:ascii="Arial" w:cs="Arial" w:eastAsia="Arial" w:hAnsi="Arial"/>
                <w:b/>
                <w:bCs/>
                <w:color w:val="FFFFFF"/>
                <w:sz w:val="20"/>
                <w:szCs w:val="20"/>
              </w:rPr>
              <w:t xml:space="preserve">Current / Legacy</w:t>
            </w:r>
          </w:p>
        </w:tc>
        <w:tc>
          <w:tcPr>
            <w:tcW w:type="dxa" w:w="3000"/>
            <w:tcBorders>
              <w:top w:val="single" w:color="D0D8E0" w:sz="1"/>
              <w:left w:val="single" w:color="D0D8E0" w:sz="1"/>
              <w:bottom w:val="single" w:color="D0D8E0" w:sz="1"/>
              <w:right w:val="single" w:color="D0D8E0" w:sz="1"/>
            </w:tcBorders>
            <w:shd w:fill="628CA3" w:val="clear"/>
            <w:tcMar>
              <w:top w:type="dxa" w:w="80"/>
              <w:left w:type="dxa" w:w="120"/>
              <w:bottom w:type="dxa" w:w="80"/>
              <w:right w:type="dxa" w:w="120"/>
            </w:tcMar>
          </w:tcPr>
          <w:p>
            <w:r>
              <w:rPr>
                <w:rFonts w:ascii="Arial" w:cs="Arial" w:eastAsia="Arial" w:hAnsi="Arial"/>
                <w:b/>
                <w:bCs/>
                <w:color w:val="FFFFFF"/>
                <w:sz w:val="20"/>
                <w:szCs w:val="20"/>
              </w:rPr>
              <w:t xml:space="preserve">Proposed Update</w:t>
            </w:r>
          </w:p>
        </w:tc>
        <w:tc>
          <w:tcPr>
            <w:tcW w:type="dxa" w:w="2160"/>
            <w:tcBorders>
              <w:top w:val="single" w:color="D0D8E0" w:sz="1"/>
              <w:left w:val="single" w:color="D0D8E0" w:sz="1"/>
              <w:bottom w:val="single" w:color="D0D8E0" w:sz="1"/>
              <w:right w:val="single" w:color="D0D8E0" w:sz="1"/>
            </w:tcBorders>
            <w:shd w:fill="628CA3"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1800"/>
            <w:tcBorders>
              <w:top w:val="single" w:color="D0D8E0" w:sz="1"/>
              <w:left w:val="single" w:color="D0D8E0" w:sz="1"/>
              <w:bottom w:val="single" w:color="D0D8E0" w:sz="1"/>
              <w:right w:val="single" w:color="D0D8E0" w:sz="1"/>
            </w:tcBorders>
            <w:shd w:fill="EBF0F5" w:val="clear"/>
            <w:tcMar>
              <w:top w:type="dxa" w:w="80"/>
              <w:left w:type="dxa" w:w="120"/>
              <w:bottom w:type="dxa" w:w="80"/>
              <w:right w:type="dxa" w:w="120"/>
            </w:tcMar>
          </w:tcPr>
          <w:p>
            <w:r>
              <w:rPr>
                <w:rFonts w:ascii="Arial" w:cs="Arial" w:eastAsia="Arial" w:hAnsi="Arial"/>
                <w:b/>
                <w:bCs/>
                <w:color w:val="4B86B4"/>
                <w:sz w:val="20"/>
                <w:szCs w:val="20"/>
              </w:rPr>
              <w:t xml:space="preserve">1. Logo</w:t>
            </w:r>
          </w:p>
        </w:tc>
        <w:tc>
          <w:tcPr>
            <w:tcW w:type="dxa" w:w="240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Arial" w:cs="Arial" w:eastAsia="Arial" w:hAnsi="Arial"/>
                <w:color w:val="888888"/>
                <w:sz w:val="20"/>
                <w:szCs w:val="20"/>
              </w:rPr>
              <w:t xml:space="preserve">Basic SDS mark, inconsistent placement</w:t>
            </w:r>
          </w:p>
        </w:tc>
        <w:tc>
          <w:tcPr>
            <w:tcW w:type="dxa" w:w="300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Arial" w:cs="Arial" w:eastAsia="Arial" w:hAnsi="Arial"/>
                <w:b/>
                <w:bCs/>
                <w:color w:val="1A2A3A"/>
                <w:sz w:val="20"/>
                <w:szCs w:val="20"/>
              </w:rPr>
              <w:t xml:space="preserve">White SDS lettermark on Slate Base nav, full name lockup below, gold favicon accent</w:t>
            </w:r>
          </w:p>
        </w:tc>
        <w:tc>
          <w:tcPr>
            <w:tcW w:type="dxa" w:w="216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Arial" w:cs="Arial" w:eastAsia="Arial" w:hAnsi="Arial"/>
                <w:i/>
                <w:iCs/>
                <w:color w:val="666666"/>
                <w:sz w:val="18"/>
                <w:szCs w:val="18"/>
              </w:rPr>
              <w:t xml:space="preserve">"Rugged Tech" identity pillar</w:t>
            </w:r>
          </w:p>
        </w:tc>
      </w:tr>
      <w:tr>
        <w:tc>
          <w:tcPr>
            <w:tcW w:type="dxa" w:w="1800"/>
            <w:tcBorders>
              <w:top w:val="single" w:color="D0D8E0" w:sz="1"/>
              <w:left w:val="single" w:color="D0D8E0" w:sz="1"/>
              <w:bottom w:val="single" w:color="D0D8E0" w:sz="1"/>
              <w:right w:val="single" w:color="D0D8E0" w:sz="1"/>
            </w:tcBorders>
            <w:shd w:fill="EBF0F5" w:val="clear"/>
            <w:tcMar>
              <w:top w:type="dxa" w:w="80"/>
              <w:left w:type="dxa" w:w="120"/>
              <w:bottom w:type="dxa" w:w="80"/>
              <w:right w:type="dxa" w:w="120"/>
            </w:tcMar>
          </w:tcPr>
          <w:p>
            <w:r>
              <w:rPr>
                <w:rFonts w:ascii="Arial" w:cs="Arial" w:eastAsia="Arial" w:hAnsi="Arial"/>
                <w:b/>
                <w:bCs/>
                <w:color w:val="4B86B4"/>
                <w:sz w:val="20"/>
                <w:szCs w:val="20"/>
              </w:rPr>
              <w:t xml:space="preserve">2. Brand Colors</w:t>
            </w:r>
          </w:p>
        </w:tc>
        <w:tc>
          <w:tcPr>
            <w:tcW w:type="dxa" w:w="240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Arial" w:cs="Arial" w:eastAsia="Arial" w:hAnsi="Arial"/>
                <w:color w:val="888888"/>
                <w:sz w:val="20"/>
                <w:szCs w:val="20"/>
              </w:rPr>
              <w:t xml:space="preserve">Undefined or inconsistent palette</w:t>
            </w:r>
          </w:p>
        </w:tc>
        <w:tc>
          <w:tcPr>
            <w:tcW w:type="dxa" w:w="300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Arial" w:cs="Arial" w:eastAsia="Arial" w:hAnsi="Arial"/>
                <w:b/>
                <w:bCs/>
                <w:color w:val="1A2A3A"/>
                <w:sz w:val="20"/>
                <w:szCs w:val="20"/>
              </w:rPr>
              <w:t xml:space="preserve">6-color system with CSS vars, gold gradient for premium accents, dark text for readability</w:t>
            </w:r>
          </w:p>
        </w:tc>
        <w:tc>
          <w:tcPr>
            <w:tcW w:type="dxa" w:w="216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Arial" w:cs="Arial" w:eastAsia="Arial" w:hAnsi="Arial"/>
                <w:i/>
                <w:iCs/>
                <w:color w:val="666666"/>
                <w:sz w:val="18"/>
                <w:szCs w:val="18"/>
              </w:rPr>
              <w:t xml:space="preserve">Manifesto: high-contrast, industrial</w:t>
            </w:r>
          </w:p>
        </w:tc>
      </w:tr>
      <w:tr>
        <w:tc>
          <w:tcPr>
            <w:tcW w:type="dxa" w:w="1800"/>
            <w:tcBorders>
              <w:top w:val="single" w:color="D0D8E0" w:sz="1"/>
              <w:left w:val="single" w:color="D0D8E0" w:sz="1"/>
              <w:bottom w:val="single" w:color="D0D8E0" w:sz="1"/>
              <w:right w:val="single" w:color="D0D8E0" w:sz="1"/>
            </w:tcBorders>
            <w:shd w:fill="EBF0F5" w:val="clear"/>
            <w:tcMar>
              <w:top w:type="dxa" w:w="80"/>
              <w:left w:type="dxa" w:w="120"/>
              <w:bottom w:type="dxa" w:w="80"/>
              <w:right w:type="dxa" w:w="120"/>
            </w:tcMar>
          </w:tcPr>
          <w:p>
            <w:r>
              <w:rPr>
                <w:rFonts w:ascii="Arial" w:cs="Arial" w:eastAsia="Arial" w:hAnsi="Arial"/>
                <w:b/>
                <w:bCs/>
                <w:color w:val="4B86B4"/>
                <w:sz w:val="20"/>
                <w:szCs w:val="20"/>
              </w:rPr>
              <w:t xml:space="preserve">3. Hero Headline</w:t>
            </w:r>
          </w:p>
        </w:tc>
        <w:tc>
          <w:tcPr>
            <w:tcW w:type="dxa" w:w="240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Arial" w:cs="Arial" w:eastAsia="Arial" w:hAnsi="Arial"/>
                <w:color w:val="888888"/>
                <w:sz w:val="20"/>
                <w:szCs w:val="20"/>
              </w:rPr>
              <w:t xml:space="preserve">Generic wireline language</w:t>
            </w:r>
          </w:p>
        </w:tc>
        <w:tc>
          <w:tcPr>
            <w:tcW w:type="dxa" w:w="300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Arial" w:cs="Arial" w:eastAsia="Arial" w:hAnsi="Arial"/>
                <w:b/>
                <w:bCs/>
                <w:color w:val="1A2A3A"/>
                <w:sz w:val="20"/>
                <w:szCs w:val="20"/>
              </w:rPr>
              <w:t xml:space="preserve">"One Platform. Any Tool. Clean Data Every Time."</w:t>
            </w:r>
          </w:p>
        </w:tc>
        <w:tc>
          <w:tcPr>
            <w:tcW w:type="dxa" w:w="216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Arial" w:cs="Arial" w:eastAsia="Arial" w:hAnsi="Arial"/>
                <w:i/>
                <w:iCs/>
                <w:color w:val="666666"/>
                <w:sz w:val="18"/>
                <w:szCs w:val="18"/>
              </w:rPr>
              <w:t xml:space="preserve">Core 2026 positioning line</w:t>
            </w:r>
          </w:p>
        </w:tc>
      </w:tr>
      <w:tr>
        <w:tc>
          <w:tcPr>
            <w:tcW w:type="dxa" w:w="1800"/>
            <w:tcBorders>
              <w:top w:val="single" w:color="D0D8E0" w:sz="1"/>
              <w:left w:val="single" w:color="D0D8E0" w:sz="1"/>
              <w:bottom w:val="single" w:color="D0D8E0" w:sz="1"/>
              <w:right w:val="single" w:color="D0D8E0" w:sz="1"/>
            </w:tcBorders>
            <w:shd w:fill="EBF0F5" w:val="clear"/>
            <w:tcMar>
              <w:top w:type="dxa" w:w="80"/>
              <w:left w:type="dxa" w:w="120"/>
              <w:bottom w:type="dxa" w:w="80"/>
              <w:right w:type="dxa" w:w="120"/>
            </w:tcMar>
          </w:tcPr>
          <w:p>
            <w:r>
              <w:rPr>
                <w:rFonts w:ascii="Arial" w:cs="Arial" w:eastAsia="Arial" w:hAnsi="Arial"/>
                <w:b/>
                <w:bCs/>
                <w:color w:val="4B86B4"/>
                <w:sz w:val="20"/>
                <w:szCs w:val="20"/>
              </w:rPr>
              <w:t xml:space="preserve">4. Hero Subheading</w:t>
            </w:r>
          </w:p>
        </w:tc>
        <w:tc>
          <w:tcPr>
            <w:tcW w:type="dxa" w:w="240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Arial" w:cs="Arial" w:eastAsia="Arial" w:hAnsi="Arial"/>
                <w:color w:val="888888"/>
                <w:sz w:val="20"/>
                <w:szCs w:val="20"/>
              </w:rPr>
              <w:t xml:space="preserve">Feature-list approach</w:t>
            </w:r>
          </w:p>
        </w:tc>
        <w:tc>
          <w:tcPr>
            <w:tcW w:type="dxa" w:w="300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Arial" w:cs="Arial" w:eastAsia="Arial" w:hAnsi="Arial"/>
                <w:b/>
                <w:bCs/>
                <w:color w:val="1A2A3A"/>
                <w:sz w:val="20"/>
                <w:szCs w:val="20"/>
              </w:rPr>
              <w:t xml:space="preserve">Vendor-agnostic + 34 years + single interface + single workflow</w:t>
            </w:r>
          </w:p>
        </w:tc>
        <w:tc>
          <w:tcPr>
            <w:tcW w:type="dxa" w:w="216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Arial" w:cs="Arial" w:eastAsia="Arial" w:hAnsi="Arial"/>
                <w:i/>
                <w:iCs/>
                <w:color w:val="666666"/>
                <w:sz w:val="18"/>
                <w:szCs w:val="18"/>
              </w:rPr>
              <w:t xml:space="preserve">Outcome-driven, jargon-free</w:t>
            </w:r>
          </w:p>
        </w:tc>
      </w:tr>
      <w:tr>
        <w:tc>
          <w:tcPr>
            <w:tcW w:type="dxa" w:w="1800"/>
            <w:tcBorders>
              <w:top w:val="single" w:color="D0D8E0" w:sz="1"/>
              <w:left w:val="single" w:color="D0D8E0" w:sz="1"/>
              <w:bottom w:val="single" w:color="D0D8E0" w:sz="1"/>
              <w:right w:val="single" w:color="D0D8E0" w:sz="1"/>
            </w:tcBorders>
            <w:shd w:fill="EBF0F5" w:val="clear"/>
            <w:tcMar>
              <w:top w:type="dxa" w:w="80"/>
              <w:left w:type="dxa" w:w="120"/>
              <w:bottom w:type="dxa" w:w="80"/>
              <w:right w:type="dxa" w:w="120"/>
            </w:tcMar>
          </w:tcPr>
          <w:p>
            <w:r>
              <w:rPr>
                <w:rFonts w:ascii="Arial" w:cs="Arial" w:eastAsia="Arial" w:hAnsi="Arial"/>
                <w:b/>
                <w:bCs/>
                <w:color w:val="4B86B4"/>
                <w:sz w:val="20"/>
                <w:szCs w:val="20"/>
              </w:rPr>
              <w:t xml:space="preserve">5. About Headline</w:t>
            </w:r>
          </w:p>
        </w:tc>
        <w:tc>
          <w:tcPr>
            <w:tcW w:type="dxa" w:w="240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Arial" w:cs="Arial" w:eastAsia="Arial" w:hAnsi="Arial"/>
                <w:color w:val="888888"/>
                <w:sz w:val="20"/>
                <w:szCs w:val="20"/>
              </w:rPr>
              <w:t xml:space="preserve">"About Us" or similar</w:t>
            </w:r>
          </w:p>
        </w:tc>
        <w:tc>
          <w:tcPr>
            <w:tcW w:type="dxa" w:w="300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Arial" w:cs="Arial" w:eastAsia="Arial" w:hAnsi="Arial"/>
                <w:b/>
                <w:bCs/>
                <w:color w:val="1A2A3A"/>
                <w:sz w:val="20"/>
                <w:szCs w:val="20"/>
              </w:rPr>
              <w:t xml:space="preserve">"Founded in Houston. Proven Globally. Built for the Next 40 Years."</w:t>
            </w:r>
          </w:p>
        </w:tc>
        <w:tc>
          <w:tcPr>
            <w:tcW w:type="dxa" w:w="216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Arial" w:cs="Arial" w:eastAsia="Arial" w:hAnsi="Arial"/>
                <w:i/>
                <w:iCs/>
                <w:color w:val="666666"/>
                <w:sz w:val="18"/>
                <w:szCs w:val="18"/>
              </w:rPr>
              <w:t xml:space="preserve">"Modern Wisdom" pillar</w:t>
            </w:r>
          </w:p>
        </w:tc>
      </w:tr>
      <w:tr>
        <w:tc>
          <w:tcPr>
            <w:tcW w:type="dxa" w:w="1800"/>
            <w:tcBorders>
              <w:top w:val="single" w:color="D0D8E0" w:sz="1"/>
              <w:left w:val="single" w:color="D0D8E0" w:sz="1"/>
              <w:bottom w:val="single" w:color="D0D8E0" w:sz="1"/>
              <w:right w:val="single" w:color="D0D8E0" w:sz="1"/>
            </w:tcBorders>
            <w:shd w:fill="EBF0F5" w:val="clear"/>
            <w:tcMar>
              <w:top w:type="dxa" w:w="80"/>
              <w:left w:type="dxa" w:w="120"/>
              <w:bottom w:type="dxa" w:w="80"/>
              <w:right w:type="dxa" w:w="120"/>
            </w:tcMar>
          </w:tcPr>
          <w:p>
            <w:r>
              <w:rPr>
                <w:rFonts w:ascii="Arial" w:cs="Arial" w:eastAsia="Arial" w:hAnsi="Arial"/>
                <w:b/>
                <w:bCs/>
                <w:color w:val="4B86B4"/>
                <w:sz w:val="20"/>
                <w:szCs w:val="20"/>
              </w:rPr>
              <w:t xml:space="preserve">6. About Subheading</w:t>
            </w:r>
          </w:p>
        </w:tc>
        <w:tc>
          <w:tcPr>
            <w:tcW w:type="dxa" w:w="240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Arial" w:cs="Arial" w:eastAsia="Arial" w:hAnsi="Arial"/>
                <w:color w:val="888888"/>
                <w:sz w:val="20"/>
                <w:szCs w:val="20"/>
              </w:rPr>
              <w:t xml:space="preserve">Missing or generic</w:t>
            </w:r>
          </w:p>
        </w:tc>
        <w:tc>
          <w:tcPr>
            <w:tcW w:type="dxa" w:w="300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Arial" w:cs="Arial" w:eastAsia="Arial" w:hAnsi="Arial"/>
                <w:b/>
                <w:bCs/>
                <w:color w:val="1A2A3A"/>
                <w:sz w:val="20"/>
                <w:szCs w:val="20"/>
              </w:rPr>
              <w:t xml:space="preserve">"Architects of subsurface clarity" + open interoperability statement</w:t>
            </w:r>
          </w:p>
        </w:tc>
        <w:tc>
          <w:tcPr>
            <w:tcW w:type="dxa" w:w="216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Arial" w:cs="Arial" w:eastAsia="Arial" w:hAnsi="Arial"/>
                <w:i/>
                <w:iCs/>
                <w:color w:val="666666"/>
                <w:sz w:val="18"/>
                <w:szCs w:val="18"/>
              </w:rPr>
              <w:t xml:space="preserve">Core Identity from manifesto</w:t>
            </w:r>
          </w:p>
        </w:tc>
      </w:tr>
      <w:tr>
        <w:tc>
          <w:tcPr>
            <w:tcW w:type="dxa" w:w="1800"/>
            <w:tcBorders>
              <w:top w:val="single" w:color="D0D8E0" w:sz="1"/>
              <w:left w:val="single" w:color="D0D8E0" w:sz="1"/>
              <w:bottom w:val="single" w:color="D0D8E0" w:sz="1"/>
              <w:right w:val="single" w:color="D0D8E0" w:sz="1"/>
            </w:tcBorders>
            <w:shd w:fill="EBF0F5" w:val="clear"/>
            <w:tcMar>
              <w:top w:type="dxa" w:w="80"/>
              <w:left w:type="dxa" w:w="120"/>
              <w:bottom w:type="dxa" w:w="80"/>
              <w:right w:type="dxa" w:w="120"/>
            </w:tcMar>
          </w:tcPr>
          <w:p>
            <w:r>
              <w:rPr>
                <w:rFonts w:ascii="Arial" w:cs="Arial" w:eastAsia="Arial" w:hAnsi="Arial"/>
                <w:b/>
                <w:bCs/>
                <w:color w:val="4B86B4"/>
                <w:sz w:val="20"/>
                <w:szCs w:val="20"/>
              </w:rPr>
              <w:t xml:space="preserve">7. About Story</w:t>
            </w:r>
          </w:p>
        </w:tc>
        <w:tc>
          <w:tcPr>
            <w:tcW w:type="dxa" w:w="240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Arial" w:cs="Arial" w:eastAsia="Arial" w:hAnsi="Arial"/>
                <w:color w:val="888888"/>
                <w:sz w:val="20"/>
                <w:szCs w:val="20"/>
              </w:rPr>
              <w:t xml:space="preserve">Technical spec dump</w:t>
            </w:r>
          </w:p>
        </w:tc>
        <w:tc>
          <w:tcPr>
            <w:tcW w:type="dxa" w:w="300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Arial" w:cs="Arial" w:eastAsia="Arial" w:hAnsi="Arial"/>
                <w:b/>
                <w:bCs/>
                <w:color w:val="1A2A3A"/>
                <w:sz w:val="20"/>
                <w:szCs w:val="20"/>
              </w:rPr>
              <w:t xml:space="preserve">Narrative: 34 years, Universal Panel, crew freedom, energy transition</w:t>
            </w:r>
          </w:p>
        </w:tc>
        <w:tc>
          <w:tcPr>
            <w:tcW w:type="dxa" w:w="216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Arial" w:cs="Arial" w:eastAsia="Arial" w:hAnsi="Arial"/>
                <w:i/>
                <w:iCs/>
                <w:color w:val="666666"/>
                <w:sz w:val="18"/>
                <w:szCs w:val="18"/>
              </w:rPr>
              <w:t xml:space="preserve">Outcomes over features</w:t>
            </w:r>
          </w:p>
        </w:tc>
      </w:tr>
      <w:tr>
        <w:tc>
          <w:tcPr>
            <w:tcW w:type="dxa" w:w="1800"/>
            <w:tcBorders>
              <w:top w:val="single" w:color="D0D8E0" w:sz="1"/>
              <w:left w:val="single" w:color="D0D8E0" w:sz="1"/>
              <w:bottom w:val="single" w:color="D0D8E0" w:sz="1"/>
              <w:right w:val="single" w:color="D0D8E0" w:sz="1"/>
            </w:tcBorders>
            <w:shd w:fill="EBF0F5" w:val="clear"/>
            <w:tcMar>
              <w:top w:type="dxa" w:w="80"/>
              <w:left w:type="dxa" w:w="120"/>
              <w:bottom w:type="dxa" w:w="80"/>
              <w:right w:type="dxa" w:w="120"/>
            </w:tcMar>
          </w:tcPr>
          <w:p>
            <w:r>
              <w:rPr>
                <w:rFonts w:ascii="Arial" w:cs="Arial" w:eastAsia="Arial" w:hAnsi="Arial"/>
                <w:b/>
                <w:bCs/>
                <w:color w:val="4B86B4"/>
                <w:sz w:val="20"/>
                <w:szCs w:val="20"/>
              </w:rPr>
              <w:t xml:space="preserve">8. Leadership</w:t>
            </w:r>
          </w:p>
        </w:tc>
        <w:tc>
          <w:tcPr>
            <w:tcW w:type="dxa" w:w="240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Arial" w:cs="Arial" w:eastAsia="Arial" w:hAnsi="Arial"/>
                <w:color w:val="888888"/>
                <w:sz w:val="20"/>
                <w:szCs w:val="20"/>
              </w:rPr>
              <w:t xml:space="preserve">Buried below products</w:t>
            </w:r>
          </w:p>
        </w:tc>
        <w:tc>
          <w:tcPr>
            <w:tcW w:type="dxa" w:w="300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Arial" w:cs="Arial" w:eastAsia="Arial" w:hAnsi="Arial"/>
                <w:b/>
                <w:bCs/>
                <w:color w:val="1A2A3A"/>
                <w:sz w:val="20"/>
                <w:szCs w:val="20"/>
              </w:rPr>
              <w:t xml:space="preserve">Move directly after About story, card grid with field-experience descriptors</w:t>
            </w:r>
          </w:p>
        </w:tc>
        <w:tc>
          <w:tcPr>
            <w:tcW w:type="dxa" w:w="216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Arial" w:cs="Arial" w:eastAsia="Arial" w:hAnsi="Arial"/>
                <w:i/>
                <w:iCs/>
                <w:color w:val="666666"/>
                <w:sz w:val="18"/>
                <w:szCs w:val="18"/>
              </w:rPr>
              <w:t xml:space="preserve">"Culture" pillar: peer credibility</w:t>
            </w:r>
          </w:p>
        </w:tc>
      </w:tr>
      <w:tr>
        <w:tc>
          <w:tcPr>
            <w:tcW w:type="dxa" w:w="1800"/>
            <w:tcBorders>
              <w:top w:val="single" w:color="D0D8E0" w:sz="1"/>
              <w:left w:val="single" w:color="D0D8E0" w:sz="1"/>
              <w:bottom w:val="single" w:color="D0D8E0" w:sz="1"/>
              <w:right w:val="single" w:color="D0D8E0" w:sz="1"/>
            </w:tcBorders>
            <w:shd w:fill="EBF0F5" w:val="clear"/>
            <w:tcMar>
              <w:top w:type="dxa" w:w="80"/>
              <w:left w:type="dxa" w:w="120"/>
              <w:bottom w:type="dxa" w:w="80"/>
              <w:right w:type="dxa" w:w="120"/>
            </w:tcMar>
          </w:tcPr>
          <w:p>
            <w:r>
              <w:rPr>
                <w:rFonts w:ascii="Arial" w:cs="Arial" w:eastAsia="Arial" w:hAnsi="Arial"/>
                <w:b/>
                <w:bCs/>
                <w:color w:val="4B86B4"/>
                <w:sz w:val="20"/>
                <w:szCs w:val="20"/>
              </w:rPr>
              <w:t xml:space="preserve">9. Quote Headline</w:t>
            </w:r>
          </w:p>
        </w:tc>
        <w:tc>
          <w:tcPr>
            <w:tcW w:type="dxa" w:w="240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Arial" w:cs="Arial" w:eastAsia="Arial" w:hAnsi="Arial"/>
                <w:color w:val="888888"/>
                <w:sz w:val="20"/>
                <w:szCs w:val="20"/>
              </w:rPr>
              <w:t xml:space="preserve">"Request a Quote"</w:t>
            </w:r>
          </w:p>
        </w:tc>
        <w:tc>
          <w:tcPr>
            <w:tcW w:type="dxa" w:w="300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Arial" w:cs="Arial" w:eastAsia="Arial" w:hAnsi="Arial"/>
                <w:b/>
                <w:bCs/>
                <w:color w:val="1A2A3A"/>
                <w:sz w:val="20"/>
                <w:szCs w:val="20"/>
              </w:rPr>
              <w:t xml:space="preserve">"Let’s Build Your System."</w:t>
            </w:r>
          </w:p>
        </w:tc>
        <w:tc>
          <w:tcPr>
            <w:tcW w:type="dxa" w:w="216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Arial" w:cs="Arial" w:eastAsia="Arial" w:hAnsi="Arial"/>
                <w:i/>
                <w:iCs/>
                <w:color w:val="666666"/>
                <w:sz w:val="18"/>
                <w:szCs w:val="18"/>
              </w:rPr>
              <w:t xml:space="preserve">Collaborative, engineer-to-engineer</w:t>
            </w:r>
          </w:p>
        </w:tc>
      </w:tr>
      <w:tr>
        <w:tc>
          <w:tcPr>
            <w:tcW w:type="dxa" w:w="1800"/>
            <w:tcBorders>
              <w:top w:val="single" w:color="D0D8E0" w:sz="1"/>
              <w:left w:val="single" w:color="D0D8E0" w:sz="1"/>
              <w:bottom w:val="single" w:color="D0D8E0" w:sz="1"/>
              <w:right w:val="single" w:color="D0D8E0" w:sz="1"/>
            </w:tcBorders>
            <w:shd w:fill="EBF0F5" w:val="clear"/>
            <w:tcMar>
              <w:top w:type="dxa" w:w="80"/>
              <w:left w:type="dxa" w:w="120"/>
              <w:bottom w:type="dxa" w:w="80"/>
              <w:right w:type="dxa" w:w="120"/>
            </w:tcMar>
          </w:tcPr>
          <w:p>
            <w:r>
              <w:rPr>
                <w:rFonts w:ascii="Arial" w:cs="Arial" w:eastAsia="Arial" w:hAnsi="Arial"/>
                <w:b/>
                <w:bCs/>
                <w:color w:val="4B86B4"/>
                <w:sz w:val="20"/>
                <w:szCs w:val="20"/>
              </w:rPr>
              <w:t xml:space="preserve">10. Quote Subheading</w:t>
            </w:r>
          </w:p>
        </w:tc>
        <w:tc>
          <w:tcPr>
            <w:tcW w:type="dxa" w:w="240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Arial" w:cs="Arial" w:eastAsia="Arial" w:hAnsi="Arial"/>
                <w:color w:val="888888"/>
                <w:sz w:val="20"/>
                <w:szCs w:val="20"/>
              </w:rPr>
              <w:t xml:space="preserve">Missing or form-only</w:t>
            </w:r>
          </w:p>
        </w:tc>
        <w:tc>
          <w:tcPr>
            <w:tcW w:type="dxa" w:w="300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Arial" w:cs="Arial" w:eastAsia="Arial" w:hAnsi="Arial"/>
                <w:b/>
                <w:bCs/>
                <w:color w:val="1A2A3A"/>
                <w:sz w:val="20"/>
                <w:szCs w:val="20"/>
              </w:rPr>
              <w:t xml:space="preserve">"Tell us what you run..." with vendor-agnostic reinforcement</w:t>
            </w:r>
          </w:p>
        </w:tc>
        <w:tc>
          <w:tcPr>
            <w:tcW w:type="dxa" w:w="2160"/>
            <w:tcBorders>
              <w:top w:val="single" w:color="D0D8E0" w:sz="1"/>
              <w:left w:val="single" w:color="D0D8E0" w:sz="1"/>
              <w:bottom w:val="single" w:color="D0D8E0" w:sz="1"/>
              <w:right w:val="single" w:color="D0D8E0" w:sz="1"/>
            </w:tcBorders>
            <w:tcMar>
              <w:top w:type="dxa" w:w="80"/>
              <w:left w:type="dxa" w:w="120"/>
              <w:bottom w:type="dxa" w:w="80"/>
              <w:right w:type="dxa" w:w="120"/>
            </w:tcMar>
          </w:tcPr>
          <w:p>
            <w:r>
              <w:rPr>
                <w:rFonts w:ascii="Arial" w:cs="Arial" w:eastAsia="Arial" w:hAnsi="Arial"/>
                <w:i/>
                <w:iCs/>
                <w:color w:val="666666"/>
                <w:sz w:val="18"/>
                <w:szCs w:val="18"/>
              </w:rPr>
              <w:t xml:space="preserve">Qualifies leads + brand voice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1" w:space="4"/>
      </w:pBdr>
      <w:jc w:val="center"/>
    </w:pPr>
    <w:r>
      <w:rPr>
        <w:rFonts w:ascii="Arial" w:cs="Arial" w:eastAsia="Arial" w:hAnsi="Arial"/>
        <w:color w:val="AAAAAA"/>
        <w:sz w:val="16"/>
        <w:szCs w:val="16"/>
      </w:rPr>
      <w:t xml:space="preserve">Scientific Data Systems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6A92B" w:sz="2" w:space="4"/>
      </w:pBdr>
      <w:jc w:val="right"/>
    </w:pPr>
    <w:r>
      <w:rPr>
        <w:rFonts w:ascii="Arial" w:cs="Arial" w:eastAsia="Arial" w:hAnsi="Arial"/>
        <w:i/>
        <w:iCs/>
        <w:color w:val="999999"/>
        <w:sz w:val="18"/>
        <w:szCs w:val="18"/>
      </w:rPr>
      <w:t xml:space="preserve">SDS Website Update Recommendations</w:t>
    </w:r>
    <w:r>
      <w:rPr>
        <w:rFonts w:ascii="Arial" w:cs="Arial" w:eastAsia="Arial" w:hAnsi="Arial"/>
        <w:color w:val="CCCCCC"/>
        <w:sz w:val="18"/>
        <w:szCs w:val="18"/>
      </w:rPr>
      <w:t xml:space="preserve">  |  </w:t>
    </w:r>
    <w:r>
      <w:rPr>
        <w:rFonts w:ascii="Arial" w:cs="Arial" w:eastAsia="Arial" w:hAnsi="Arial"/>
        <w:i/>
        <w:iCs/>
        <w:color w:val="999999"/>
        <w:sz w:val="18"/>
        <w:szCs w:val="18"/>
      </w:rPr>
      <w:t xml:space="preserve">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628CA3"/>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4B86B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2026-04-03T17:56:13.614Z</dcterms:created>
  <dcterms:modified xsi:type="dcterms:W3CDTF">2026-04-03T17:56:13.616Z</dcterms:modified>
</cp:coreProperties>
</file>

<file path=docProps/custom.xml><?xml version="1.0" encoding="utf-8"?>
<Properties xmlns="http://schemas.openxmlformats.org/officeDocument/2006/custom-properties" xmlns:vt="http://schemas.openxmlformats.org/officeDocument/2006/docPropsVTypes"/>
</file>