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28CA3"/>
          <w:sz w:val="44"/>
          <w:szCs w:val="44"/>
        </w:rPr>
        <w:t xml:space="preserve">SCIENTIFIC DATA SYSTEMS</w:t>
      </w:r>
    </w:p>
    <w:p>
      <w:pPr>
        <w:spacing w:after="40"/>
        <w:jc w:val="center"/>
      </w:pPr>
      <w:r>
        <w:rPr>
          <w:rFonts w:ascii="Arial" w:cs="Arial" w:eastAsia="Arial" w:hAnsi="Arial"/>
          <w:color w:val="4B86B4"/>
          <w:sz w:val="36"/>
          <w:szCs w:val="36"/>
        </w:rPr>
        <w:t xml:space="preserve">Website Redesign</w:t>
      </w:r>
    </w:p>
    <w:p>
      <w:pPr>
        <w:spacing w:after="40"/>
        <w:jc w:val="center"/>
      </w:pPr>
      <w:r>
        <w:rPr>
          <w:rFonts w:ascii="Arial" w:cs="Arial" w:eastAsia="Arial" w:hAnsi="Arial"/>
          <w:color w:val="4B86B4"/>
          <w:sz w:val="36"/>
          <w:szCs w:val="36"/>
        </w:rPr>
        <w:t xml:space="preserve">Update Recommendations</w:t>
      </w:r>
    </w:p>
    <w:p>
      <w:pPr>
        <w:pBdr>
          <w:bottom w:val="single" w:color="C6A92B" w:sz="6" w:space="8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C6A92B"/>
          <w:sz w:val="24"/>
          <w:szCs w:val="24"/>
        </w:rPr>
        <w:t xml:space="preserve">Aligned to the 2026 Brand Voice Manifesto v4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C6A92B"/>
          <w:sz w:val="24"/>
          <w:szCs w:val="24"/>
        </w:rPr>
        <w:t xml:space="preserve">Incorporating All Christopher Knight Feedback</w:t>
      </w:r>
    </w:p>
    <w:p>
      <w:pPr>
        <w:spacing w:after="200"/>
        <w:jc w:val="center"/>
      </w:pPr>
      <w:r>
        <w:rPr>
          <w:rFonts w:ascii="Arial" w:cs="Arial" w:eastAsia="Arial" w:hAnsi="Arial"/>
          <w:color w:val="3498DB"/>
          <w:sz w:val="22"/>
          <w:szCs w:val="22"/>
        </w:rPr>
        <w:t xml:space="preserve">sdsdata.lovable.app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Revised: April 7, 2026</w:t>
      </w:r>
    </w:p>
    <w:p>
      <w:r>
        <w:br w:type="page"/>
      </w:r>
    </w:p>
    <w:p>
      <w:pPr>
        <w:pStyle w:val="Heading1"/>
      </w:pPr>
      <w:r>
        <w:t xml:space="preserve">1. Logo — SDS / Warrior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SDS logo anchors the top-left of every page. Warrior must appear prominently alongside it as the recognized product brand.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Primary Logo Mark: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"SDS" lettermark in white (#FFFFFF) against the Slate Base (#628CA3) navigation bar. Weighted and intentional per the Rugged Tech pillar.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Warrior Brand Presence: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The Warrior name or Warrior 8 mark must appear in the navigation or directly below the SDS logo. This is the brand the industry knows — it’s what gets specced on job programs and service tickets. It cannot be absent from the first screen.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Logo Lockup: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SDS lettermark + "Scientific Data Systems" in Steel Mid-Blue (#4B86B4) at smaller weight. On mobile, collapse to SDS lettermark + Warrior mark.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Favicon: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SDS monogram with gold (#C6A92B) accent stroke.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2. Brand Colors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on Website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Slate Base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#628CA3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Hero backgrounds, nav, footer, section breaks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--sds-slate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Signal Blue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#3498DB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CTAs, links, buttons, hover states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--sds-signal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Vibrant Signal Blue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#3498DB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Spot UV / main linework (print collateral)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--sds-vibrant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Steel Mid-Blue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#4B86B4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Subheadings, card borders, icon strokes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--sds-steel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#FFFFFF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Body text on dark, card surfaces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--sds-white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Gold Accent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Gradient: #C09C00 → #C8B44F (fallback: #C6A92B)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Dividers, heritage badge, premium accents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--sds-gold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Dark Text</w:t>
            </w:r>
          </w:p>
        </w:tc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#1A2A3A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Body copy on light backgrounds</w:t>
            </w:r>
          </w:p>
        </w:tc>
        <w:tc>
          <w:tcPr>
            <w:tcW w:type="dxa" w:w="27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--sds-dark</w:t>
            </w:r>
          </w:p>
        </w:tc>
      </w:tr>
    </w:tbl>
    <w:p>
      <w:pPr>
        <w:spacing w:after="60" w:before="6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i/>
          <w:iCs/>
          <w:color w:val="C6A92B"/>
          <w:sz w:val="22"/>
          <w:szCs w:val="22"/>
        </w:rPr>
        <w:t xml:space="preserve">Open decisions: </w:t>
      </w:r>
      <w:r>
        <w:rPr>
          <w:rFonts w:ascii="Arial" w:cs="Arial" w:eastAsia="Arial" w:hAnsi="Arial"/>
          <w:i/>
          <w:iCs/>
          <w:color w:val="1A2A3A"/>
          <w:sz w:val="22"/>
          <w:szCs w:val="22"/>
        </w:rPr>
        <w:t xml:space="preserve">Background color TBD. Gold accent on logo TBD.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3. Front Page Headline</w:t>
      </w:r>
    </w:p>
    <w:p>
      <w:pPr>
        <w:spacing w:after="40" w:before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Headline:
</w:t>
      </w:r>
      <w:r>
        <w:rPr>
          <w:rFonts w:ascii="Arial" w:cs="Arial" w:eastAsia="Arial" w:hAnsi="Arial"/>
          <w:b/>
          <w:bCs/>
          <w:color w:val="1A2A3A"/>
          <w:sz w:val="36"/>
          <w:szCs w:val="36"/>
        </w:rPr>
        <w:t xml:space="preserve">Any tool. Any signal. One platform.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Per Christopher Knight’s direction: the cadence follows a Variable → Variable → Constant structure that emphasizes compatibility and flexibility first, then resolves with the consolidation promise. “Signal” is a field word — it covers tool telemetry, switch telemetry, surface sensors, and data imported from other platforms (pumpdown data, winch data, etc.).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Render in white (#FFFFFF) over a full-bleed hero image or video of a wireline operation, with Slate Base (#628CA3) overlay at 60–70% opacity.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4. Front Page Subheading</w:t>
      </w:r>
    </w:p>
    <w:p>
      <w:pPr>
        <w:spacing w:after="40" w:before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Line 1 (Warrior Brand):
</w:t>
      </w:r>
      <w:r>
        <w:rPr>
          <w:rFonts w:ascii="Arial" w:cs="Arial" w:eastAsia="Arial" w:hAnsi="Arial"/>
          <w:b/>
          <w:bCs/>
          <w:color w:val="1A2A3A"/>
          <w:sz w:val="26"/>
          <w:szCs w:val="26"/>
        </w:rPr>
        <w:t xml:space="preserve">Warrior — Mission-Critical Wireline Acquisition and Control.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Line 2 (Supporting Detail):
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Universally compatible with every major wireline tool manufacturer. Delivering mission-critical acquisition and control, real-time data broadcasting, and full operational visibility — from surface to downhole.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This immediately establishes the Warrior brand name, the product category (wireline acquisition and control — covering both logging and perforating), and three tangible capabilities. All flagged terms removed: no automation claims, no subsurface intelligence, no data sovereignty, no interoperable.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Badge: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"Universal Wireline Tool Compatibility" — displayed as a visual badge element near the hero CTA.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CTA Button: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"See Warrior in Action" or "Request a Demo" in Signal Blue (#3498DB) with white text.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5. About Us Headline</w:t>
      </w:r>
    </w:p>
    <w:p>
      <w:pPr>
        <w:spacing w:after="40" w:before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Headline:
</w:t>
      </w:r>
      <w:r>
        <w:rPr>
          <w:rFonts w:ascii="Arial" w:cs="Arial" w:eastAsia="Arial" w:hAnsi="Arial"/>
          <w:b/>
          <w:bCs/>
          <w:color w:val="1A2A3A"/>
          <w:sz w:val="28"/>
          <w:szCs w:val="28"/>
        </w:rPr>
        <w:t xml:space="preserve">"Founded in Houston. Proven Globally. Built for the Next 40 Years."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From the manifesto’s Modern Wisdom pillar. References history purely to prove future-readiness.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6. About Us Sub-Headers</w:t>
      </w:r>
    </w:p>
    <w:p>
      <w:pPr>
        <w:spacing w:after="40" w:before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Sub-Headers (three-column strip):
</w:t>
      </w:r>
      <w:r>
        <w:rPr>
          <w:rFonts w:ascii="Arial" w:cs="Arial" w:eastAsia="Arial" w:hAnsi="Arial"/>
          <w:b/>
          <w:bCs/>
          <w:color w:val="1A2A3A"/>
          <w:sz w:val="24"/>
          <w:szCs w:val="24"/>
        </w:rPr>
        <w:t xml:space="preserve">Universal Compatibility  ·  Field-Proven Reliability  ·  Uncompromising Support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Per Christopher’s direction, these replace the previous sub-headers. Each makes a concrete two-word promise. They work as a scannable icon strip beneath the About Us story.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7. About Us — Our Story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Copy (Christopher Knight’s approved rewrite):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"For over 30 years, SDS has delivered rugged, universally compatible data acquisition systems to wireline operations across six continents. Our Warrior platform is the professional’s standard — built on the principle that your surface system should never limit your downhole capabilities.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We empower service companies to break free from closed, ‘black box’ ecosystems. By providing a single platform that communicates with virtually any tool string, we give our customers the freedom to expand their service lines and compete at the highest level. We handle everything in-house — software, hardware, telemetry, and support. When you call us, you talk directly to the Houston-based engineers who designed your system."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Copy — "What We Stand For" (Christopher Knight’s approved rewrite):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"Your crew should spend time running mission-critical operations — not troubleshooting equipment or fighting closed-system limitations. Every product we build prioritizes universal tool integration and field-validated reliability.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We serve oil &amp; gas, geothermal, environmental, and mining operations with systems proven in the most demanding well conditions on the planet, ensuring you capture every signal, from any tool, seamlessly."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C6A92B"/>
          <w:sz w:val="22"/>
          <w:szCs w:val="22"/>
        </w:rPr>
        <w:t xml:space="preserve">Key vocabulary changes applied: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“Interoperable” → “universally compatible.” “Proprietary formats” → “closed-system limitations.” “Data Sovereignty” removed (reframe around ease of data access and export). “Supervised automation” / “Guided workflows” / “Intelligent automation” removed (not current features). “Subsurface Intelligence” reserved for future cloud platform. “Switzerland of Data” removed. “Your data is yours” reframed. Tractor/high-power tool references removed (planned, not available).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8. About Us — Leadership Section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Recommendation: Move Leadership UP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directly after the About Us story, before any product detail sections.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manifesto’s Culture pillar is explicit: "We speak your language because we’ve walked your site." Leadership cards should appear immediately after the company story to reinforce peer credibility.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Layout: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Two- or three-column card grid. Professional headshot, full name, title, and a one-line field experience descriptor (e.g., “28 years in downhole diagnostics”). Gold accent bottom-border on each card.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Dependency: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Leadership headshots and group photo shoot not yet scheduled — needed for website and LinkedIn per the collaboration tracker.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9. Request a Quote Headline</w:t>
      </w:r>
    </w:p>
    <w:p>
      <w:pPr>
        <w:spacing w:after="40" w:before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Headline:
</w:t>
      </w:r>
      <w:r>
        <w:rPr>
          <w:rFonts w:ascii="Arial" w:cs="Arial" w:eastAsia="Arial" w:hAnsi="Arial"/>
          <w:b/>
          <w:bCs/>
          <w:color w:val="1A2A3A"/>
          <w:sz w:val="28"/>
          <w:szCs w:val="28"/>
        </w:rPr>
        <w:t xml:space="preserve">"Let’s Build Your Warrior System."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Shifts from transactional to collaborative. Now includes the Warrior brand name directly in the CTA section, reinforcing brand recognition at the point of conversion.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10. Request a Quote Subheading</w:t>
      </w:r>
    </w:p>
    <w:p>
      <w:pPr>
        <w:spacing w:after="40" w:before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Proposed Subheading:
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"Tell us what you run and where you run it. We’ll configure a Warrior system tailored to your fleet, your tools, and your crews — no matter the manufacturer."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Qualifies the lead, reinforces vendor-agnostic value, and echoes the “engineer’s engineer” peer-to-peer tone. No flagged vocabulary.</w:t>
      </w:r>
    </w:p>
    <w:p>
      <w:pPr>
        <w:pBdr>
          <w:bottom w:val="single" w:color="C6A92B" w:sz="4" w:space="8"/>
        </w:pBdr>
        <w:spacing w:after="240" w:before="240"/>
      </w:pPr>
    </w:p>
    <w:p>
      <w:pPr>
        <w:pStyle w:val="Heading1"/>
      </w:pPr>
      <w:r>
        <w:t xml:space="preserve">11. Request a Quote — Product Picklist</w:t>
      </w:r>
    </w:p>
    <w:p>
      <w:pPr>
        <w:spacing w:after="40" w:before="40"/>
      </w:pP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quote form includes a structured product selector. Each panel ships with a Warrior software license. The form captures both hardware and software selections together.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UX Pattern: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Two-section accordion: “Hardware” and “Software.” Checkbox selections. When a hardware panel is selected, display an “Includes Warrior License” badge.</w:t>
      </w:r>
    </w:p>
    <w:p>
      <w:pPr>
        <w:spacing w:after="40" w:before="40"/>
      </w:pPr>
    </w:p>
    <w:p>
      <w:pPr>
        <w:pStyle w:val="Heading2"/>
      </w:pPr>
      <w:r>
        <w:t xml:space="preserve">Hardware Panels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 Category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Selectable Options</w:t>
            </w:r>
          </w:p>
        </w:tc>
      </w:tr>
      <w:tr>
        <w:tc>
          <w:tcPr>
            <w:tcW w:type="dxa" w:w="3200"/>
            <w:vMerge w:val="restart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Warrior Universal Panel (ULPP)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Standard Panel (CS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Cased-Hole (CP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Open-Hole (OP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120V Power</w:t>
            </w:r>
          </w:p>
        </w:tc>
      </w:tr>
      <w:tr>
        <w:tc>
          <w:tcPr>
            <w:tcW w:type="dxa" w:w="3200"/>
            <w:vMerge w:val="restart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Standard Panel (STIP)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Standard Panel (CS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Cased-Hole (CP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Open-Hole (OP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120V Power</w:t>
            </w:r>
          </w:p>
        </w:tc>
      </w:tr>
      <w:tr>
        <w:tc>
          <w:tcPr>
            <w:tcW w:type="dxa" w:w="3200"/>
            <w:vMerge w:val="restart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Pulse-Only Panel (PIP)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120V Power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220V Power</w:t>
            </w:r>
          </w:p>
        </w:tc>
      </w:tr>
      <w:tr>
        <w:tc>
          <w:tcPr>
            <w:tcW w:type="dxa" w:w="3200"/>
            <w:vMerge w:val="restart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SLAB Panel (SLAB)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Standard Panel (SLAB Panel)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Full Pulse-Only License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Depth-Tension Panel (DTL)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Standard Panel (DTL Panel)</w:t>
            </w:r>
          </w:p>
        </w:tc>
      </w:tr>
      <w:tr>
        <w:tc>
          <w:tcPr>
            <w:tcW w:type="dxa" w:w="3200"/>
            <w:vMerge w:val="restart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Additional Modules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Digital Distribution Module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Caliper Processing Module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WITS I/O Module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Memory Processing Module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LWD Module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t xml:space="preserve">Software — Warrior License Options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Category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Selectable Options</w:t>
            </w:r>
          </w:p>
        </w:tc>
      </w:tr>
      <w:tr>
        <w:tc>
          <w:tcPr>
            <w:tcW w:type="dxa" w:w="3200"/>
            <w:vMerge w:val="restart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Warrior License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Cased-Hole License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Open-Hole License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Perforating License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Pulse-Only License</w:t>
            </w:r>
          </w:p>
        </w:tc>
      </w:tr>
      <w:tr>
        <w:tc>
          <w:tcPr>
            <w:vMerge w:val="continue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</w:tcPr>
          <w:p/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A"/>
                <w:sz w:val="20"/>
                <w:szCs w:val="20"/>
              </w:rPr>
              <w:t xml:space="preserve">SLAB License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t xml:space="preserve">Form Flow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Step 1 — Contact Info: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Name, Company, Email, Phone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Step 2 — Products: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Hardware panel checkboxes + Software license checkboxes (multi-select)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Step 3 — Context: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"What tools/systems do you currently run?" (open text) + "What are you looking to improve?" (dropdown)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Step 4 — Submit: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CTA: "Get Your Custom Configuration" in Signal Blue. Confirmation: "Our engineering team will follow up within one business day."</w:t>
      </w:r>
    </w:p>
    <w:p>
      <w:pPr>
        <w:spacing w:after="20" w:before="20"/>
      </w:pPr>
    </w:p>
    <w:p>
      <w:pPr>
        <w:pBdr>
          <w:bottom w:val="single" w:color="C6A92B" w:sz="4" w:space="8"/>
        </w:pBdr>
        <w:spacing w:after="240" w:before="240"/>
      </w:pPr>
    </w:p>
    <w:p>
      <w:r>
        <w:br w:type="page"/>
      </w:r>
    </w:p>
    <w:p>
      <w:pPr>
        <w:pStyle w:val="Heading1"/>
      </w:pPr>
      <w:r>
        <w:t xml:space="preserve">Additional Recommendations</w:t>
      </w:r>
    </w:p>
    <w:p>
      <w:pPr>
        <w:spacing w:after="40" w:before="40"/>
      </w:pPr>
    </w:p>
    <w:p>
      <w:pPr>
        <w:pStyle w:val="Heading2"/>
      </w:pPr>
      <w:r>
        <w:t xml:space="preserve">A. Warrior Universal Panel — Dedicated Section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The Warrior Universal Panel needs its own section below the hero fold. Proposed headline: "The Warrior Universal Panel." Supporting line: "One surface unit for logging and perforating. Multiple switches, tool strings, and surface systems — all from a single command point." This is where the product-specific detail lives, separate from the brand-level hero messaging.</w:t>
      </w:r>
    </w:p>
    <w:p>
      <w:pPr>
        <w:spacing w:after="40" w:before="40"/>
      </w:pPr>
    </w:p>
    <w:p>
      <w:pPr>
        <w:pStyle w:val="Heading2"/>
      </w:pPr>
      <w:r>
        <w:t xml:space="preserve">B. Persona-Driven Callouts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Add a rotating callout module on the homepage that speaks to each persona group: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Wellsite Crew: </w:t>
      </w:r>
      <w:r>
        <w:rPr>
          <w:rFonts w:ascii="Arial" w:cs="Arial" w:eastAsia="Arial" w:hAnsi="Arial"/>
          <w:i/>
          <w:iCs/>
          <w:color w:val="1A2A3A"/>
          <w:sz w:val="22"/>
          <w:szCs w:val="22"/>
        </w:rPr>
        <w:t xml:space="preserve">"The job shouldn’t depend on who taught you."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Shop &amp; Support: </w:t>
      </w:r>
      <w:r>
        <w:rPr>
          <w:rFonts w:ascii="Arial" w:cs="Arial" w:eastAsia="Arial" w:hAnsi="Arial"/>
          <w:i/>
          <w:iCs/>
          <w:color w:val="1A2A3A"/>
          <w:sz w:val="22"/>
          <w:szCs w:val="22"/>
        </w:rPr>
        <w:t xml:space="preserve">"Every wire you eliminate is a failure you prevent."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Field Leader: </w:t>
      </w:r>
      <w:r>
        <w:rPr>
          <w:rFonts w:ascii="Arial" w:cs="Arial" w:eastAsia="Arial" w:hAnsi="Arial"/>
          <w:i/>
          <w:iCs/>
          <w:color w:val="1A2A3A"/>
          <w:sz w:val="22"/>
          <w:szCs w:val="22"/>
        </w:rPr>
        <w:t xml:space="preserve">"The best shift is the one nobody had to call you about."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The Builders: </w:t>
      </w:r>
      <w:r>
        <w:rPr>
          <w:rFonts w:ascii="Arial" w:cs="Arial" w:eastAsia="Arial" w:hAnsi="Arial"/>
          <w:i/>
          <w:iCs/>
          <w:color w:val="1A2A3A"/>
          <w:sz w:val="22"/>
          <w:szCs w:val="22"/>
        </w:rPr>
        <w:t xml:space="preserve">"Open platform. Your tools. Your rules."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Decision Makers: </w:t>
      </w:r>
      <w:r>
        <w:rPr>
          <w:rFonts w:ascii="Arial" w:cs="Arial" w:eastAsia="Arial" w:hAnsi="Arial"/>
          <w:i/>
          <w:iCs/>
          <w:color w:val="1A2A3A"/>
          <w:sz w:val="22"/>
          <w:szCs w:val="22"/>
        </w:rPr>
        <w:t xml:space="preserve">"Every signal, accessible the moment you need it — streamed, exported, your way."</w:t>
      </w:r>
    </w:p>
    <w:p>
      <w:pPr>
        <w:spacing w:after="40" w:before="40"/>
      </w:pPr>
    </w:p>
    <w:p>
      <w:pPr>
        <w:pStyle w:val="Heading2"/>
      </w:pPr>
      <w:r>
        <w:t xml:space="preserve">C. Value Pillars Feature Strip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Four-column icon strip below the hero. One per value pillar: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Operational Efficiency —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Run more jobs with the crews and equipment you already have.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Cost Control —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Fewer systems, less wiring, less that can go wrong before the first log pass.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Speed of Decision —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Purpose-built interfaces so the right call happens before the tool goes downhole.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Data Confidence —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Consistent acquisition standards across every truck, every crew, every job.</w:t>
      </w:r>
    </w:p>
    <w:p>
      <w:pPr>
        <w:spacing w:after="40" w:before="40"/>
      </w:pPr>
    </w:p>
    <w:p>
      <w:pPr>
        <w:pStyle w:val="Heading2"/>
      </w:pPr>
      <w:r>
        <w:t xml:space="preserve">D. Global Vocabulary Audit</w:t>
      </w:r>
    </w:p>
    <w:p>
      <w:pPr>
        <w:spacing w:after="140" w:line="320"/>
      </w:pPr>
      <w:r>
        <w:rPr>
          <w:rFonts w:ascii="Arial" w:cs="Arial" w:eastAsia="Arial" w:hAnsi="Arial"/>
          <w:color w:val="1A2A3A"/>
          <w:sz w:val="22"/>
          <w:szCs w:val="22"/>
        </w:rPr>
        <w:t xml:space="preserve">Run a find-and-replace across every page of the Lovable site:</w:t>
      </w:r>
    </w:p>
    <w:p>
      <w:pPr>
        <w:spacing w:after="20" w:before="20"/>
      </w:pP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“Interoperable”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“Universally compatible”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“Proprietary formats”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“Closed-system limitations”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“Data Sovereignty”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— instead emphasize ease of data access, streaming, and export options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“Subsurface Intelligence”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(reserve for future cloud platform)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“Supervised/Guided/Intelligent Automation”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(not current features) — replace with “purpose-built interfaces”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“Guidelines workflows”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— replace with “purpose-built interfaces” or “tailored interfaces”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“Switzerland of Data”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— replace with “independent platform, no allegiance to any manufacturer”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“Your data is yours”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— reframe around ease of access, data streaming, export options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“Vendor lock-in”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“Black box ecosystem” or “closed ecosystem”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Tractor / high-power tool direct connection →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Remove (planned feature, not yet available)</w:t>
      </w:r>
    </w:p>
    <w:p>
      <w:pPr>
        <w:spacing w:after="40" w:before="40"/>
      </w:pPr>
    </w:p>
    <w:p>
      <w:pPr>
        <w:pStyle w:val="Heading2"/>
      </w:pPr>
      <w:r>
        <w:t xml:space="preserve">E. Footer Tagline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color w:val="4B86B4"/>
          <w:sz w:val="22"/>
          <w:szCs w:val="22"/>
        </w:rPr>
        <w:t xml:space="preserve">Add to footer: </w:t>
      </w:r>
      <w:r>
        <w:rPr>
          <w:rFonts w:ascii="Arial" w:cs="Arial" w:eastAsia="Arial" w:hAnsi="Arial"/>
          <w:color w:val="1A2A3A"/>
          <w:sz w:val="22"/>
          <w:szCs w:val="22"/>
        </w:rPr>
        <w:t xml:space="preserve">"Digital precision for a physical world." Render in Gold accent with subtle gradient.</w:t>
      </w:r>
    </w:p>
    <w:p>
      <w:pPr>
        <w:pBdr>
          <w:bottom w:val="single" w:color="C6A92B" w:sz="4" w:space="8"/>
        </w:pBdr>
        <w:spacing w:after="240" w:before="240"/>
      </w:pPr>
    </w:p>
    <w:p>
      <w:r>
        <w:br w:type="page"/>
      </w:r>
    </w:p>
    <w:p>
      <w:pPr>
        <w:pStyle w:val="Heading1"/>
      </w:pPr>
      <w:r>
        <w:t xml:space="preserve">Quick-Reference: All Proposed Updates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/ Legacy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Update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628C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1. Logo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Basic SDS mark, no Warrior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SDS lettermark + Warrior brand mark in nav, gold favicon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Warrior is the recognized brand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2. Colors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Undefined palette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7-color system with CSS vars, gold gradient, open decisions noted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Per brand guide + CK feedback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3. Headline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"One platform. Any tool. Clean data every time."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"Any tool. Any signal. One platform."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CK: Variable-Variable-Constant cadence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4. Subheading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Generic feature language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"Warrior — Mission-Critical Wireline Acquisition and Control." + supporting detail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Warrior brand front-and-center, no automation claim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5. About Head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"About Us"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"Founded in Houston. Proven Globally. Built for the Next 40 Years."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Modern Wisdom pillar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6. About Subs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Generic sub-headers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Universal Compatibility · Field-Proven Reliability · Uncompromising Support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CK’s approved replacements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7. About Story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Tech spec dump with flagged jargon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CK’s rewrite: universally compatible, black box ecosystems, Houston engineers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All flagged terms removed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8. Leadership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Buried below products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Move up after About story, card grid with field-experience descriptors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Culture pillar: peer credibility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9. Quote Head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"Request a Quote"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"Let’s Build Your Warrior System."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Collaborative + Warrior brand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10. Quote Sub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Missing or form-only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"Tell us what you run..." with vendor-agnostic reinforcement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Qualifies leads + brand voice</w:t>
            </w:r>
          </w:p>
        </w:tc>
      </w:tr>
      <w:tr>
        <w:tc>
          <w:tcPr>
            <w:tcW w:type="dxa" w:w="1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B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86B4"/>
                <w:sz w:val="20"/>
                <w:szCs w:val="20"/>
              </w:rPr>
              <w:t xml:space="preserve">11. Picklist</w:t>
            </w:r>
          </w:p>
        </w:tc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No product selector</w:t>
            </w:r>
          </w:p>
        </w:tc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20"/>
                <w:szCs w:val="20"/>
              </w:rPr>
              <w:t xml:space="preserve">Hardware + Software checkbox tables with license bundling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Guides customer, reduces back-and-forth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Scientific Data Systems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92B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SDS Website Update Recommendations  •  Revised April 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628C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86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2026-04-07T14:54:56.939Z</dcterms:created>
  <dcterms:modified xsi:type="dcterms:W3CDTF">2026-04-07T14:54:56.940Z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