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9638"/>
      </w:tblGrid>
      <w:tr>
        <w:tc>
          <w:tcPr>
            <w:tcW w:type="dxa" w:w="9638"/>
            <w:shd w:val="clear" w:color="auto" w:fill="2E104F"/>
            <w:tcMar>
              <w:top w:w="140" w:type="dxa"/>
              <w:start w:w="0" w:type="dxa"/>
              <w:bottom w:w="140" w:type="dxa"/>
              <w:end w:w="0" w:type="dxa"/>
            </w:tcMar>
          </w:tcPr>
          <w:p>
            <w:pPr>
              <w:jc w:val="center"/>
            </w:pPr>
            <w:r>
              <w:rPr>
                <w:sz w:val="2"/>
              </w:rPr>
              <w:t xml:space="preserve"> </w:t>
            </w:r>
          </w:p>
        </w:tc>
      </w:tr>
    </w:tbl>
    <w:p/>
    <w:p>
      <w:pPr>
        <w:jc w:val="center"/>
      </w:pPr>
      <w:r>
        <w:rPr>
          <w:rFonts w:ascii="Georgia" w:hAnsi="Georgia"/>
          <w:b/>
          <w:color w:val="2E104F"/>
          <w:sz w:val="72"/>
        </w:rPr>
        <w:t>AGI Alpha RSI</w:t>
      </w:r>
    </w:p>
    <w:p>
      <w:pPr>
        <w:jc w:val="center"/>
      </w:pPr>
      <w:r>
        <w:rPr>
          <w:rFonts w:ascii="Georgia" w:hAnsi="Georgia"/>
          <w:b/>
          <w:color w:val="141414"/>
          <w:sz w:val="36"/>
        </w:rPr>
        <w:t>Sovereign Strategy Brief</w:t>
      </w:r>
    </w:p>
    <w:p/>
    <w:p>
      <w:pPr>
        <w:jc w:val="center"/>
      </w:pPr>
      <w:r>
        <w:rPr>
          <w:rFonts w:ascii="Calibri" w:hAnsi="Calibri"/>
          <w:color w:val="505050"/>
          <w:sz w:val="22"/>
        </w:rPr>
        <w:t>Classification: SECRET</w:t>
        <w:br/>
        <w:t>Version: Alpha v0</w:t>
        <w:br/>
      </w:r>
      <w:r>
        <w:rPr>
          <w:rFonts w:ascii="Calibri" w:hAnsi="Calibri"/>
          <w:color w:val="505050"/>
          <w:sz w:val="22"/>
        </w:rPr>
        <w:t>Date: 2026-01-25</w:t>
      </w:r>
    </w:p>
    <w:p/>
    <w:p>
      <w:pPr>
        <w:jc w:val="center"/>
      </w:pPr>
      <w:r>
        <w:rPr>
          <w:rFonts w:ascii="Calibri" w:hAnsi="Calibri"/>
          <w:i/>
          <w:color w:val="7A5CAA"/>
          <w:sz w:val="22"/>
        </w:rPr>
        <w:t>Deterministic invention operations for open‑ended discovery, governed deployment, and compounding advantage.</w:t>
      </w:r>
    </w:p>
    <w:p>
      <w:r>
        <w:br w:type="page"/>
      </w:r>
    </w:p>
    <w:p>
      <w:r>
        <w:rPr>
          <w:rFonts w:ascii="Georgia" w:hAnsi="Georgia"/>
          <w:b/>
          <w:color w:val="2E104F"/>
          <w:sz w:val="32"/>
        </w:rPr>
        <w:t>Executive Summary</w:t>
      </w:r>
    </w:p>
    <w:p>
      <w:pPr>
        <w:spacing w:after="120" w:line="276" w:lineRule="auto"/>
      </w:pPr>
      <w:r>
        <w:rPr>
          <w:rFonts w:ascii="Calibri" w:hAnsi="Calibri"/>
          <w:color w:val="1E1E1E"/>
          <w:sz w:val="22"/>
        </w:rPr>
        <w:t>AGI Alpha RSI is a governed, deterministic invention operating system. It converts exploration into validated advantage via schema‑bound artifacts, baseline‑comparative evaluation, and an auditable breakthrough protocol. Version v8 adds OMNI‑style open‑ended exploration targeting as search control—improving what we explore next—while preserving v7 guarantees: determinism, replayability, baseline discipline, Evidence Contact Index (ECI) semantics, and Move‑37 handling.</w:t>
      </w:r>
    </w:p>
    <w:p>
      <w:pPr>
        <w:pStyle w:val="ListBullet"/>
        <w:spacing w:after="40"/>
      </w:pPr>
      <w:r>
        <w:rPr>
          <w:rFonts w:ascii="Calibri" w:hAnsi="Calibri"/>
          <w:color w:val="1E1E1E"/>
          <w:sz w:val="22"/>
        </w:rPr>
        <w:t>Deterministic pipeline: target → emit → filter → atlas → test‑plan → eval → insert → promote.</w:t>
      </w:r>
    </w:p>
    <w:p>
      <w:pPr>
        <w:pStyle w:val="ListBullet"/>
        <w:spacing w:after="40"/>
      </w:pPr>
      <w:r>
        <w:rPr>
          <w:rFonts w:ascii="Calibri" w:hAnsi="Calibri"/>
          <w:color w:val="1E1E1E"/>
          <w:sz w:val="22"/>
        </w:rPr>
        <w:t>Search control, not outcome authority: OMNI influences allocation but never bypasses evidence, risk, or baseline gates.</w:t>
      </w:r>
    </w:p>
    <w:p>
      <w:pPr>
        <w:pStyle w:val="ListBullet"/>
        <w:spacing w:after="40"/>
      </w:pPr>
      <w:r>
        <w:rPr>
          <w:rFonts w:ascii="Calibri" w:hAnsi="Calibri"/>
          <w:color w:val="1E1E1E"/>
          <w:sz w:val="22"/>
        </w:rPr>
        <w:t>Novelty is measured once (deterministic novelty distance) and passed verbatim through audit fields.</w:t>
      </w:r>
    </w:p>
    <w:p>
      <w:pPr>
        <w:pStyle w:val="ListBullet"/>
        <w:spacing w:after="40"/>
      </w:pPr>
      <w:r>
        <w:rPr>
          <w:rFonts w:ascii="Calibri" w:hAnsi="Calibri"/>
          <w:color w:val="1E1E1E"/>
          <w:sz w:val="22"/>
        </w:rPr>
        <w:t>High novelty increases skepticism: novelty ≥ 0.80 forces ADVANTAGE_PERSISTENCE uncertainty and probe‑first behavior.</w:t>
      </w:r>
    </w:p>
    <w:p>
      <w:pPr>
        <w:pStyle w:val="ListBullet"/>
        <w:spacing w:after="40"/>
      </w:pPr>
      <w:r>
        <w:rPr>
          <w:rFonts w:ascii="Calibri" w:hAnsi="Calibri"/>
          <w:color w:val="1E1E1E"/>
          <w:sz w:val="22"/>
        </w:rPr>
        <w:t>Breakthroughs are state transitions with mandatory packaging: reproduction, stress tests, persistence gate, dossier bundle.</w:t>
      </w:r>
    </w:p>
    <w:p>
      <w:r>
        <w:rPr>
          <w:rFonts w:ascii="Georgia" w:hAnsi="Georgia"/>
          <w:b/>
          <w:color w:val="2E104F"/>
          <w:sz w:val="32"/>
        </w:rPr>
        <w:t>Strategic Objective: α‑AGI Ascension</w:t>
      </w:r>
    </w:p>
    <w:p>
      <w:pPr>
        <w:spacing w:after="120" w:line="276" w:lineRule="auto"/>
      </w:pPr>
      <w:r>
        <w:rPr>
          <w:rFonts w:ascii="Calibri" w:hAnsi="Calibri"/>
          <w:color w:val="1E1E1E"/>
          <w:sz w:val="22"/>
        </w:rPr>
        <w:t>The long‑horizon objective is α‑AGI Ascension: an open‑ended, recursively improving orchestration stack that compounds discovery, builds strategic autonomy, and scales safely from pilot to sovereign infrastructure—toward Kardashev‑class capabilities—in service of all sentient beings.</w:t>
      </w:r>
    </w:p>
    <w:p>
      <w:pPr>
        <w:pStyle w:val="ListBullet"/>
        <w:spacing w:after="40"/>
      </w:pPr>
      <w:r>
        <w:rPr>
          <w:rFonts w:ascii="Calibri" w:hAnsi="Calibri"/>
          <w:color w:val="1E1E1E"/>
          <w:sz w:val="22"/>
        </w:rPr>
        <w:t>Open‑endedness: sustained generation of new stepping stones, not a novelty mill.</w:t>
      </w:r>
    </w:p>
    <w:p>
      <w:pPr>
        <w:pStyle w:val="ListBullet"/>
        <w:spacing w:after="40"/>
      </w:pPr>
      <w:r>
        <w:rPr>
          <w:rFonts w:ascii="Calibri" w:hAnsi="Calibri"/>
          <w:color w:val="1E1E1E"/>
          <w:sz w:val="22"/>
        </w:rPr>
        <w:t>Recursive self‑improvement: systematic pressure toward higher‑leverage mechanisms and better exploration allocation.</w:t>
      </w:r>
    </w:p>
    <w:p>
      <w:pPr>
        <w:pStyle w:val="ListBullet"/>
        <w:spacing w:after="40"/>
      </w:pPr>
      <w:r>
        <w:rPr>
          <w:rFonts w:ascii="Calibri" w:hAnsi="Calibri"/>
          <w:color w:val="1E1E1E"/>
          <w:sz w:val="22"/>
        </w:rPr>
        <w:t>Orchestration: multi‑agent, multi‑lane execution with strict auditability and deterministic replay.</w:t>
      </w:r>
    </w:p>
    <w:p>
      <w:pPr>
        <w:pStyle w:val="ListBullet"/>
        <w:spacing w:after="40"/>
      </w:pPr>
      <w:r>
        <w:rPr>
          <w:rFonts w:ascii="Calibri" w:hAnsi="Calibri"/>
          <w:color w:val="1E1E1E"/>
          <w:sz w:val="22"/>
        </w:rPr>
        <w:t>Scale: from validated pilot loops to large‑scale invention capital infrastructure.</w:t>
      </w:r>
    </w:p>
    <w:p>
      <w:pPr>
        <w:pStyle w:val="ListBullet"/>
        <w:spacing w:after="40"/>
      </w:pPr>
      <w:r>
        <w:rPr>
          <w:rFonts w:ascii="Calibri" w:hAnsi="Calibri"/>
          <w:color w:val="1E1E1E"/>
          <w:sz w:val="22"/>
        </w:rPr>
        <w:t>Ethos: measurable benefit and harm‑avoidance across the full lifecycle.</w:t>
      </w:r>
    </w:p>
    <w:p>
      <w:r>
        <w:rPr>
          <w:rFonts w:ascii="Georgia" w:hAnsi="Georgia"/>
          <w:b/>
          <w:color w:val="2E104F"/>
          <w:sz w:val="32"/>
        </w:rPr>
        <w:t>System Kernel: Deterministic Invention OS (v8)</w:t>
      </w:r>
    </w:p>
    <w:p>
      <w:pPr>
        <w:spacing w:after="120" w:line="276" w:lineRule="auto"/>
      </w:pPr>
      <w:r>
        <w:rPr>
          <w:rFonts w:ascii="Calibri" w:hAnsi="Calibri"/>
          <w:color w:val="1E1E1E"/>
          <w:sz w:val="22"/>
        </w:rPr>
        <w:t>AGI Alpha RSI is organized as a deterministic multi‑stage pipeline. Each stage is executed by a role‑specific prompt and produces schema‑validated artifacts that can be replayed and independently audited.</w:t>
      </w:r>
    </w:p>
    <w:tbl>
      <w:tblPr>
        <w:tblStyle w:val="TableGrid"/>
        <w:tblW w:type="auto" w:w="0"/>
        <w:jc w:val="center"/>
        <w:tblLook w:firstColumn="1" w:firstRow="1" w:lastColumn="0" w:lastRow="0" w:noHBand="0" w:noVBand="1" w:val="04A0"/>
      </w:tblPr>
      <w:tblGrid>
        <w:gridCol w:w="3213"/>
        <w:gridCol w:w="3213"/>
        <w:gridCol w:w="3213"/>
      </w:tblGrid>
      <w:tr>
        <w:tc>
          <w:tcPr>
            <w:tcW w:type="dxa" w:w="1304"/>
            <w:shd w:val="clear" w:color="auto" w:fill="2E104F"/>
            <w:tcMar>
              <w:top w:w="80" w:type="dxa"/>
              <w:start w:w="80" w:type="dxa"/>
              <w:bottom w:w="80" w:type="dxa"/>
              <w:end w:w="80" w:type="dxa"/>
            </w:tcMar>
          </w:tcPr>
          <w:p>
            <w:pPr>
              <w:spacing w:after="0"/>
            </w:pPr>
            <w:r>
              <w:rPr>
                <w:rFonts w:ascii="Calibri" w:hAnsi="Calibri"/>
                <w:b/>
                <w:color w:val="FFFFFF"/>
                <w:sz w:val="20"/>
              </w:rPr>
              <w:t>Stage</w:t>
            </w:r>
          </w:p>
        </w:tc>
        <w:tc>
          <w:tcPr>
            <w:tcW w:type="dxa" w:w="2948"/>
            <w:shd w:val="clear" w:color="auto" w:fill="2E104F"/>
            <w:tcMar>
              <w:top w:w="80" w:type="dxa"/>
              <w:start w:w="80" w:type="dxa"/>
              <w:bottom w:w="80" w:type="dxa"/>
              <w:end w:w="80" w:type="dxa"/>
            </w:tcMar>
          </w:tcPr>
          <w:p>
            <w:pPr>
              <w:spacing w:after="0"/>
            </w:pPr>
            <w:r>
              <w:rPr>
                <w:rFonts w:ascii="Calibri" w:hAnsi="Calibri"/>
                <w:b/>
                <w:color w:val="FFFFFF"/>
                <w:sz w:val="20"/>
              </w:rPr>
              <w:t>Purpose</w:t>
            </w:r>
          </w:p>
        </w:tc>
        <w:tc>
          <w:tcPr>
            <w:tcW w:type="dxa" w:w="5159"/>
            <w:shd w:val="clear" w:color="auto" w:fill="2E104F"/>
            <w:tcMar>
              <w:top w:w="80" w:type="dxa"/>
              <w:start w:w="80" w:type="dxa"/>
              <w:bottom w:w="80" w:type="dxa"/>
              <w:end w:w="80" w:type="dxa"/>
            </w:tcMar>
          </w:tcPr>
          <w:p>
            <w:pPr>
              <w:spacing w:after="0"/>
            </w:pPr>
            <w:r>
              <w:rPr>
                <w:rFonts w:ascii="Calibri" w:hAnsi="Calibri"/>
                <w:b/>
                <w:color w:val="FFFFFF"/>
                <w:sz w:val="20"/>
              </w:rPr>
              <w:t>Primary artifacts (examples)</w:t>
            </w:r>
          </w:p>
        </w:tc>
      </w:tr>
      <w:tr>
        <w:tc>
          <w:tcPr>
            <w:tcW w:type="dxa" w:w="3213"/>
            <w:tcMar>
              <w:top w:w="70" w:type="dxa"/>
              <w:start w:w="80" w:type="dxa"/>
              <w:bottom w:w="70" w:type="dxa"/>
              <w:end w:w="80" w:type="dxa"/>
            </w:tcMar>
            <w:vAlign w:val="top"/>
          </w:tcPr>
          <w:p>
            <w:r>
              <w:rPr>
                <w:rFonts w:ascii="Calibri" w:hAnsi="Calibri"/>
                <w:b/>
                <w:color w:val="2E104F"/>
                <w:sz w:val="20"/>
              </w:rPr>
              <w:t>TARGET</w:t>
            </w:r>
          </w:p>
        </w:tc>
        <w:tc>
          <w:tcPr>
            <w:tcW w:type="dxa" w:w="3213"/>
            <w:tcMar>
              <w:top w:w="70" w:type="dxa"/>
              <w:start w:w="80" w:type="dxa"/>
              <w:bottom w:w="70" w:type="dxa"/>
              <w:end w:w="80" w:type="dxa"/>
            </w:tcMar>
            <w:vAlign w:val="top"/>
          </w:tcPr>
          <w:p>
            <w:r>
              <w:rPr>
                <w:rFonts w:ascii="Calibri" w:hAnsi="Calibri"/>
                <w:color w:val="1E1E1E"/>
                <w:sz w:val="20"/>
              </w:rPr>
              <w:t>Allocate exploration pressure across archive cells, bridge regions, and themes (OMNI‑governed).</w:t>
            </w:r>
          </w:p>
        </w:tc>
        <w:tc>
          <w:tcPr>
            <w:tcW w:type="dxa" w:w="3213"/>
            <w:tcMar>
              <w:top w:w="70" w:type="dxa"/>
              <w:start w:w="80" w:type="dxa"/>
              <w:bottom w:w="70" w:type="dxa"/>
              <w:end w:w="80" w:type="dxa"/>
            </w:tcMar>
            <w:vAlign w:val="top"/>
          </w:tcPr>
          <w:p>
            <w:r/>
          </w:p>
          <w:p>
            <w:pPr>
              <w:pStyle w:val="ListBullet"/>
              <w:spacing w:after="0"/>
            </w:pPr>
            <w:r>
              <w:rPr>
                <w:rFonts w:ascii="Calibri" w:hAnsi="Calibri"/>
                <w:color w:val="1E1E1E"/>
                <w:sz w:val="19"/>
              </w:rPr>
              <w:t>targets/coverage_targets.json</w:t>
            </w:r>
          </w:p>
          <w:p>
            <w:pPr>
              <w:pStyle w:val="ListBullet"/>
              <w:spacing w:after="0"/>
            </w:pPr>
            <w:r>
              <w:rPr>
                <w:rFonts w:ascii="Calibri" w:hAnsi="Calibri"/>
                <w:color w:val="1E1E1E"/>
                <w:sz w:val="19"/>
              </w:rPr>
              <w:t>targets/bridge_targets.json</w:t>
            </w:r>
          </w:p>
          <w:p>
            <w:pPr>
              <w:pStyle w:val="ListBullet"/>
              <w:spacing w:after="0"/>
            </w:pPr>
            <w:r>
              <w:rPr>
                <w:rFonts w:ascii="Calibri" w:hAnsi="Calibri"/>
                <w:color w:val="1E1E1E"/>
                <w:sz w:val="19"/>
              </w:rPr>
              <w:t>omni/omni_explore_plan.json</w:t>
            </w:r>
          </w:p>
        </w:tc>
      </w:tr>
      <w:tr>
        <w:tc>
          <w:tcPr>
            <w:tcW w:type="dxa" w:w="3213"/>
            <w:tcMar>
              <w:top w:w="70" w:type="dxa"/>
              <w:start w:w="80" w:type="dxa"/>
              <w:bottom w:w="70" w:type="dxa"/>
              <w:end w:w="80" w:type="dxa"/>
            </w:tcMar>
            <w:vAlign w:val="top"/>
          </w:tcPr>
          <w:p>
            <w:r>
              <w:rPr>
                <w:rFonts w:ascii="Calibri" w:hAnsi="Calibri"/>
                <w:b/>
                <w:color w:val="2E104F"/>
                <w:sz w:val="20"/>
              </w:rPr>
              <w:t>EMIT</w:t>
            </w:r>
          </w:p>
        </w:tc>
        <w:tc>
          <w:tcPr>
            <w:tcW w:type="dxa" w:w="3213"/>
            <w:tcMar>
              <w:top w:w="70" w:type="dxa"/>
              <w:start w:w="80" w:type="dxa"/>
              <w:bottom w:w="70" w:type="dxa"/>
              <w:end w:w="80" w:type="dxa"/>
            </w:tcMar>
            <w:vAlign w:val="top"/>
          </w:tcPr>
          <w:p>
            <w:r>
              <w:rPr>
                <w:rFonts w:ascii="Calibri" w:hAnsi="Calibri"/>
                <w:color w:val="1E1E1E"/>
                <w:sz w:val="20"/>
              </w:rPr>
              <w:t>Generate candidate cards (LHF + PIONEER) under explicit constraints and targeting.</w:t>
            </w:r>
          </w:p>
        </w:tc>
        <w:tc>
          <w:tcPr>
            <w:tcW w:type="dxa" w:w="3213"/>
            <w:tcMar>
              <w:top w:w="70" w:type="dxa"/>
              <w:start w:w="80" w:type="dxa"/>
              <w:bottom w:w="70" w:type="dxa"/>
              <w:end w:w="80" w:type="dxa"/>
            </w:tcMar>
            <w:vAlign w:val="top"/>
          </w:tcPr>
          <w:p>
            <w:r/>
          </w:p>
          <w:p>
            <w:pPr>
              <w:pStyle w:val="ListBullet"/>
              <w:spacing w:after="0"/>
            </w:pPr>
            <w:r>
              <w:rPr>
                <w:rFonts w:ascii="Calibri" w:hAnsi="Calibri"/>
                <w:color w:val="1E1E1E"/>
                <w:sz w:val="19"/>
              </w:rPr>
              <w:t>candidates/candidates.raw.jsonl</w:t>
            </w:r>
          </w:p>
          <w:p>
            <w:pPr>
              <w:pStyle w:val="ListBullet"/>
              <w:spacing w:after="0"/>
            </w:pPr>
            <w:r>
              <w:rPr>
                <w:rFonts w:ascii="Calibri" w:hAnsi="Calibri"/>
                <w:color w:val="1E1E1E"/>
                <w:sz w:val="19"/>
              </w:rPr>
              <w:t>candidates/novelty_distance.jsonl</w:t>
            </w:r>
          </w:p>
          <w:p>
            <w:pPr>
              <w:pStyle w:val="ListBullet"/>
              <w:spacing w:after="0"/>
            </w:pPr>
            <w:r>
              <w:rPr>
                <w:rFonts w:ascii="Calibri" w:hAnsi="Calibri"/>
                <w:color w:val="1E1E1E"/>
                <w:sz w:val="19"/>
              </w:rPr>
              <w:t>logs/stage_log.jsonl</w:t>
            </w:r>
          </w:p>
        </w:tc>
      </w:tr>
      <w:tr>
        <w:tc>
          <w:tcPr>
            <w:tcW w:type="dxa" w:w="3213"/>
            <w:tcMar>
              <w:top w:w="70" w:type="dxa"/>
              <w:start w:w="80" w:type="dxa"/>
              <w:bottom w:w="70" w:type="dxa"/>
              <w:end w:w="80" w:type="dxa"/>
            </w:tcMar>
            <w:vAlign w:val="top"/>
          </w:tcPr>
          <w:p>
            <w:r>
              <w:rPr>
                <w:rFonts w:ascii="Calibri" w:hAnsi="Calibri"/>
                <w:b/>
                <w:color w:val="2E104F"/>
                <w:sz w:val="20"/>
              </w:rPr>
              <w:t>FILTER</w:t>
            </w:r>
          </w:p>
        </w:tc>
        <w:tc>
          <w:tcPr>
            <w:tcW w:type="dxa" w:w="3213"/>
            <w:tcMar>
              <w:top w:w="70" w:type="dxa"/>
              <w:start w:w="80" w:type="dxa"/>
              <w:bottom w:w="70" w:type="dxa"/>
              <w:end w:w="80" w:type="dxa"/>
            </w:tcMar>
            <w:vAlign w:val="top"/>
          </w:tcPr>
          <w:p>
            <w:r>
              <w:rPr>
                <w:rFonts w:ascii="Calibri" w:hAnsi="Calibri"/>
                <w:color w:val="1E1E1E"/>
                <w:sz w:val="20"/>
              </w:rPr>
              <w:t>Risk gate + OMNI interestingness kernel; route to REJECT / PROBE / REFINE / ESCALATE hints (no direct insertion authority).</w:t>
            </w:r>
          </w:p>
        </w:tc>
        <w:tc>
          <w:tcPr>
            <w:tcW w:type="dxa" w:w="3213"/>
            <w:tcMar>
              <w:top w:w="70" w:type="dxa"/>
              <w:start w:w="80" w:type="dxa"/>
              <w:bottom w:w="70" w:type="dxa"/>
              <w:end w:w="80" w:type="dxa"/>
            </w:tcMar>
            <w:vAlign w:val="top"/>
          </w:tcPr>
          <w:p>
            <w:r/>
          </w:p>
          <w:p>
            <w:pPr>
              <w:pStyle w:val="ListBullet"/>
              <w:spacing w:after="0"/>
            </w:pPr>
            <w:r>
              <w:rPr>
                <w:rFonts w:ascii="Calibri" w:hAnsi="Calibri"/>
                <w:color w:val="1E1E1E"/>
                <w:sz w:val="19"/>
              </w:rPr>
              <w:t>candidates/candidates.filtered.jsonl</w:t>
            </w:r>
          </w:p>
          <w:p>
            <w:pPr>
              <w:pStyle w:val="ListBullet"/>
              <w:spacing w:after="0"/>
            </w:pPr>
            <w:r>
              <w:rPr>
                <w:rFonts w:ascii="Calibri" w:hAnsi="Calibri"/>
                <w:color w:val="1E1E1E"/>
                <w:sz w:val="19"/>
              </w:rPr>
              <w:t>risk/risk_reports.jsonl</w:t>
            </w:r>
          </w:p>
          <w:p>
            <w:pPr>
              <w:pStyle w:val="ListBullet"/>
              <w:spacing w:after="0"/>
            </w:pPr>
            <w:r>
              <w:rPr>
                <w:rFonts w:ascii="Calibri" w:hAnsi="Calibri"/>
                <w:color w:val="1E1E1E"/>
                <w:sz w:val="19"/>
              </w:rPr>
              <w:t>omni/omni_interest.jsonl</w:t>
            </w:r>
          </w:p>
        </w:tc>
      </w:tr>
      <w:tr>
        <w:tc>
          <w:tcPr>
            <w:tcW w:type="dxa" w:w="3213"/>
            <w:tcMar>
              <w:top w:w="70" w:type="dxa"/>
              <w:start w:w="80" w:type="dxa"/>
              <w:bottom w:w="70" w:type="dxa"/>
              <w:end w:w="80" w:type="dxa"/>
            </w:tcMar>
            <w:vAlign w:val="top"/>
          </w:tcPr>
          <w:p>
            <w:r>
              <w:rPr>
                <w:rFonts w:ascii="Calibri" w:hAnsi="Calibri"/>
                <w:b/>
                <w:color w:val="2E104F"/>
                <w:sz w:val="20"/>
              </w:rPr>
              <w:t>ATLAS</w:t>
            </w:r>
          </w:p>
        </w:tc>
        <w:tc>
          <w:tcPr>
            <w:tcW w:type="dxa" w:w="3213"/>
            <w:tcMar>
              <w:top w:w="70" w:type="dxa"/>
              <w:start w:w="80" w:type="dxa"/>
              <w:bottom w:w="70" w:type="dxa"/>
              <w:end w:w="80" w:type="dxa"/>
            </w:tcMar>
            <w:vAlign w:val="top"/>
          </w:tcPr>
          <w:p>
            <w:r>
              <w:rPr>
                <w:rFonts w:ascii="Calibri" w:hAnsi="Calibri"/>
                <w:color w:val="1E1E1E"/>
                <w:sz w:val="20"/>
              </w:rPr>
              <w:t>Extract causal triples / mechanisms; maintain neighborhood context for comparatives and bridging.</w:t>
            </w:r>
          </w:p>
        </w:tc>
        <w:tc>
          <w:tcPr>
            <w:tcW w:type="dxa" w:w="3213"/>
            <w:tcMar>
              <w:top w:w="70" w:type="dxa"/>
              <w:start w:w="80" w:type="dxa"/>
              <w:bottom w:w="70" w:type="dxa"/>
              <w:end w:w="80" w:type="dxa"/>
            </w:tcMar>
            <w:vAlign w:val="top"/>
          </w:tcPr>
          <w:p>
            <w:r/>
          </w:p>
          <w:p>
            <w:pPr>
              <w:pStyle w:val="ListBullet"/>
              <w:spacing w:after="0"/>
            </w:pPr>
            <w:r>
              <w:rPr>
                <w:rFonts w:ascii="Calibri" w:hAnsi="Calibri"/>
                <w:color w:val="1E1E1E"/>
                <w:sz w:val="19"/>
              </w:rPr>
              <w:t>atlas/causal_atlas_triples.jsonl</w:t>
            </w:r>
          </w:p>
        </w:tc>
      </w:tr>
      <w:tr>
        <w:tc>
          <w:tcPr>
            <w:tcW w:type="dxa" w:w="3213"/>
            <w:tcMar>
              <w:top w:w="70" w:type="dxa"/>
              <w:start w:w="80" w:type="dxa"/>
              <w:bottom w:w="70" w:type="dxa"/>
              <w:end w:w="80" w:type="dxa"/>
            </w:tcMar>
            <w:vAlign w:val="top"/>
          </w:tcPr>
          <w:p>
            <w:r>
              <w:rPr>
                <w:rFonts w:ascii="Calibri" w:hAnsi="Calibri"/>
                <w:b/>
                <w:color w:val="2E104F"/>
                <w:sz w:val="20"/>
              </w:rPr>
              <w:t>TEST‑PLAN</w:t>
            </w:r>
          </w:p>
        </w:tc>
        <w:tc>
          <w:tcPr>
            <w:tcW w:type="dxa" w:w="3213"/>
            <w:tcMar>
              <w:top w:w="70" w:type="dxa"/>
              <w:start w:w="80" w:type="dxa"/>
              <w:bottom w:w="70" w:type="dxa"/>
              <w:end w:w="80" w:type="dxa"/>
            </w:tcMar>
            <w:vAlign w:val="top"/>
          </w:tcPr>
          <w:p>
            <w:r>
              <w:rPr>
                <w:rFonts w:ascii="Calibri" w:hAnsi="Calibri"/>
                <w:color w:val="1E1E1E"/>
                <w:sz w:val="20"/>
              </w:rPr>
              <w:t>Build falsification ladders conditioned on uncertainty focus; schedule cheapest probes via deterministic EIG.</w:t>
            </w:r>
          </w:p>
        </w:tc>
        <w:tc>
          <w:tcPr>
            <w:tcW w:type="dxa" w:w="3213"/>
            <w:tcMar>
              <w:top w:w="70" w:type="dxa"/>
              <w:start w:w="80" w:type="dxa"/>
              <w:bottom w:w="70" w:type="dxa"/>
              <w:end w:w="80" w:type="dxa"/>
            </w:tcMar>
            <w:vAlign w:val="top"/>
          </w:tcPr>
          <w:p>
            <w:r/>
          </w:p>
          <w:p>
            <w:pPr>
              <w:pStyle w:val="ListBullet"/>
              <w:spacing w:after="0"/>
            </w:pPr>
            <w:r>
              <w:rPr>
                <w:rFonts w:ascii="Calibri" w:hAnsi="Calibri"/>
                <w:color w:val="1E1E1E"/>
                <w:sz w:val="19"/>
              </w:rPr>
              <w:t>test_plans/falsification_ladders.jsonl</w:t>
            </w:r>
          </w:p>
          <w:p>
            <w:pPr>
              <w:pStyle w:val="ListBullet"/>
              <w:spacing w:after="0"/>
            </w:pPr>
            <w:r>
              <w:rPr>
                <w:rFonts w:ascii="Calibri" w:hAnsi="Calibri"/>
                <w:color w:val="1E1E1E"/>
                <w:sz w:val="19"/>
              </w:rPr>
              <w:t>probe/probe_schedule.jsonl</w:t>
            </w:r>
          </w:p>
        </w:tc>
      </w:tr>
      <w:tr>
        <w:tc>
          <w:tcPr>
            <w:tcW w:type="dxa" w:w="3213"/>
            <w:tcMar>
              <w:top w:w="70" w:type="dxa"/>
              <w:start w:w="80" w:type="dxa"/>
              <w:bottom w:w="70" w:type="dxa"/>
              <w:end w:w="80" w:type="dxa"/>
            </w:tcMar>
            <w:vAlign w:val="top"/>
          </w:tcPr>
          <w:p>
            <w:r>
              <w:rPr>
                <w:rFonts w:ascii="Calibri" w:hAnsi="Calibri"/>
                <w:b/>
                <w:color w:val="2E104F"/>
                <w:sz w:val="20"/>
              </w:rPr>
              <w:t>EVAL</w:t>
            </w:r>
          </w:p>
        </w:tc>
        <w:tc>
          <w:tcPr>
            <w:tcW w:type="dxa" w:w="3213"/>
            <w:tcMar>
              <w:top w:w="70" w:type="dxa"/>
              <w:start w:w="80" w:type="dxa"/>
              <w:bottom w:w="70" w:type="dxa"/>
              <w:end w:w="80" w:type="dxa"/>
            </w:tcMar>
            <w:vAlign w:val="top"/>
          </w:tcPr>
          <w:p>
            <w:r>
              <w:rPr>
                <w:rFonts w:ascii="Calibri" w:hAnsi="Calibri"/>
                <w:color w:val="1E1E1E"/>
                <w:sz w:val="20"/>
              </w:rPr>
              <w:t>Execute baseline‑comparative evaluations; compute advantage deltas deterministically; mint evidence objects.</w:t>
            </w:r>
          </w:p>
        </w:tc>
        <w:tc>
          <w:tcPr>
            <w:tcW w:type="dxa" w:w="3213"/>
            <w:tcMar>
              <w:top w:w="70" w:type="dxa"/>
              <w:start w:w="80" w:type="dxa"/>
              <w:bottom w:w="70" w:type="dxa"/>
              <w:end w:w="80" w:type="dxa"/>
            </w:tcMar>
            <w:vAlign w:val="top"/>
          </w:tcPr>
          <w:p>
            <w:r/>
          </w:p>
          <w:p>
            <w:pPr>
              <w:pStyle w:val="ListBullet"/>
              <w:spacing w:after="0"/>
            </w:pPr>
            <w:r>
              <w:rPr>
                <w:rFonts w:ascii="Calibri" w:hAnsi="Calibri"/>
                <w:color w:val="1E1E1E"/>
                <w:sz w:val="19"/>
              </w:rPr>
              <w:t>eval/eval_results.jsonl</w:t>
            </w:r>
          </w:p>
          <w:p>
            <w:pPr>
              <w:pStyle w:val="ListBullet"/>
              <w:spacing w:after="0"/>
            </w:pPr>
            <w:r>
              <w:rPr>
                <w:rFonts w:ascii="Calibri" w:hAnsi="Calibri"/>
                <w:color w:val="1E1E1E"/>
                <w:sz w:val="19"/>
              </w:rPr>
              <w:t>eval/baseline_comparison.jsonl</w:t>
            </w:r>
          </w:p>
          <w:p>
            <w:pPr>
              <w:pStyle w:val="ListBullet"/>
              <w:spacing w:after="0"/>
            </w:pPr>
            <w:r>
              <w:rPr>
                <w:rFonts w:ascii="Calibri" w:hAnsi="Calibri"/>
                <w:color w:val="1E1E1E"/>
                <w:sz w:val="19"/>
              </w:rPr>
              <w:t>evidence/evidence_objects.jsonl</w:t>
            </w:r>
          </w:p>
          <w:p>
            <w:pPr>
              <w:pStyle w:val="ListBullet"/>
              <w:spacing w:after="0"/>
            </w:pPr>
            <w:r>
              <w:rPr>
                <w:rFonts w:ascii="Calibri" w:hAnsi="Calibri"/>
                <w:color w:val="1E1E1E"/>
                <w:sz w:val="19"/>
              </w:rPr>
              <w:t>eci/eci_ledger.jsonl</w:t>
            </w:r>
          </w:p>
        </w:tc>
      </w:tr>
      <w:tr>
        <w:tc>
          <w:tcPr>
            <w:tcW w:type="dxa" w:w="3213"/>
            <w:tcMar>
              <w:top w:w="70" w:type="dxa"/>
              <w:start w:w="80" w:type="dxa"/>
              <w:bottom w:w="70" w:type="dxa"/>
              <w:end w:w="80" w:type="dxa"/>
            </w:tcMar>
            <w:vAlign w:val="top"/>
          </w:tcPr>
          <w:p>
            <w:r>
              <w:rPr>
                <w:rFonts w:ascii="Calibri" w:hAnsi="Calibri"/>
                <w:b/>
                <w:color w:val="2E104F"/>
                <w:sz w:val="20"/>
              </w:rPr>
              <w:t>INSERT</w:t>
            </w:r>
          </w:p>
        </w:tc>
        <w:tc>
          <w:tcPr>
            <w:tcW w:type="dxa" w:w="3213"/>
            <w:tcMar>
              <w:top w:w="70" w:type="dxa"/>
              <w:start w:w="80" w:type="dxa"/>
              <w:bottom w:w="70" w:type="dxa"/>
              <w:end w:w="80" w:type="dxa"/>
            </w:tcMar>
            <w:vAlign w:val="top"/>
          </w:tcPr>
          <w:p>
            <w:r>
              <w:rPr>
                <w:rFonts w:ascii="Calibri" w:hAnsi="Calibri"/>
                <w:color w:val="1E1E1E"/>
                <w:sz w:val="20"/>
              </w:rPr>
              <w:t>Update MAP‑Elites archive mechanically; persist evidence and audit trail; record breakthrough events.</w:t>
            </w:r>
          </w:p>
        </w:tc>
        <w:tc>
          <w:tcPr>
            <w:tcW w:type="dxa" w:w="3213"/>
            <w:tcMar>
              <w:top w:w="70" w:type="dxa"/>
              <w:start w:w="80" w:type="dxa"/>
              <w:bottom w:w="70" w:type="dxa"/>
              <w:end w:w="80" w:type="dxa"/>
            </w:tcMar>
            <w:vAlign w:val="top"/>
          </w:tcPr>
          <w:p>
            <w:r/>
          </w:p>
          <w:p>
            <w:pPr>
              <w:pStyle w:val="ListBullet"/>
              <w:spacing w:after="0"/>
            </w:pPr>
            <w:r>
              <w:rPr>
                <w:rFonts w:ascii="Calibri" w:hAnsi="Calibri"/>
                <w:color w:val="1E1E1E"/>
                <w:sz w:val="19"/>
              </w:rPr>
              <w:t>archive/updated_frontier_cell.csv</w:t>
            </w:r>
          </w:p>
          <w:p>
            <w:pPr>
              <w:pStyle w:val="ListBullet"/>
              <w:spacing w:after="0"/>
            </w:pPr>
            <w:r>
              <w:rPr>
                <w:rFonts w:ascii="Calibri" w:hAnsi="Calibri"/>
                <w:color w:val="1E1E1E"/>
                <w:sz w:val="19"/>
              </w:rPr>
              <w:t>archive/updated_frontier_cell.jsonl</w:t>
            </w:r>
          </w:p>
          <w:p>
            <w:pPr>
              <w:pStyle w:val="ListBullet"/>
              <w:spacing w:after="0"/>
            </w:pPr>
            <w:r>
              <w:rPr>
                <w:rFonts w:ascii="Calibri" w:hAnsi="Calibri"/>
                <w:color w:val="1E1E1E"/>
                <w:sz w:val="19"/>
              </w:rPr>
              <w:t>breakthrough/breakthrough_events.jsonl</w:t>
            </w:r>
          </w:p>
        </w:tc>
      </w:tr>
      <w:tr>
        <w:tc>
          <w:tcPr>
            <w:tcW w:type="dxa" w:w="3213"/>
            <w:tcMar>
              <w:top w:w="70" w:type="dxa"/>
              <w:start w:w="80" w:type="dxa"/>
              <w:bottom w:w="70" w:type="dxa"/>
              <w:end w:w="80" w:type="dxa"/>
            </w:tcMar>
            <w:vAlign w:val="top"/>
          </w:tcPr>
          <w:p>
            <w:r>
              <w:rPr>
                <w:rFonts w:ascii="Calibri" w:hAnsi="Calibri"/>
                <w:b/>
                <w:color w:val="2E104F"/>
                <w:sz w:val="20"/>
              </w:rPr>
              <w:t>PROMOTE</w:t>
            </w:r>
          </w:p>
        </w:tc>
        <w:tc>
          <w:tcPr>
            <w:tcW w:type="dxa" w:w="3213"/>
            <w:tcMar>
              <w:top w:w="70" w:type="dxa"/>
              <w:start w:w="80" w:type="dxa"/>
              <w:bottom w:w="70" w:type="dxa"/>
              <w:end w:w="80" w:type="dxa"/>
            </w:tcMar>
            <w:vAlign w:val="top"/>
          </w:tcPr>
          <w:p>
            <w:r>
              <w:rPr>
                <w:rFonts w:ascii="Calibri" w:hAnsi="Calibri"/>
                <w:color w:val="1E1E1E"/>
                <w:sz w:val="20"/>
              </w:rPr>
              <w:t>Rank and queue promotions per lane with mechanical scoring; emit execution queue artifacts.</w:t>
            </w:r>
          </w:p>
        </w:tc>
        <w:tc>
          <w:tcPr>
            <w:tcW w:type="dxa" w:w="3213"/>
            <w:tcMar>
              <w:top w:w="70" w:type="dxa"/>
              <w:start w:w="80" w:type="dxa"/>
              <w:bottom w:w="70" w:type="dxa"/>
              <w:end w:w="80" w:type="dxa"/>
            </w:tcMar>
            <w:vAlign w:val="top"/>
          </w:tcPr>
          <w:p>
            <w:r/>
          </w:p>
          <w:p>
            <w:pPr>
              <w:pStyle w:val="ListBullet"/>
              <w:spacing w:after="0"/>
            </w:pPr>
            <w:r>
              <w:rPr>
                <w:rFonts w:ascii="Calibri" w:hAnsi="Calibri"/>
                <w:color w:val="1E1E1E"/>
                <w:sz w:val="19"/>
              </w:rPr>
              <w:t>promotion/promotion_queue.csv</w:t>
            </w:r>
          </w:p>
          <w:p>
            <w:pPr>
              <w:pStyle w:val="ListBullet"/>
              <w:spacing w:after="0"/>
            </w:pPr>
            <w:r>
              <w:rPr>
                <w:rFonts w:ascii="Calibri" w:hAnsi="Calibri"/>
                <w:color w:val="1E1E1E"/>
                <w:sz w:val="19"/>
              </w:rPr>
              <w:t>promotion/promotion_queue.jsonl</w:t>
            </w:r>
          </w:p>
        </w:tc>
      </w:tr>
    </w:tbl>
    <w:p/>
    <w:p>
      <w:r>
        <w:rPr>
          <w:rFonts w:ascii="Calibri" w:hAnsi="Calibri"/>
          <w:i/>
          <w:color w:val="505050"/>
          <w:sz w:val="19"/>
        </w:rPr>
        <w:t>Note: All artifacts are schema‑validated. Failures trigger repair or hard‑stop with an explicit error object; no silent corruption.</w:t>
      </w:r>
    </w:p>
    <w:p>
      <w:r>
        <w:rPr>
          <w:rFonts w:ascii="Georgia" w:hAnsi="Georgia"/>
          <w:b/>
          <w:color w:val="2E104F"/>
          <w:sz w:val="32"/>
        </w:rPr>
        <w:t>Governance and Assurance</w:t>
      </w:r>
    </w:p>
    <w:p>
      <w:pPr>
        <w:spacing w:after="120" w:line="276" w:lineRule="auto"/>
      </w:pPr>
      <w:r>
        <w:rPr>
          <w:rFonts w:ascii="Calibri" w:hAnsi="Calibri"/>
          <w:color w:val="1E1E1E"/>
          <w:sz w:val="22"/>
        </w:rPr>
        <w:t>The deployment model is governed. Exploration is encouraged, but outcomes are admitted only through mechanical gates: risk, evidence, baseline advantage, and persistence under stress. OMNI improves allocation; it does not confer authority.</w:t>
      </w:r>
    </w:p>
    <w:p>
      <w:pPr>
        <w:pStyle w:val="ListBullet"/>
        <w:spacing w:after="40"/>
      </w:pPr>
      <w:r>
        <w:rPr>
          <w:rFonts w:ascii="Calibri" w:hAnsi="Calibri"/>
          <w:color w:val="1E1E1E"/>
          <w:sz w:val="22"/>
        </w:rPr>
        <w:t>Determinism &amp; replay: every agent call is logged with inputs digests, hashes, schema refs, and runtime settings (temperature = 0).</w:t>
      </w:r>
    </w:p>
    <w:p>
      <w:pPr>
        <w:pStyle w:val="ListBullet"/>
        <w:spacing w:after="40"/>
      </w:pPr>
      <w:r>
        <w:rPr>
          <w:rFonts w:ascii="Calibri" w:hAnsi="Calibri"/>
          <w:color w:val="1E1E1E"/>
          <w:sz w:val="22"/>
        </w:rPr>
        <w:t>Baseline discipline: deep evaluation is always comparative against incumbent / nearest neighbor / null baseline, deterministically selected.</w:t>
      </w:r>
    </w:p>
    <w:p>
      <w:pPr>
        <w:pStyle w:val="ListBullet"/>
        <w:spacing w:after="40"/>
      </w:pPr>
      <w:r>
        <w:rPr>
          <w:rFonts w:ascii="Calibri" w:hAnsi="Calibri"/>
          <w:color w:val="1E1E1E"/>
          <w:sz w:val="22"/>
        </w:rPr>
        <w:t>Evidence Contact Index: ECI updates are rule‑driven and capped for simulated evidence; confidence cannot inflate without execution.</w:t>
      </w:r>
    </w:p>
    <w:p>
      <w:pPr>
        <w:pStyle w:val="ListBullet"/>
        <w:spacing w:after="40"/>
      </w:pPr>
      <w:r>
        <w:rPr>
          <w:rFonts w:ascii="Calibri" w:hAnsi="Calibri"/>
          <w:color w:val="1E1E1E"/>
          <w:sz w:val="22"/>
        </w:rPr>
        <w:t>Anti‑novelty‑mill: interestingness may downgrade (REJECT→PROBE within caps) but never upgrades insertion or escalation authority.</w:t>
      </w:r>
    </w:p>
    <w:p>
      <w:pPr>
        <w:pStyle w:val="ListBullet"/>
        <w:spacing w:after="40"/>
      </w:pPr>
      <w:r>
        <w:rPr>
          <w:rFonts w:ascii="Calibri" w:hAnsi="Calibri"/>
          <w:color w:val="1E1E1E"/>
          <w:sz w:val="22"/>
        </w:rPr>
        <w:t>Monotonic state: archive and ledgers are append‑only; cycle_index increments exactly +1 on continuation runs.</w:t>
      </w:r>
    </w:p>
    <w:p>
      <w:r>
        <w:rPr>
          <w:rFonts w:ascii="Georgia" w:hAnsi="Georgia"/>
          <w:b/>
          <w:color w:val="2E104F"/>
          <w:sz w:val="32"/>
        </w:rPr>
        <w:t>Move‑37 Breakthrough Handling</w:t>
      </w:r>
    </w:p>
    <w:p>
      <w:pPr>
        <w:spacing w:after="120" w:line="276" w:lineRule="auto"/>
      </w:pPr>
      <w:r>
        <w:rPr>
          <w:rFonts w:ascii="Calibri" w:hAnsi="Calibri"/>
          <w:color w:val="1E1E1E"/>
          <w:sz w:val="22"/>
        </w:rPr>
        <w:t>A breakthrough is not a narrative—it is a deterministic state transition. When novelty and baseline‑comparative advantage cross thresholds, the system executes mandatory reproduction, policy‑shock stress testing, persistence gating, and dossier packaging.</w:t>
      </w:r>
    </w:p>
    <w:p>
      <w:pPr>
        <w:pStyle w:val="ListBullet"/>
        <w:spacing w:after="40"/>
      </w:pPr>
      <w:r>
        <w:rPr>
          <w:rFonts w:ascii="Calibri" w:hAnsi="Calibri"/>
          <w:color w:val="1E1E1E"/>
          <w:sz w:val="22"/>
        </w:rPr>
        <w:t>Recognize: NoveltyDistance + AdvantageDelta thresholds, plus risk / confidence / ECI gates.</w:t>
      </w:r>
    </w:p>
    <w:p>
      <w:pPr>
        <w:pStyle w:val="ListBullet"/>
        <w:spacing w:after="40"/>
      </w:pPr>
      <w:r>
        <w:rPr>
          <w:rFonts w:ascii="Calibri" w:hAnsi="Calibri"/>
          <w:color w:val="1E1E1E"/>
          <w:sz w:val="22"/>
        </w:rPr>
        <w:t>Reproduce: re‑run candidate and baseline under the same eval battery across fixed seeds; verify artifact hashes.</w:t>
      </w:r>
    </w:p>
    <w:p>
      <w:pPr>
        <w:pStyle w:val="ListBullet"/>
        <w:spacing w:after="40"/>
      </w:pPr>
      <w:r>
        <w:rPr>
          <w:rFonts w:ascii="Calibri" w:hAnsi="Calibri"/>
          <w:color w:val="1E1E1E"/>
          <w:sz w:val="22"/>
        </w:rPr>
        <w:t>Stress‑test: generate policy shocks; re‑evaluate candidate vs baseline; log shock deltas.</w:t>
      </w:r>
    </w:p>
    <w:p>
      <w:pPr>
        <w:pStyle w:val="ListBullet"/>
        <w:spacing w:after="40"/>
      </w:pPr>
      <w:r>
        <w:rPr>
          <w:rFonts w:ascii="Calibri" w:hAnsi="Calibri"/>
          <w:color w:val="1E1E1E"/>
          <w:sz w:val="22"/>
        </w:rPr>
        <w:t>Persistence gate: require positive advantage on a minimum pass rate under shocks (min_shocks).</w:t>
      </w:r>
    </w:p>
    <w:p>
      <w:pPr>
        <w:pStyle w:val="ListBullet"/>
        <w:spacing w:after="40"/>
      </w:pPr>
      <w:r>
        <w:rPr>
          <w:rFonts w:ascii="Calibri" w:hAnsi="Calibri"/>
          <w:color w:val="1E1E1E"/>
          <w:sz w:val="22"/>
        </w:rPr>
        <w:t>Package: emit dossier index, reproduction manifest, evidence objects, baseline comparisons, and executive decision note.</w:t>
      </w:r>
    </w:p>
    <w:p>
      <w:r>
        <w:rPr>
          <w:rFonts w:ascii="Georgia" w:hAnsi="Georgia"/>
          <w:b/>
          <w:color w:val="2E104F"/>
          <w:sz w:val="32"/>
        </w:rPr>
        <w:t>Roadmap and Success Metrics</w:t>
      </w:r>
    </w:p>
    <w:p>
      <w:pPr>
        <w:spacing w:after="120" w:line="276" w:lineRule="auto"/>
      </w:pPr>
      <w:r>
        <w:rPr>
          <w:rFonts w:ascii="Calibri" w:hAnsi="Calibri"/>
          <w:color w:val="1E1E1E"/>
          <w:sz w:val="22"/>
        </w:rPr>
        <w:t>A sovereign program benefits from phased deployment. Each phase is gated by measurable replayability, evidence quality, and advantage confirmation.</w:t>
      </w:r>
    </w:p>
    <w:tbl>
      <w:tblPr>
        <w:tblStyle w:val="TableGrid"/>
        <w:tblW w:type="auto" w:w="0"/>
        <w:jc w:val="center"/>
        <w:tblLook w:firstColumn="1" w:firstRow="1" w:lastColumn="0" w:lastRow="0" w:noHBand="0" w:noVBand="1" w:val="04A0"/>
      </w:tblPr>
      <w:tblGrid>
        <w:gridCol w:w="3213"/>
        <w:gridCol w:w="3213"/>
        <w:gridCol w:w="3213"/>
      </w:tblGrid>
      <w:tr>
        <w:tc>
          <w:tcPr>
            <w:tcW w:type="dxa" w:w="3118"/>
            <w:shd w:val="clear" w:color="auto" w:fill="EEE7F7"/>
            <w:tcMar>
              <w:top w:w="70" w:type="dxa"/>
              <w:start w:w="80" w:type="dxa"/>
              <w:bottom w:w="70" w:type="dxa"/>
              <w:end w:w="80" w:type="dxa"/>
            </w:tcMar>
          </w:tcPr>
          <w:p>
            <w:pPr>
              <w:spacing w:after="0"/>
            </w:pPr>
            <w:r>
              <w:rPr>
                <w:rFonts w:ascii="Calibri" w:hAnsi="Calibri"/>
                <w:b/>
                <w:color w:val="2E104F"/>
                <w:sz w:val="20"/>
              </w:rPr>
              <w:t>0–90 days (Pilot)</w:t>
            </w:r>
          </w:p>
        </w:tc>
        <w:tc>
          <w:tcPr>
            <w:tcW w:type="dxa" w:w="3118"/>
            <w:shd w:val="clear" w:color="auto" w:fill="EEE7F7"/>
            <w:tcMar>
              <w:top w:w="70" w:type="dxa"/>
              <w:start w:w="80" w:type="dxa"/>
              <w:bottom w:w="70" w:type="dxa"/>
              <w:end w:w="80" w:type="dxa"/>
            </w:tcMar>
          </w:tcPr>
          <w:p>
            <w:pPr>
              <w:spacing w:after="0"/>
            </w:pPr>
            <w:r>
              <w:rPr>
                <w:rFonts w:ascii="Calibri" w:hAnsi="Calibri"/>
                <w:b/>
                <w:color w:val="2E104F"/>
                <w:sz w:val="20"/>
              </w:rPr>
              <w:t>3–12 months (Scale)</w:t>
            </w:r>
          </w:p>
        </w:tc>
        <w:tc>
          <w:tcPr>
            <w:tcW w:type="dxa" w:w="3175"/>
            <w:shd w:val="clear" w:color="auto" w:fill="EEE7F7"/>
            <w:tcMar>
              <w:top w:w="70" w:type="dxa"/>
              <w:start w:w="80" w:type="dxa"/>
              <w:bottom w:w="70" w:type="dxa"/>
              <w:end w:w="80" w:type="dxa"/>
            </w:tcMar>
          </w:tcPr>
          <w:p>
            <w:pPr>
              <w:spacing w:after="0"/>
            </w:pPr>
            <w:r>
              <w:rPr>
                <w:rFonts w:ascii="Calibri" w:hAnsi="Calibri"/>
                <w:b/>
                <w:color w:val="2E104F"/>
                <w:sz w:val="20"/>
              </w:rPr>
              <w:t>12–24 months (Strategic Autonomy)</w:t>
            </w:r>
          </w:p>
        </w:tc>
      </w:tr>
      <w:tr>
        <w:tc>
          <w:tcPr>
            <w:tcW w:type="dxa" w:w="3118"/>
            <w:tcMar>
              <w:top w:w="70" w:type="dxa"/>
              <w:start w:w="80" w:type="dxa"/>
              <w:bottom w:w="70" w:type="dxa"/>
              <w:end w:w="80" w:type="dxa"/>
            </w:tcMar>
            <w:vAlign w:val="top"/>
          </w:tcPr>
          <w:p>
            <w:r/>
          </w:p>
          <w:p>
            <w:pPr>
              <w:pStyle w:val="ListBullet"/>
              <w:spacing w:after="0"/>
            </w:pPr>
            <w:r>
              <w:rPr>
                <w:rFonts w:ascii="Calibri" w:hAnsi="Calibri"/>
                <w:color w:val="1E1E1E"/>
                <w:sz w:val="20"/>
              </w:rPr>
              <w:t>Deploy deterministic runner + schema registry.</w:t>
            </w:r>
          </w:p>
          <w:p>
            <w:pPr>
              <w:pStyle w:val="ListBullet"/>
              <w:spacing w:after="0"/>
            </w:pPr>
            <w:r>
              <w:rPr>
                <w:rFonts w:ascii="Calibri" w:hAnsi="Calibri"/>
                <w:color w:val="1E1E1E"/>
                <w:sz w:val="20"/>
              </w:rPr>
              <w:t>Establish baseline library + null baseline policy.</w:t>
            </w:r>
          </w:p>
          <w:p>
            <w:pPr>
              <w:pStyle w:val="ListBullet"/>
              <w:spacing w:after="0"/>
            </w:pPr>
            <w:r>
              <w:rPr>
                <w:rFonts w:ascii="Calibri" w:hAnsi="Calibri"/>
                <w:color w:val="1E1E1E"/>
                <w:sz w:val="20"/>
              </w:rPr>
              <w:t>Instrument ECI and evidence objects; audit trail end‑to‑end.</w:t>
            </w:r>
          </w:p>
          <w:p>
            <w:pPr>
              <w:pStyle w:val="ListBullet"/>
              <w:spacing w:after="0"/>
            </w:pPr>
            <w:r>
              <w:rPr>
                <w:rFonts w:ascii="Calibri" w:hAnsi="Calibri"/>
                <w:color w:val="1E1E1E"/>
                <w:sz w:val="20"/>
              </w:rPr>
              <w:t>KPI: ≥95% cycles replayable from manifests.</w:t>
            </w:r>
          </w:p>
        </w:tc>
        <w:tc>
          <w:tcPr>
            <w:tcW w:type="dxa" w:w="3118"/>
            <w:tcMar>
              <w:top w:w="70" w:type="dxa"/>
              <w:start w:w="80" w:type="dxa"/>
              <w:bottom w:w="70" w:type="dxa"/>
              <w:end w:w="80" w:type="dxa"/>
            </w:tcMar>
            <w:vAlign w:val="top"/>
          </w:tcPr>
          <w:p>
            <w:r/>
          </w:p>
          <w:p>
            <w:pPr>
              <w:pStyle w:val="ListBullet"/>
              <w:spacing w:after="0"/>
            </w:pPr>
            <w:r>
              <w:rPr>
                <w:rFonts w:ascii="Calibri" w:hAnsi="Calibri"/>
                <w:color w:val="1E1E1E"/>
                <w:sz w:val="20"/>
              </w:rPr>
              <w:t>Expand archive coverage and bridge exploration; improve stepping stones.</w:t>
            </w:r>
          </w:p>
          <w:p>
            <w:pPr>
              <w:pStyle w:val="ListBullet"/>
              <w:spacing w:after="0"/>
            </w:pPr>
            <w:r>
              <w:rPr>
                <w:rFonts w:ascii="Calibri" w:hAnsi="Calibri"/>
                <w:color w:val="1E1E1E"/>
                <w:sz w:val="20"/>
              </w:rPr>
              <w:t>Operationalize probe ROI via EIG scheduling; tune conservative budgets.</w:t>
            </w:r>
          </w:p>
          <w:p>
            <w:pPr>
              <w:pStyle w:val="ListBullet"/>
              <w:spacing w:after="0"/>
            </w:pPr>
            <w:r>
              <w:rPr>
                <w:rFonts w:ascii="Calibri" w:hAnsi="Calibri"/>
                <w:color w:val="1E1E1E"/>
                <w:sz w:val="20"/>
              </w:rPr>
              <w:t>Integrate dossier workflow for Move‑37 candidates.</w:t>
            </w:r>
          </w:p>
          <w:p>
            <w:pPr>
              <w:pStyle w:val="ListBullet"/>
              <w:spacing w:after="0"/>
            </w:pPr>
            <w:r>
              <w:rPr>
                <w:rFonts w:ascii="Calibri" w:hAnsi="Calibri"/>
                <w:color w:val="1E1E1E"/>
                <w:sz w:val="20"/>
              </w:rPr>
              <w:t>KPI: sustained AdvantageDelta improvements vs incumbents.</w:t>
            </w:r>
          </w:p>
        </w:tc>
        <w:tc>
          <w:tcPr>
            <w:tcW w:type="dxa" w:w="3175"/>
            <w:tcMar>
              <w:top w:w="70" w:type="dxa"/>
              <w:start w:w="80" w:type="dxa"/>
              <w:bottom w:w="70" w:type="dxa"/>
              <w:end w:w="80" w:type="dxa"/>
            </w:tcMar>
            <w:vAlign w:val="top"/>
          </w:tcPr>
          <w:p>
            <w:r/>
          </w:p>
          <w:p>
            <w:pPr>
              <w:pStyle w:val="ListBullet"/>
              <w:spacing w:after="0"/>
            </w:pPr>
            <w:r>
              <w:rPr>
                <w:rFonts w:ascii="Calibri" w:hAnsi="Calibri"/>
                <w:color w:val="1E1E1E"/>
                <w:sz w:val="20"/>
              </w:rPr>
              <w:t>Harden governance: monotonicity, security controls, red‑team probes.</w:t>
            </w:r>
          </w:p>
          <w:p>
            <w:pPr>
              <w:pStyle w:val="ListBullet"/>
              <w:spacing w:after="0"/>
            </w:pPr>
            <w:r>
              <w:rPr>
                <w:rFonts w:ascii="Calibri" w:hAnsi="Calibri"/>
                <w:color w:val="1E1E1E"/>
                <w:sz w:val="20"/>
              </w:rPr>
              <w:t>Automate policy‑shock suites; persistence gates as default for high novelty.</w:t>
            </w:r>
          </w:p>
          <w:p>
            <w:pPr>
              <w:pStyle w:val="ListBullet"/>
              <w:spacing w:after="0"/>
            </w:pPr>
            <w:r>
              <w:rPr>
                <w:rFonts w:ascii="Calibri" w:hAnsi="Calibri"/>
                <w:color w:val="1E1E1E"/>
                <w:sz w:val="20"/>
              </w:rPr>
              <w:t>Institutionalize invention capital allocation and partner execution lanes.</w:t>
            </w:r>
          </w:p>
          <w:p>
            <w:pPr>
              <w:pStyle w:val="ListBullet"/>
              <w:spacing w:after="0"/>
            </w:pPr>
            <w:r>
              <w:rPr>
                <w:rFonts w:ascii="Calibri" w:hAnsi="Calibri"/>
                <w:color w:val="1E1E1E"/>
                <w:sz w:val="20"/>
              </w:rPr>
              <w:t>KPI: validated, repeatable compounding discovery rate.</w:t>
            </w:r>
          </w:p>
        </w:tc>
      </w:tr>
    </w:tbl>
    <w:p/>
    <w:p>
      <w:r>
        <w:rPr>
          <w:rFonts w:ascii="Georgia" w:hAnsi="Georgia"/>
          <w:b/>
          <w:color w:val="2E104F"/>
          <w:sz w:val="26"/>
        </w:rPr>
        <w:t>Minimum Operational Dashboard</w:t>
      </w:r>
    </w:p>
    <w:p>
      <w:pPr>
        <w:pStyle w:val="ListBullet"/>
        <w:spacing w:after="40"/>
      </w:pPr>
      <w:r>
        <w:rPr>
          <w:rFonts w:ascii="Calibri" w:hAnsi="Calibri"/>
          <w:color w:val="1E1E1E"/>
          <w:sz w:val="22"/>
        </w:rPr>
        <w:t>Replayability: % cycles reproducible from manifests; schema validation failure rate.</w:t>
      </w:r>
    </w:p>
    <w:p>
      <w:pPr>
        <w:pStyle w:val="ListBullet"/>
        <w:spacing w:after="40"/>
      </w:pPr>
      <w:r>
        <w:rPr>
          <w:rFonts w:ascii="Calibri" w:hAnsi="Calibri"/>
          <w:color w:val="1E1E1E"/>
          <w:sz w:val="22"/>
        </w:rPr>
        <w:t>Evidence quality: share of EXECUTED vs SIMULATED; ECI distribution; calibration drift.</w:t>
      </w:r>
    </w:p>
    <w:p>
      <w:pPr>
        <w:pStyle w:val="ListBullet"/>
        <w:spacing w:after="40"/>
      </w:pPr>
      <w:r>
        <w:rPr>
          <w:rFonts w:ascii="Calibri" w:hAnsi="Calibri"/>
          <w:color w:val="1E1E1E"/>
          <w:sz w:val="22"/>
        </w:rPr>
        <w:t>Exploration quality: novelty distance distribution; probe ROI (info gain per cost); stepping‑stone reuse rate.</w:t>
      </w:r>
    </w:p>
    <w:p>
      <w:pPr>
        <w:pStyle w:val="ListBullet"/>
        <w:spacing w:after="40"/>
      </w:pPr>
      <w:r>
        <w:rPr>
          <w:rFonts w:ascii="Calibri" w:hAnsi="Calibri"/>
          <w:color w:val="1E1E1E"/>
          <w:sz w:val="22"/>
        </w:rPr>
        <w:t>Advantage confirmation: AdvantageDelta vs baselines; persistence pass rate under shocks.</w:t>
      </w:r>
    </w:p>
    <w:p>
      <w:pPr>
        <w:pStyle w:val="ListBullet"/>
        <w:spacing w:after="40"/>
      </w:pPr>
      <w:r>
        <w:rPr>
          <w:rFonts w:ascii="Calibri" w:hAnsi="Calibri"/>
          <w:color w:val="1E1E1E"/>
          <w:sz w:val="22"/>
        </w:rPr>
        <w:t>Safety: risk gate block rate; prohibited‑domain detection; adverse side‑effects incidents.</w:t>
      </w:r>
    </w:p>
    <w:p>
      <w:r>
        <w:rPr>
          <w:rFonts w:ascii="Georgia" w:hAnsi="Georgia"/>
          <w:b/>
          <w:color w:val="2E104F"/>
          <w:sz w:val="32"/>
        </w:rPr>
        <w:t>Annex: Dossier Options (Institutional Packaging)</w:t>
      </w:r>
    </w:p>
    <w:p>
      <w:pPr>
        <w:spacing w:after="120" w:line="276" w:lineRule="auto"/>
      </w:pPr>
      <w:r>
        <w:rPr>
          <w:rFonts w:ascii="Calibri" w:hAnsi="Calibri"/>
          <w:color w:val="1E1E1E"/>
          <w:sz w:val="22"/>
        </w:rPr>
        <w:t>The dossier is the outward‑facing sovereign artifact bundle. Options below provide escalating levels of rigor, governance, and institutional framing.</w:t>
      </w:r>
    </w:p>
    <w:p>
      <w:pPr>
        <w:pStyle w:val="ListBullet"/>
        <w:spacing w:after="40"/>
      </w:pPr>
      <w:r>
        <w:rPr>
          <w:rFonts w:ascii="Calibri" w:hAnsi="Calibri"/>
          <w:b/>
          <w:color w:val="2E104F"/>
          <w:sz w:val="22"/>
        </w:rPr>
        <w:t xml:space="preserve">Insight Dossier: </w:t>
      </w:r>
      <w:r>
        <w:rPr>
          <w:rFonts w:ascii="Calibri" w:hAnsi="Calibri"/>
          <w:color w:val="1E1E1E"/>
          <w:sz w:val="22"/>
        </w:rPr>
        <w:t>Investor/press‑style narrative, execution‑ready but light on formal verification.</w:t>
      </w:r>
    </w:p>
    <w:p>
      <w:pPr>
        <w:pStyle w:val="ListBullet"/>
        <w:spacing w:after="40"/>
      </w:pPr>
      <w:r>
        <w:rPr>
          <w:rFonts w:ascii="Calibri" w:hAnsi="Calibri"/>
          <w:b/>
          <w:color w:val="2E104F"/>
          <w:sz w:val="22"/>
        </w:rPr>
        <w:t xml:space="preserve">MARK Dossier: </w:t>
      </w:r>
      <w:r>
        <w:rPr>
          <w:rFonts w:ascii="Calibri" w:hAnsi="Calibri"/>
          <w:color w:val="1E1E1E"/>
          <w:sz w:val="22"/>
        </w:rPr>
        <w:t>Military‑grade, audit‑heavy binder: reproducibility, verification checklists, and compliance posture.</w:t>
      </w:r>
    </w:p>
    <w:p>
      <w:pPr>
        <w:pStyle w:val="ListBullet"/>
        <w:spacing w:after="40"/>
      </w:pPr>
      <w:r>
        <w:rPr>
          <w:rFonts w:ascii="Calibri" w:hAnsi="Calibri"/>
          <w:b/>
          <w:color w:val="2E104F"/>
          <w:sz w:val="22"/>
        </w:rPr>
        <w:t xml:space="preserve">Sovereign Dossier: </w:t>
      </w:r>
      <w:r>
        <w:rPr>
          <w:rFonts w:ascii="Calibri" w:hAnsi="Calibri"/>
          <w:color w:val="1E1E1E"/>
          <w:sz w:val="22"/>
        </w:rPr>
        <w:t>State‑capacity framing: resource governance, security boundaries, and institutional legitimacy.</w:t>
      </w:r>
    </w:p>
    <w:p>
      <w:pPr>
        <w:pStyle w:val="ListBullet"/>
        <w:spacing w:after="40"/>
      </w:pPr>
      <w:r>
        <w:rPr>
          <w:rFonts w:ascii="Calibri" w:hAnsi="Calibri"/>
          <w:b/>
          <w:color w:val="2E104F"/>
          <w:sz w:val="22"/>
        </w:rPr>
        <w:t xml:space="preserve">Architect / Validator Council: </w:t>
      </w:r>
      <w:r>
        <w:rPr>
          <w:rFonts w:ascii="Calibri" w:hAnsi="Calibri"/>
          <w:color w:val="1E1E1E"/>
          <w:sz w:val="22"/>
        </w:rPr>
        <w:t>Design authority + independent verification council; strongest governance for strategic autonomy.</w:t>
      </w:r>
    </w:p>
    <w:p/>
    <w:p>
      <w:pPr>
        <w:jc w:val="center"/>
      </w:pPr>
      <w:r>
        <w:rPr>
          <w:rFonts w:ascii="Calibri" w:hAnsi="Calibri"/>
          <w:color w:val="505050"/>
          <w:sz w:val="20"/>
        </w:rPr>
        <w:t>— End of Brief —</w:t>
      </w:r>
    </w:p>
    <w:sectPr w:rsidR="00FC693F" w:rsidRPr="0006063C" w:rsidSect="00034616">
      <w:headerReference w:type="default" r:id="rId9"/>
      <w:footerReference w:type="default" r:id="rId10"/>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autofit"/>
      <w:tblLook w:firstColumn="1" w:firstRow="1" w:lastColumn="0" w:lastRow="0" w:noHBand="0" w:noVBand="1" w:val="04A0"/>
    </w:tblPr>
    <w:tblGrid>
      <w:gridCol w:w="4819"/>
      <w:gridCol w:w="4819"/>
    </w:tblGrid>
    <w:tr>
      <w:tc>
        <w:tcPr>
          <w:tcW w:type="dxa" w:w="4819"/>
        </w:tcPr>
        <w:p>
          <w:r>
            <w:rPr>
              <w:rFonts w:ascii="Calibri" w:hAnsi="Calibri"/>
              <w:color w:val="505050"/>
              <w:sz w:val="17"/>
            </w:rPr>
            <w:t>Classification: SECRET   |   Version: Alpha v0</w:t>
          </w:r>
        </w:p>
      </w:tc>
      <w:tc>
        <w:tcPr>
          <w:tcW w:type="dxa" w:w="4819"/>
        </w:tcPr>
        <w:p>
          <w:pPr>
            <w:jc w:val="right"/>
          </w:pPr>
          <w:r>
            <w:rPr>
              <w:rFonts w:ascii="Calibri" w:hAnsi="Calibri"/>
              <w:color w:val="505050"/>
              <w:sz w:val="17"/>
            </w:rPr>
            <w:t xml:space="preserve">Page </w:t>
          </w:r>
          <w:r>
            <w:fldChar w:fldCharType="begin"/>
            <w:instrText xml:space="preserve">PAGE</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autofit"/>
      <w:tblLook w:firstColumn="1" w:firstRow="1" w:lastColumn="0" w:lastRow="0" w:noHBand="0" w:noVBand="1" w:val="04A0"/>
    </w:tblPr>
    <w:tblGrid>
      <w:gridCol w:w="4819"/>
      <w:gridCol w:w="4819"/>
    </w:tblGrid>
    <w:tr>
      <w:tc>
        <w:tcPr>
          <w:tcW w:type="dxa" w:w="4819"/>
        </w:tcPr>
        <w:p>
          <w:r>
            <w:rPr>
              <w:rFonts w:ascii="Calibri" w:hAnsi="Calibri"/>
              <w:color w:val="505050"/>
              <w:sz w:val="18"/>
            </w:rPr>
            <w:t>AGI Alpha RSI — Sovereign Strategy Brief</w:t>
          </w:r>
        </w:p>
      </w:tc>
      <w:tc>
        <w:tcPr>
          <w:tcW w:type="dxa" w:w="4819"/>
        </w:tcPr>
        <w:p>
          <w:pPr>
            <w:jc w:val="right"/>
          </w:pPr>
          <w:r>
            <w:rPr>
              <w:rFonts w:ascii="Calibri" w:hAnsi="Calibri"/>
              <w:b/>
              <w:color w:val="2E104F"/>
              <w:sz w:val="18"/>
            </w:rPr>
            <w:t>SECRET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