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Liberation Serif" w:hAnsi="Liberation Serif" w:eastAsia="Liberation Serif"/>
          <w:b/>
          <w:color w:val="142036"/>
          <w:sz w:val="84"/>
        </w:rPr>
        <w:t>AGI Alpha RSI</w:t>
      </w:r>
    </w:p>
    <w:p>
      <w:pPr>
        <w:spacing w:after="360"/>
        <w:jc w:val="center"/>
      </w:pPr>
      <w:r>
        <w:rPr>
          <w:rFonts w:ascii="Liberation Serif" w:hAnsi="Liberation Serif" w:eastAsia="Liberation Serif"/>
          <w:color w:val="282828"/>
          <w:sz w:val="32"/>
        </w:rPr>
        <w:t>A Sovereign Innovation Operating System for Recursive Self-Improvement</w:t>
      </w:r>
    </w:p>
    <w:p>
      <w:pPr>
        <w:spacing w:after="360"/>
        <w:jc w:val="center"/>
      </w:pPr>
      <w:r>
        <w:rPr>
          <w:rFonts w:ascii="Liberation Sans" w:hAnsi="Liberation Sans" w:eastAsia="Liberation Sans"/>
          <w:b/>
          <w:color w:val="5A5A5A"/>
          <w:sz w:val="20"/>
        </w:rPr>
        <w:t>PRESS + SOVEREIGN STRATEGY BRIEFING | HIGH-TRUST TECHNICAL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7056"/>
      </w:tblGrid>
      <w:tr>
        <w:trPr>
          <w:trHeight w:val="576"/>
        </w:trPr>
        <w:tc>
          <w:tcPr>
            <w:tcW w:type="dxa" w:w="4752"/>
            <w:vAlign w:val="center"/>
            <w:shd w:fill="F3F3F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after="0" w:before="0"/>
            </w:pPr>
            <w:r>
              <w:rPr>
                <w:rFonts w:ascii="Liberation Sans" w:hAnsi="Liberation Sans" w:eastAsia="Liberation Sans"/>
                <w:b/>
                <w:color w:val="3C3C3C"/>
                <w:sz w:val="21"/>
              </w:rPr>
              <w:t>Document status</w:t>
            </w:r>
          </w:p>
        </w:tc>
        <w:tc>
          <w:tcPr>
            <w:tcW w:type="dxa" w:w="4752"/>
            <w:vAlign w:val="cente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after="0" w:before="0"/>
            </w:pPr>
            <w:r>
              <w:rPr>
                <w:rFonts w:ascii="Liberation Sans" w:hAnsi="Liberation Sans" w:eastAsia="Liberation Sans"/>
                <w:color w:val="1E1E1E"/>
                <w:sz w:val="21"/>
              </w:rPr>
              <w:t>FINAL (institutional, press-grade)</w:t>
            </w:r>
          </w:p>
        </w:tc>
      </w:tr>
      <w:tr>
        <w:trPr>
          <w:trHeight w:val="576"/>
        </w:trPr>
        <w:tc>
          <w:tcPr>
            <w:tcW w:type="dxa" w:w="4752"/>
            <w:vAlign w:val="center"/>
            <w:shd w:fill="F3F3F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after="0" w:before="0"/>
            </w:pPr>
            <w:r>
              <w:rPr>
                <w:rFonts w:ascii="Liberation Sans" w:hAnsi="Liberation Sans" w:eastAsia="Liberation Sans"/>
                <w:b/>
                <w:color w:val="3C3C3C"/>
                <w:sz w:val="21"/>
              </w:rPr>
              <w:t>Prepared for</w:t>
            </w:r>
          </w:p>
        </w:tc>
        <w:tc>
          <w:tcPr>
            <w:tcW w:type="dxa" w:w="4752"/>
            <w:vAlign w:val="cente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after="0" w:before="0"/>
            </w:pPr>
            <w:r>
              <w:rPr>
                <w:rFonts w:ascii="Liberation Sans" w:hAnsi="Liberation Sans" w:eastAsia="Liberation Sans"/>
                <w:color w:val="1E1E1E"/>
                <w:sz w:val="21"/>
              </w:rPr>
              <w:t>Global technology press; sovereign technology leadership; national innovation agencies</w:t>
            </w:r>
          </w:p>
        </w:tc>
      </w:tr>
      <w:tr>
        <w:trPr>
          <w:trHeight w:val="576"/>
        </w:trPr>
        <w:tc>
          <w:tcPr>
            <w:tcW w:type="dxa" w:w="4752"/>
            <w:vAlign w:val="center"/>
            <w:shd w:fill="F3F3F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after="0" w:before="0"/>
            </w:pPr>
            <w:r>
              <w:rPr>
                <w:rFonts w:ascii="Liberation Sans" w:hAnsi="Liberation Sans" w:eastAsia="Liberation Sans"/>
                <w:b/>
                <w:color w:val="3C3C3C"/>
                <w:sz w:val="21"/>
              </w:rPr>
              <w:t>System baseline</w:t>
            </w:r>
          </w:p>
        </w:tc>
        <w:tc>
          <w:tcPr>
            <w:tcW w:type="dxa" w:w="4752"/>
            <w:vAlign w:val="cente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after="0" w:before="0"/>
            </w:pPr>
            <w:r>
              <w:rPr>
                <w:rFonts w:ascii="Liberation Sans" w:hAnsi="Liberation Sans" w:eastAsia="Liberation Sans"/>
                <w:color w:val="1E1E1E"/>
                <w:sz w:val="21"/>
              </w:rPr>
              <w:t>Runner + Prompt Pack: rr_omni_v7 (Move-37 Breakthrough Protocol + EIG-scheduled probing)</w:t>
            </w:r>
          </w:p>
        </w:tc>
      </w:tr>
      <w:tr>
        <w:trPr>
          <w:trHeight w:val="576"/>
        </w:trPr>
        <w:tc>
          <w:tcPr>
            <w:tcW w:type="dxa" w:w="4752"/>
            <w:vAlign w:val="center"/>
            <w:shd w:fill="F3F3F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after="0" w:before="0"/>
            </w:pPr>
            <w:r>
              <w:rPr>
                <w:rFonts w:ascii="Liberation Sans" w:hAnsi="Liberation Sans" w:eastAsia="Liberation Sans"/>
                <w:b/>
                <w:color w:val="3C3C3C"/>
                <w:sz w:val="21"/>
              </w:rPr>
              <w:t>Confidentiality</w:t>
            </w:r>
          </w:p>
        </w:tc>
        <w:tc>
          <w:tcPr>
            <w:tcW w:type="dxa" w:w="4752"/>
            <w:vAlign w:val="cente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after="0" w:before="0"/>
            </w:pPr>
            <w:r>
              <w:rPr>
                <w:rFonts w:ascii="Liberation Sans" w:hAnsi="Liberation Sans" w:eastAsia="Liberation Sans"/>
                <w:color w:val="1E1E1E"/>
                <w:sz w:val="21"/>
              </w:rPr>
              <w:t>Shareable with attribution; remove internal deployment details for public release</w:t>
            </w:r>
          </w:p>
        </w:tc>
      </w:tr>
    </w:tbl>
    <w:p>
      <w:pPr>
        <w:spacing w:after="0"/>
      </w:pPr>
    </w:p>
    <w:p>
      <w:pPr>
        <w:spacing w:before="360" w:after="0"/>
        <w:jc w:val="center"/>
      </w:pPr>
      <w:r>
        <w:rPr>
          <w:rFonts w:ascii="Liberation Serif" w:hAnsi="Liberation Serif" w:eastAsia="Liberation Serif"/>
          <w:i/>
          <w:color w:val="3C3C3C"/>
          <w:sz w:val="24"/>
        </w:rPr>
        <w:t>High-trust RSI: schema-bound AI, deterministic runners, evidence-led credibility, and breakthrough-grade governance.</w:t>
      </w:r>
    </w:p>
    <w:p>
      <w:r/>
    </w:p>
    <w:p>
      <w:pPr>
        <w:spacing w:before="240" w:after="200"/>
      </w:pPr>
      <w:r>
        <w:rPr>
          <w:rFonts w:ascii="Liberation Serif" w:hAnsi="Liberation Serif" w:eastAsia="Liberation Serif"/>
          <w:b/>
          <w:color w:val="142036"/>
          <w:sz w:val="40"/>
        </w:rPr>
        <w:t>Executive summary</w:t>
      </w:r>
    </w:p>
    <w:p>
      <w:pPr>
        <w:spacing w:after="160" w:line="288" w:lineRule="auto"/>
      </w:pPr>
      <w:r>
        <w:rPr>
          <w:rFonts w:ascii="Liberation Serif" w:hAnsi="Liberation Serif" w:eastAsia="Liberation Serif"/>
          <w:color w:val="1E1E1E"/>
          <w:sz w:val="22"/>
        </w:rPr>
        <w:t>AGI Alpha RSI is a deterministic, evidence-led innovation operating system engineered for recursive self-improvement (RSI) in research and development. Unlike typical LLM agent stacks optimized for fluent completion, AGI Alpha RSI optimizes for compounding coverage, measured advantage, and auditability: every LLM call is schema-bound, replayable, and downstreamed into deterministic scoring and evidence objects.</w:t>
      </w:r>
    </w:p>
    <w:p>
      <w:pPr>
        <w:spacing w:after="160" w:line="288" w:lineRule="auto"/>
      </w:pPr>
      <w:r>
        <w:rPr>
          <w:rFonts w:ascii="Liberation Serif" w:hAnsi="Liberation Serif" w:eastAsia="Liberation Serif"/>
          <w:color w:val="1E1E1E"/>
          <w:sz w:val="22"/>
        </w:rPr>
        <w:t>The platform runs as a fixed-stage cycle (TARGET -&gt; EMIT -&gt; FILTER -&gt; ATLAS -&gt; TEST-PLAN -&gt; EVAL -&gt; INSERT -&gt; PROMOTE). Each cycle generates a portfolio of candidate innovations, triages them with risk and novelty gates, routes high-novelty items into information-gain-efficient probes, and promotes only those that demonstrate objective advantage against explicit baselines. State persists across runs: the MAP-Elites-style archive and causal atlas accumulate, enabling compounding search rather than restarts.</w:t>
      </w:r>
    </w:p>
    <w:p>
      <w:pPr>
        <w:spacing w:before="200" w:after="120"/>
      </w:pPr>
      <w:r>
        <w:rPr>
          <w:rFonts w:ascii="Liberation Serif" w:hAnsi="Liberation Serif" w:eastAsia="Liberation Serif"/>
          <w:b/>
          <w:color w:val="142036"/>
          <w:sz w:val="28"/>
        </w:rPr>
        <w:t>What is new in rr_omni_v7</w:t>
      </w:r>
    </w:p>
    <w:p>
      <w:pPr>
        <w:pStyle w:val="ListBullet"/>
        <w:spacing w:after="40" w:line="276" w:lineRule="auto"/>
      </w:pPr>
      <w:r>
        <w:rPr>
          <w:rFonts w:ascii="Liberation Serif" w:hAnsi="Liberation Serif" w:eastAsia="Liberation Serif"/>
          <w:color w:val="1E1E1E"/>
          <w:sz w:val="22"/>
        </w:rPr>
        <w:t>Deterministic novelty distance computation (0-1) against nearest neighbors in the archive/atlas, used to create explicit pressure toward non-human, high-leverage novelty.</w:t>
      </w:r>
    </w:p>
    <w:p>
      <w:pPr>
        <w:pStyle w:val="ListBullet"/>
        <w:spacing w:after="40" w:line="276" w:lineRule="auto"/>
      </w:pPr>
      <w:r>
        <w:rPr>
          <w:rFonts w:ascii="Liberation Serif" w:hAnsi="Liberation Serif" w:eastAsia="Liberation Serif"/>
          <w:color w:val="1E1E1E"/>
          <w:sz w:val="22"/>
        </w:rPr>
        <w:t>Baseline comparison policy: every INSERT/REPLACE/ESCALATE decision must be justified by objective advantage versus an incumbent elite (or a nearest-neighbor fallback).</w:t>
      </w:r>
    </w:p>
    <w:p>
      <w:pPr>
        <w:pStyle w:val="ListBullet"/>
        <w:spacing w:after="40" w:line="276" w:lineRule="auto"/>
      </w:pPr>
      <w:r>
        <w:rPr>
          <w:rFonts w:ascii="Liberation Serif" w:hAnsi="Liberation Serif" w:eastAsia="Liberation Serif"/>
          <w:color w:val="1E1E1E"/>
          <w:sz w:val="22"/>
        </w:rPr>
        <w:t>Move-37 Breakthrough Protocol: a mechanical trigger (high novelty distance + large advantage delta + risk/ECI/confidence gates) that automatically escalates evaluation and produces a decision-grade dossier bundle.</w:t>
      </w:r>
    </w:p>
    <w:p>
      <w:pPr>
        <w:pStyle w:val="ListBullet"/>
        <w:spacing w:after="40" w:line="276" w:lineRule="auto"/>
      </w:pPr>
      <w:r>
        <w:rPr>
          <w:rFonts w:ascii="Liberation Serif" w:hAnsi="Liberation Serif" w:eastAsia="Liberation Serif"/>
          <w:color w:val="1E1E1E"/>
          <w:sz w:val="22"/>
        </w:rPr>
        <w:t>Mandatory ADVANTAGE_PERSISTENCE unknowns for high-novelty candidates (novelty &gt;= 0.8), forcing probes to test whether advantage survives shocks and replays.</w:t>
      </w:r>
    </w:p>
    <w:p>
      <w:pPr>
        <w:pStyle w:val="ListBullet"/>
        <w:spacing w:after="40" w:line="276" w:lineRule="auto"/>
      </w:pPr>
      <w:r>
        <w:rPr>
          <w:rFonts w:ascii="Liberation Serif" w:hAnsi="Liberation Serif" w:eastAsia="Liberation Serif"/>
          <w:color w:val="1E1E1E"/>
          <w:sz w:val="22"/>
        </w:rPr>
        <w:t>Compatibility with v6: PROBE ladders are decision-conditioned and scheduled by a deterministic approximation of Expected Information Gain (EIG).</w:t>
      </w:r>
    </w:p>
    <w:p>
      <w:pPr>
        <w:spacing w:before="240" w:after="200"/>
      </w:pPr>
      <w:r>
        <w:rPr>
          <w:rFonts w:ascii="Liberation Serif" w:hAnsi="Liberation Serif" w:eastAsia="Liberation Serif"/>
          <w:b/>
          <w:color w:val="142036"/>
          <w:sz w:val="40"/>
        </w:rPr>
        <w:t>System architecture at a glance</w:t>
      </w:r>
    </w:p>
    <w:p>
      <w:pPr>
        <w:spacing w:after="160" w:line="288" w:lineRule="auto"/>
      </w:pPr>
      <w:r>
        <w:rPr>
          <w:rFonts w:ascii="Liberation Serif" w:hAnsi="Liberation Serif" w:eastAsia="Liberation Serif"/>
          <w:color w:val="1E1E1E"/>
          <w:sz w:val="22"/>
        </w:rPr>
        <w:t>AGI Alpha RSI is organized as a deterministic multi-stage pipeline. Each stage is executed by a role-specific prompt and produces schema-bound artifacts that can be replayed and independently audited.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3888"/>
        <w:gridCol w:w="4752"/>
      </w:tblGrid>
      <w:tr>
        <w:tc>
          <w:tcPr>
            <w:tcW w:type="dxa" w:w="3168"/>
            <w:shd w:fill="142036"/>
            <w:vAlign w:val="center"/>
            <w:tcBorders>
              <w:top w:val="single" w:sz="4" w:color="142036"/>
              <w:left w:val="single" w:sz="4" w:color="142036"/>
              <w:bottom w:val="single" w:sz="4" w:color="142036"/>
              <w:right w:val="single" w:sz="4" w:color="142036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21"/>
              </w:rPr>
              <w:t>Stage</w:t>
            </w:r>
          </w:p>
        </w:tc>
        <w:tc>
          <w:tcPr>
            <w:tcW w:type="dxa" w:w="3168"/>
            <w:shd w:fill="142036"/>
            <w:vAlign w:val="center"/>
            <w:tcBorders>
              <w:top w:val="single" w:sz="4" w:color="142036"/>
              <w:left w:val="single" w:sz="4" w:color="142036"/>
              <w:bottom w:val="single" w:sz="4" w:color="142036"/>
              <w:right w:val="single" w:sz="4" w:color="142036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21"/>
              </w:rPr>
              <w:t>Purpose</w:t>
            </w:r>
          </w:p>
        </w:tc>
        <w:tc>
          <w:tcPr>
            <w:tcW w:type="dxa" w:w="3168"/>
            <w:shd w:fill="142036"/>
            <w:vAlign w:val="center"/>
            <w:tcBorders>
              <w:top w:val="single" w:sz="4" w:color="142036"/>
              <w:left w:val="single" w:sz="4" w:color="142036"/>
              <w:bottom w:val="single" w:sz="4" w:color="142036"/>
              <w:right w:val="single" w:sz="4" w:color="142036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21"/>
              </w:rPr>
              <w:t>Primary artifacts (examples)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0"/>
            </w:pPr>
            <w:r>
              <w:rPr>
                <w:rFonts w:ascii="Liberation Sans" w:hAnsi="Liberation Sans" w:eastAsia="Liberation Sans"/>
                <w:b/>
                <w:color w:val="142036"/>
                <w:sz w:val="21"/>
              </w:rPr>
              <w:t>TARGET</w:t>
            </w:r>
          </w:p>
        </w:tc>
        <w:tc>
          <w:tcPr>
            <w:tcW w:type="dxa" w:w="3888"/>
            <w:vAlign w:val="cente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after="0" w:before="0"/>
            </w:pPr>
            <w:r>
              <w:rPr>
                <w:rFonts w:ascii="Liberation Serif" w:hAnsi="Liberation Serif" w:eastAsia="Liberation Serif"/>
                <w:color w:val="1E1E1E"/>
                <w:sz w:val="21"/>
              </w:rPr>
              <w:t>Select exploration targets balancing coverage gaps and bridge opportunities.</w:t>
            </w:r>
          </w:p>
        </w:tc>
        <w:tc>
          <w:tcPr>
            <w:tcW w:type="dxa" w:w="4752"/>
            <w:vAlign w:val="cente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after="0" w:line="252" w:lineRule="auto" w:before="0"/>
            </w:pPr>
            <w:r>
              <w:rPr>
                <w:rFonts w:ascii="Liberation Mono" w:hAnsi="Liberation Mono" w:eastAsia="Liberation Mono"/>
                <w:color w:val="282828"/>
                <w:sz w:val="19"/>
              </w:rPr>
              <w:t>targets/target_spec.json</w:t>
            </w:r>
          </w:p>
          <w:p>
            <w:pPr>
              <w:spacing w:after="0" w:line="252" w:lineRule="auto" w:before="0"/>
            </w:pPr>
            <w:r>
              <w:rPr>
                <w:rFonts w:ascii="Liberation Mono" w:hAnsi="Liberation Mono" w:eastAsia="Liberation Mono"/>
                <w:color w:val="282828"/>
                <w:sz w:val="19"/>
              </w:rPr>
              <w:t>targets/focus_domains.json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0"/>
            </w:pPr>
            <w:r>
              <w:rPr>
                <w:rFonts w:ascii="Liberation Sans" w:hAnsi="Liberation Sans" w:eastAsia="Liberation Sans"/>
                <w:b/>
                <w:color w:val="142036"/>
                <w:sz w:val="21"/>
              </w:rPr>
              <w:t>EMIT</w:t>
            </w:r>
          </w:p>
        </w:tc>
        <w:tc>
          <w:tcPr>
            <w:tcW w:type="dxa" w:w="3888"/>
            <w:vAlign w:val="cente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after="0" w:before="0"/>
            </w:pPr>
            <w:r>
              <w:rPr>
                <w:rFonts w:ascii="Liberation Serif" w:hAnsi="Liberation Serif" w:eastAsia="Liberation Serif"/>
                <w:color w:val="1E1E1E"/>
                <w:sz w:val="21"/>
              </w:rPr>
              <w:t>Generate structured candidate cards via scaffolds and lineages (coverage + bridge + mechanism novelty).</w:t>
            </w:r>
          </w:p>
        </w:tc>
        <w:tc>
          <w:tcPr>
            <w:tcW w:type="dxa" w:w="4752"/>
            <w:vAlign w:val="cente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after="0" w:line="252" w:lineRule="auto" w:before="0"/>
            </w:pPr>
            <w:r>
              <w:rPr>
                <w:rFonts w:ascii="Liberation Mono" w:hAnsi="Liberation Mono" w:eastAsia="Liberation Mono"/>
                <w:color w:val="282828"/>
                <w:sz w:val="19"/>
              </w:rPr>
              <w:t>candidates/candidates.raw.jsonl</w:t>
            </w:r>
          </w:p>
          <w:p>
            <w:pPr>
              <w:spacing w:after="0" w:line="252" w:lineRule="auto" w:before="0"/>
            </w:pPr>
            <w:r>
              <w:rPr>
                <w:rFonts w:ascii="Liberation Mono" w:hAnsi="Liberation Mono" w:eastAsia="Liberation Mono"/>
                <w:color w:val="282828"/>
                <w:sz w:val="19"/>
              </w:rPr>
              <w:t>scaffolds/scaffold_lineage.json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0"/>
            </w:pPr>
            <w:r>
              <w:rPr>
                <w:rFonts w:ascii="Liberation Sans" w:hAnsi="Liberation Sans" w:eastAsia="Liberation Sans"/>
                <w:b/>
                <w:color w:val="142036"/>
                <w:sz w:val="21"/>
              </w:rPr>
              <w:t>FILTER</w:t>
            </w:r>
          </w:p>
        </w:tc>
        <w:tc>
          <w:tcPr>
            <w:tcW w:type="dxa" w:w="3888"/>
            <w:vAlign w:val="cente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after="0" w:before="0"/>
            </w:pPr>
            <w:r>
              <w:rPr>
                <w:rFonts w:ascii="Liberation Serif" w:hAnsi="Liberation Serif" w:eastAsia="Liberation Serif"/>
                <w:color w:val="1E1E1E"/>
                <w:sz w:val="21"/>
              </w:rPr>
              <w:t>Risk gate, boringness kill, novelty distance, and OMNI interestingness routing (PROBE / INSERT / REPLACE / REFINE / ESCALATE).</w:t>
            </w:r>
          </w:p>
        </w:tc>
        <w:tc>
          <w:tcPr>
            <w:tcW w:type="dxa" w:w="4752"/>
            <w:vAlign w:val="cente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after="0" w:line="252" w:lineRule="auto" w:before="0"/>
            </w:pPr>
            <w:r>
              <w:rPr>
                <w:rFonts w:ascii="Liberation Mono" w:hAnsi="Liberation Mono" w:eastAsia="Liberation Mono"/>
                <w:color w:val="282828"/>
                <w:sz w:val="19"/>
              </w:rPr>
              <w:t>candidates/novelty_distance.jsonl</w:t>
            </w:r>
          </w:p>
          <w:p>
            <w:pPr>
              <w:spacing w:after="0" w:line="252" w:lineRule="auto" w:before="0"/>
            </w:pPr>
            <w:r>
              <w:rPr>
                <w:rFonts w:ascii="Liberation Mono" w:hAnsi="Liberation Mono" w:eastAsia="Liberation Mono"/>
                <w:color w:val="282828"/>
                <w:sz w:val="19"/>
              </w:rPr>
              <w:t>candidates/omni_interest.jsonl</w:t>
            </w:r>
          </w:p>
          <w:p>
            <w:pPr>
              <w:spacing w:after="0" w:line="252" w:lineRule="auto" w:before="0"/>
            </w:pPr>
            <w:r>
              <w:rPr>
                <w:rFonts w:ascii="Liberation Mono" w:hAnsi="Liberation Mono" w:eastAsia="Liberation Mono"/>
                <w:color w:val="282828"/>
                <w:sz w:val="19"/>
              </w:rPr>
              <w:t>candidates/candidates.filtered.jsonl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0"/>
            </w:pPr>
            <w:r>
              <w:rPr>
                <w:rFonts w:ascii="Liberation Sans" w:hAnsi="Liberation Sans" w:eastAsia="Liberation Sans"/>
                <w:b/>
                <w:color w:val="142036"/>
                <w:sz w:val="21"/>
              </w:rPr>
              <w:t>ATLAS</w:t>
            </w:r>
          </w:p>
        </w:tc>
        <w:tc>
          <w:tcPr>
            <w:tcW w:type="dxa" w:w="3888"/>
            <w:vAlign w:val="cente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after="0" w:before="0"/>
            </w:pPr>
            <w:r>
              <w:rPr>
                <w:rFonts w:ascii="Liberation Serif" w:hAnsi="Liberation Serif" w:eastAsia="Liberation Serif"/>
                <w:color w:val="1E1E1E"/>
                <w:sz w:val="21"/>
              </w:rPr>
              <w:t>Extract causal triples and mechanisms; check contradictions/side-effects; discover cross-domain bridges.</w:t>
            </w:r>
          </w:p>
        </w:tc>
        <w:tc>
          <w:tcPr>
            <w:tcW w:type="dxa" w:w="4752"/>
            <w:vAlign w:val="cente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after="0" w:line="252" w:lineRule="auto" w:before="0"/>
            </w:pPr>
            <w:r>
              <w:rPr>
                <w:rFonts w:ascii="Liberation Mono" w:hAnsi="Liberation Mono" w:eastAsia="Liberation Mono"/>
                <w:color w:val="282828"/>
                <w:sz w:val="19"/>
              </w:rPr>
              <w:t>atlas/causal_triples.jsonl</w:t>
            </w:r>
          </w:p>
          <w:p>
            <w:pPr>
              <w:spacing w:after="0" w:line="252" w:lineRule="auto" w:before="0"/>
            </w:pPr>
            <w:r>
              <w:rPr>
                <w:rFonts w:ascii="Liberation Mono" w:hAnsi="Liberation Mono" w:eastAsia="Liberation Mono"/>
                <w:color w:val="282828"/>
                <w:sz w:val="19"/>
              </w:rPr>
              <w:t>atlas/bridge_candidates.jsonl</w:t>
            </w:r>
          </w:p>
          <w:p>
            <w:pPr>
              <w:spacing w:after="0" w:line="252" w:lineRule="auto" w:before="0"/>
            </w:pPr>
            <w:r>
              <w:rPr>
                <w:rFonts w:ascii="Liberation Mono" w:hAnsi="Liberation Mono" w:eastAsia="Liberation Mono"/>
                <w:color w:val="282828"/>
                <w:sz w:val="19"/>
              </w:rPr>
              <w:t>atlas/atlas_patch.jsonl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0"/>
            </w:pPr>
            <w:r>
              <w:rPr>
                <w:rFonts w:ascii="Liberation Sans" w:hAnsi="Liberation Sans" w:eastAsia="Liberation Sans"/>
                <w:b/>
                <w:color w:val="142036"/>
                <w:sz w:val="21"/>
              </w:rPr>
              <w:t>TEST-PLAN</w:t>
            </w:r>
          </w:p>
        </w:tc>
        <w:tc>
          <w:tcPr>
            <w:tcW w:type="dxa" w:w="3888"/>
            <w:vAlign w:val="cente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after="0" w:before="0"/>
            </w:pPr>
            <w:r>
              <w:rPr>
                <w:rFonts w:ascii="Liberation Serif" w:hAnsi="Liberation Serif" w:eastAsia="Liberation Serif"/>
                <w:color w:val="1E1E1E"/>
                <w:sz w:val="21"/>
              </w:rPr>
              <w:t>Decision-conditioned falsification ladder; PROBE ladders target named unknowns with unknown_id-tagged tests.</w:t>
            </w:r>
          </w:p>
        </w:tc>
        <w:tc>
          <w:tcPr>
            <w:tcW w:type="dxa" w:w="4752"/>
            <w:vAlign w:val="cente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after="0" w:line="252" w:lineRule="auto" w:before="0"/>
            </w:pPr>
            <w:r>
              <w:rPr>
                <w:rFonts w:ascii="Liberation Mono" w:hAnsi="Liberation Mono" w:eastAsia="Liberation Mono"/>
                <w:color w:val="282828"/>
                <w:sz w:val="19"/>
              </w:rPr>
              <w:t>test_plan/falsification_ladder.jsonl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0"/>
            </w:pPr>
            <w:r>
              <w:rPr>
                <w:rFonts w:ascii="Liberation Sans" w:hAnsi="Liberation Sans" w:eastAsia="Liberation Sans"/>
                <w:b/>
                <w:color w:val="142036"/>
                <w:sz w:val="21"/>
              </w:rPr>
              <w:t>EVAL</w:t>
            </w:r>
          </w:p>
        </w:tc>
        <w:tc>
          <w:tcPr>
            <w:tcW w:type="dxa" w:w="3888"/>
            <w:vAlign w:val="cente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after="0" w:before="0"/>
            </w:pPr>
            <w:r>
              <w:rPr>
                <w:rFonts w:ascii="Liberation Serif" w:hAnsi="Liberation Serif" w:eastAsia="Liberation Serif"/>
                <w:color w:val="1E1E1E"/>
                <w:sz w:val="21"/>
              </w:rPr>
              <w:t>Execute deterministic checks and/or OpsWorld episodes; grade; audit judges; mint evidence objects; update ECI ledger.</w:t>
            </w:r>
          </w:p>
        </w:tc>
        <w:tc>
          <w:tcPr>
            <w:tcW w:type="dxa" w:w="4752"/>
            <w:vAlign w:val="cente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after="0" w:line="252" w:lineRule="auto" w:before="0"/>
            </w:pPr>
            <w:r>
              <w:rPr>
                <w:rFonts w:ascii="Liberation Mono" w:hAnsi="Liberation Mono" w:eastAsia="Liberation Mono"/>
                <w:color w:val="282828"/>
                <w:sz w:val="19"/>
              </w:rPr>
              <w:t>eval/eval_results.jsonl</w:t>
            </w:r>
          </w:p>
          <w:p>
            <w:pPr>
              <w:spacing w:after="0" w:line="252" w:lineRule="auto" w:before="0"/>
            </w:pPr>
            <w:r>
              <w:rPr>
                <w:rFonts w:ascii="Liberation Mono" w:hAnsi="Liberation Mono" w:eastAsia="Liberation Mono"/>
                <w:color w:val="282828"/>
                <w:sz w:val="19"/>
              </w:rPr>
              <w:t>evidence/evidence_objects.jsonl</w:t>
            </w:r>
          </w:p>
          <w:p>
            <w:pPr>
              <w:spacing w:after="0" w:line="252" w:lineRule="auto" w:before="0"/>
            </w:pPr>
            <w:r>
              <w:rPr>
                <w:rFonts w:ascii="Liberation Mono" w:hAnsi="Liberation Mono" w:eastAsia="Liberation Mono"/>
                <w:color w:val="282828"/>
                <w:sz w:val="19"/>
              </w:rPr>
              <w:t>eci/eci_ledger.jsonl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0"/>
            </w:pPr>
            <w:r>
              <w:rPr>
                <w:rFonts w:ascii="Liberation Sans" w:hAnsi="Liberation Sans" w:eastAsia="Liberation Sans"/>
                <w:b/>
                <w:color w:val="142036"/>
                <w:sz w:val="21"/>
              </w:rPr>
              <w:t>INSERT</w:t>
            </w:r>
          </w:p>
        </w:tc>
        <w:tc>
          <w:tcPr>
            <w:tcW w:type="dxa" w:w="3888"/>
            <w:vAlign w:val="cente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after="0" w:before="0"/>
            </w:pPr>
            <w:r>
              <w:rPr>
                <w:rFonts w:ascii="Liberation Serif" w:hAnsi="Liberation Serif" w:eastAsia="Liberation Serif"/>
                <w:color w:val="1E1E1E"/>
                <w:sz w:val="21"/>
              </w:rPr>
              <w:t>Insert/replace elites in MAP-Elites archive with baseline comparisons; emit standardized reports and manifests.</w:t>
            </w:r>
          </w:p>
        </w:tc>
        <w:tc>
          <w:tcPr>
            <w:tcW w:type="dxa" w:w="4752"/>
            <w:vAlign w:val="cente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after="0" w:line="252" w:lineRule="auto" w:before="0"/>
            </w:pPr>
            <w:r>
              <w:rPr>
                <w:rFonts w:ascii="Liberation Mono" w:hAnsi="Liberation Mono" w:eastAsia="Liberation Mono"/>
                <w:color w:val="282828"/>
                <w:sz w:val="19"/>
              </w:rPr>
              <w:t>archive/updated_frontier_cells.jsonl</w:t>
            </w:r>
          </w:p>
          <w:p>
            <w:pPr>
              <w:spacing w:after="0" w:line="252" w:lineRule="auto" w:before="0"/>
            </w:pPr>
            <w:r>
              <w:rPr>
                <w:rFonts w:ascii="Liberation Mono" w:hAnsi="Liberation Mono" w:eastAsia="Liberation Mono"/>
                <w:color w:val="282828"/>
                <w:sz w:val="19"/>
              </w:rPr>
              <w:t>eval/baseline_comparison.jsonl</w:t>
            </w:r>
          </w:p>
          <w:p>
            <w:pPr>
              <w:spacing w:after="0" w:line="252" w:lineRule="auto" w:before="0"/>
            </w:pPr>
            <w:r>
              <w:rPr>
                <w:rFonts w:ascii="Liberation Mono" w:hAnsi="Liberation Mono" w:eastAsia="Liberation Mono"/>
                <w:color w:val="282828"/>
                <w:sz w:val="19"/>
              </w:rPr>
              <w:t>reports/helm_like_summary.md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0"/>
            </w:pPr>
            <w:r>
              <w:rPr>
                <w:rFonts w:ascii="Liberation Sans" w:hAnsi="Liberation Sans" w:eastAsia="Liberation Sans"/>
                <w:b/>
                <w:color w:val="142036"/>
                <w:sz w:val="21"/>
              </w:rPr>
              <w:t>PROMOTE</w:t>
            </w:r>
          </w:p>
        </w:tc>
        <w:tc>
          <w:tcPr>
            <w:tcW w:type="dxa" w:w="3888"/>
            <w:vAlign w:val="cente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after="0" w:before="0"/>
            </w:pPr>
            <w:r>
              <w:rPr>
                <w:rFonts w:ascii="Liberation Serif" w:hAnsi="Liberation Serif" w:eastAsia="Liberation Serif"/>
                <w:color w:val="1E1E1E"/>
                <w:sz w:val="21"/>
              </w:rPr>
              <w:t>Lane-balanced promotion queue (LHF + PIONEER); optional dossier bundles for decision-makers.</w:t>
            </w:r>
          </w:p>
        </w:tc>
        <w:tc>
          <w:tcPr>
            <w:tcW w:type="dxa" w:w="4752"/>
            <w:vAlign w:val="cente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after="0" w:line="252" w:lineRule="auto" w:before="0"/>
            </w:pPr>
            <w:r>
              <w:rPr>
                <w:rFonts w:ascii="Liberation Mono" w:hAnsi="Liberation Mono" w:eastAsia="Liberation Mono"/>
                <w:color w:val="282828"/>
                <w:sz w:val="19"/>
              </w:rPr>
              <w:t>promotion/promotion_queue.csv</w:t>
            </w:r>
          </w:p>
          <w:p>
            <w:pPr>
              <w:spacing w:after="0" w:line="252" w:lineRule="auto" w:before="0"/>
            </w:pPr>
            <w:r>
              <w:rPr>
                <w:rFonts w:ascii="Liberation Mono" w:hAnsi="Liberation Mono" w:eastAsia="Liberation Mono"/>
                <w:color w:val="282828"/>
                <w:sz w:val="19"/>
              </w:rPr>
              <w:t>dossier/index.json (when triggered)</w:t>
            </w:r>
          </w:p>
        </w:tc>
      </w:tr>
    </w:tbl>
    <w:p>
      <w:pPr>
        <w:spacing w:before="160" w:after="160"/>
      </w:pPr>
      <w:r>
        <w:rPr>
          <w:rFonts w:ascii="Liberation Serif" w:hAnsi="Liberation Serif" w:eastAsia="Liberation Serif"/>
          <w:i/>
          <w:color w:val="464646"/>
          <w:sz w:val="20"/>
        </w:rPr>
        <w:t>Note: All artifacts are schema-validated. Failures trigger repair or hard-stop with an explicit error object; no silent corruption.</w:t>
      </w:r>
    </w:p>
    <w:p>
      <w:pPr>
        <w:spacing w:before="240" w:after="200"/>
      </w:pPr>
      <w:r>
        <w:rPr>
          <w:rFonts w:ascii="Liberation Serif" w:hAnsi="Liberation Serif" w:eastAsia="Liberation Serif"/>
          <w:b/>
          <w:color w:val="142036"/>
          <w:sz w:val="40"/>
        </w:rPr>
        <w:t>Why this differs from typical agentic systems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64"/>
        <w:gridCol w:w="5616"/>
      </w:tblGrid>
      <w:tr>
        <w:tc>
          <w:tcPr>
            <w:tcW w:type="dxa" w:w="4752"/>
            <w:shd w:fill="142036"/>
            <w:vAlign w:val="center"/>
            <w:tcBorders>
              <w:top w:val="single" w:sz="4" w:color="142036"/>
              <w:left w:val="single" w:sz="4" w:color="142036"/>
              <w:bottom w:val="single" w:sz="4" w:color="142036"/>
              <w:right w:val="single" w:sz="4" w:color="142036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22"/>
              </w:rPr>
              <w:t>Typical LLM agents</w:t>
            </w:r>
          </w:p>
        </w:tc>
        <w:tc>
          <w:tcPr>
            <w:tcW w:type="dxa" w:w="4752"/>
            <w:shd w:fill="142036"/>
            <w:vAlign w:val="center"/>
            <w:tcBorders>
              <w:top w:val="single" w:sz="4" w:color="142036"/>
              <w:left w:val="single" w:sz="4" w:color="142036"/>
              <w:bottom w:val="single" w:sz="4" w:color="142036"/>
              <w:right w:val="single" w:sz="4" w:color="142036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22"/>
              </w:rPr>
              <w:t>AGI Alpha RSI</w:t>
            </w:r>
          </w:p>
        </w:tc>
      </w:tr>
      <w:tr>
        <w:tc>
          <w:tcPr>
            <w:tcW w:type="dxa" w:w="4464"/>
            <w:vAlign w:val="cente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after="40" w:line="276" w:lineRule="auto"/>
            </w:pPr>
            <w:r>
              <w:rPr>
                <w:rFonts w:ascii="Liberation Serif" w:hAnsi="Liberation Serif" w:eastAsia="Liberation Serif"/>
                <w:color w:val="1E1E1E"/>
                <w:sz w:val="22"/>
              </w:rPr>
              <w:t>Optimize for fluent completion.</w:t>
            </w:r>
          </w:p>
        </w:tc>
        <w:tc>
          <w:tcPr>
            <w:tcW w:type="dxa" w:w="5616"/>
            <w:vAlign w:val="cente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after="40" w:line="276" w:lineRule="auto"/>
            </w:pPr>
            <w:r>
              <w:rPr>
                <w:rFonts w:ascii="Liberation Serif" w:hAnsi="Liberation Serif" w:eastAsia="Liberation Serif"/>
                <w:color w:val="1E1E1E"/>
                <w:sz w:val="22"/>
              </w:rPr>
              <w:t>Optimize for compounding evidence, advantage, and coverage.</w:t>
            </w:r>
          </w:p>
        </w:tc>
      </w:tr>
      <w:tr>
        <w:tc>
          <w:tcPr>
            <w:tcW w:type="dxa" w:w="4464"/>
            <w:vAlign w:val="cente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after="40" w:line="276" w:lineRule="auto"/>
            </w:pPr>
            <w:r>
              <w:rPr>
                <w:rFonts w:ascii="Liberation Serif" w:hAnsi="Liberation Serif" w:eastAsia="Liberation Serif"/>
                <w:color w:val="1E1E1E"/>
                <w:sz w:val="22"/>
              </w:rPr>
              <w:t>Ad hoc tools and prompts; low governance.</w:t>
            </w:r>
          </w:p>
        </w:tc>
        <w:tc>
          <w:tcPr>
            <w:tcW w:type="dxa" w:w="5616"/>
            <w:vAlign w:val="cente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after="40" w:line="276" w:lineRule="auto"/>
            </w:pPr>
            <w:r>
              <w:rPr>
                <w:rFonts w:ascii="Liberation Serif" w:hAnsi="Liberation Serif" w:eastAsia="Liberation Serif"/>
                <w:color w:val="1E1E1E"/>
                <w:sz w:val="22"/>
              </w:rPr>
              <w:t>Closed prompt ecosystem: schema-bound, replayable, audited.</w:t>
            </w:r>
          </w:p>
        </w:tc>
      </w:tr>
      <w:tr>
        <w:tc>
          <w:tcPr>
            <w:tcW w:type="dxa" w:w="4464"/>
            <w:vAlign w:val="cente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after="40" w:line="276" w:lineRule="auto"/>
            </w:pPr>
            <w:r>
              <w:rPr>
                <w:rFonts w:ascii="Liberation Serif" w:hAnsi="Liberation Serif" w:eastAsia="Liberation Serif"/>
                <w:color w:val="1E1E1E"/>
                <w:sz w:val="22"/>
              </w:rPr>
              <w:t>One-off results; hard to reproduce.</w:t>
            </w:r>
          </w:p>
        </w:tc>
        <w:tc>
          <w:tcPr>
            <w:tcW w:type="dxa" w:w="5616"/>
            <w:vAlign w:val="cente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after="40" w:line="276" w:lineRule="auto"/>
            </w:pPr>
            <w:r>
              <w:rPr>
                <w:rFonts w:ascii="Liberation Serif" w:hAnsi="Liberation Serif" w:eastAsia="Liberation Serif"/>
                <w:color w:val="1E1E1E"/>
                <w:sz w:val="22"/>
              </w:rPr>
              <w:t>Deterministic runner outputs with manifests, hashes, and state persistence.</w:t>
            </w:r>
          </w:p>
        </w:tc>
      </w:tr>
      <w:tr>
        <w:tc>
          <w:tcPr>
            <w:tcW w:type="dxa" w:w="4464"/>
            <w:vAlign w:val="cente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after="40" w:line="276" w:lineRule="auto"/>
            </w:pPr>
            <w:r>
              <w:rPr>
                <w:rFonts w:ascii="Liberation Serif" w:hAnsi="Liberation Serif" w:eastAsia="Liberation Serif"/>
                <w:color w:val="1E1E1E"/>
                <w:sz w:val="22"/>
              </w:rPr>
              <w:t>Exploration is expensive and unguided.</w:t>
            </w:r>
          </w:p>
        </w:tc>
        <w:tc>
          <w:tcPr>
            <w:tcW w:type="dxa" w:w="5616"/>
            <w:vAlign w:val="cente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after="40" w:line="276" w:lineRule="auto"/>
            </w:pPr>
            <w:r>
              <w:rPr>
                <w:rFonts w:ascii="Liberation Serif" w:hAnsi="Liberation Serif" w:eastAsia="Liberation Serif"/>
                <w:color w:val="1E1E1E"/>
                <w:sz w:val="22"/>
              </w:rPr>
              <w:t>Open-ended QD + action routing + EIG-scheduled probing.</w:t>
            </w:r>
          </w:p>
        </w:tc>
      </w:tr>
      <w:tr>
        <w:tc>
          <w:tcPr>
            <w:tcW w:type="dxa" w:w="4464"/>
            <w:vAlign w:val="cente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after="40" w:line="276" w:lineRule="auto"/>
            </w:pPr>
            <w:r>
              <w:rPr>
                <w:rFonts w:ascii="Liberation Serif" w:hAnsi="Liberation Serif" w:eastAsia="Liberation Serif"/>
                <w:color w:val="1E1E1E"/>
                <w:sz w:val="22"/>
              </w:rPr>
              <w:t>Progress is narrative-driven.</w:t>
            </w:r>
          </w:p>
        </w:tc>
        <w:tc>
          <w:tcPr>
            <w:tcW w:type="dxa" w:w="5616"/>
            <w:vAlign w:val="cente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after="40" w:line="276" w:lineRule="auto"/>
            </w:pPr>
            <w:r>
              <w:rPr>
                <w:rFonts w:ascii="Liberation Serif" w:hAnsi="Liberation Serif" w:eastAsia="Liberation Serif"/>
                <w:color w:val="1E1E1E"/>
                <w:sz w:val="22"/>
              </w:rPr>
              <w:t>Progress is artifact- and metric-driven (ECI, novelty distance, baseline advantage).</w:t>
            </w:r>
          </w:p>
        </w:tc>
      </w:tr>
    </w:tbl>
    <w:p/>
    <w:p>
      <w:pPr>
        <w:spacing w:before="240" w:after="200"/>
      </w:pPr>
      <w:r>
        <w:rPr>
          <w:rFonts w:ascii="Liberation Serif" w:hAnsi="Liberation Serif" w:eastAsia="Liberation Serif"/>
          <w:b/>
          <w:color w:val="142036"/>
          <w:sz w:val="40"/>
        </w:rPr>
        <w:t>Move-37-class breakthrough governance (v7)</w:t>
      </w:r>
    </w:p>
    <w:p>
      <w:pPr>
        <w:spacing w:after="160" w:line="288" w:lineRule="auto"/>
      </w:pPr>
      <w:r>
        <w:rPr>
          <w:rFonts w:ascii="Liberation Serif" w:hAnsi="Liberation Serif" w:eastAsia="Liberation Serif"/>
          <w:color w:val="1E1E1E"/>
          <w:sz w:val="22"/>
        </w:rPr>
        <w:t>AGI Alpha RSI is engineered to increase the probability of non-obvious, high-leverage innovations while preserving high-trust decision-making. A breakthrough is not declared by narrative. It is declared mechanically by novelty distance, measured advantage versus a baseline, and persistence under stress.</w:t>
      </w:r>
    </w:p>
    <w:p>
      <w:pPr>
        <w:spacing w:before="200" w:after="120"/>
      </w:pPr>
      <w:r>
        <w:rPr>
          <w:rFonts w:ascii="Liberation Serif" w:hAnsi="Liberation Serif" w:eastAsia="Liberation Serif"/>
          <w:b/>
          <w:color w:val="142036"/>
          <w:sz w:val="28"/>
        </w:rPr>
        <w:t>Breakthrough trigger (mechanical)</w:t>
      </w:r>
    </w:p>
    <w:p>
      <w:pPr>
        <w:pStyle w:val="ListBullet"/>
        <w:spacing w:after="40" w:line="276" w:lineRule="auto"/>
      </w:pPr>
      <w:r>
        <w:rPr>
          <w:rFonts w:ascii="Liberation Serif" w:hAnsi="Liberation Serif" w:eastAsia="Liberation Serif"/>
          <w:color w:val="1E1E1E"/>
          <w:sz w:val="22"/>
        </w:rPr>
        <w:t>Novelty distance &gt;= 0.90 (deterministic 1 - max_similarity to nearest neighbors across descriptors, causal triples, and normalized text).</w:t>
      </w:r>
    </w:p>
    <w:p>
      <w:pPr>
        <w:pStyle w:val="ListBullet"/>
        <w:spacing w:after="40" w:line="276" w:lineRule="auto"/>
      </w:pPr>
      <w:r>
        <w:rPr>
          <w:rFonts w:ascii="Liberation Serif" w:hAnsi="Liberation Serif" w:eastAsia="Liberation Serif"/>
          <w:color w:val="1E1E1E"/>
          <w:sz w:val="22"/>
        </w:rPr>
        <w:t>Advantage delta &gt;= 0.15 versus the incumbent baseline (or nearest-neighbor fallback), computed from comparable grades and/or executed metrics.</w:t>
      </w:r>
    </w:p>
    <w:p>
      <w:pPr>
        <w:pStyle w:val="ListBullet"/>
        <w:spacing w:after="40" w:line="276" w:lineRule="auto"/>
      </w:pPr>
      <w:r>
        <w:rPr>
          <w:rFonts w:ascii="Liberation Serif" w:hAnsi="Liberation Serif" w:eastAsia="Liberation Serif"/>
          <w:color w:val="1E1E1E"/>
          <w:sz w:val="22"/>
        </w:rPr>
        <w:t>Risk within the configured limit; minimum confidence and minimum ECI gates satisfied.</w:t>
      </w:r>
    </w:p>
    <w:p>
      <w:pPr>
        <w:spacing w:before="200" w:after="120"/>
      </w:pPr>
      <w:r>
        <w:rPr>
          <w:rFonts w:ascii="Liberation Serif" w:hAnsi="Liberation Serif" w:eastAsia="Liberation Serif"/>
          <w:b/>
          <w:color w:val="142036"/>
          <w:sz w:val="28"/>
        </w:rPr>
        <w:t>Automatic escalation when triggered</w:t>
      </w:r>
    </w:p>
    <w:p>
      <w:pPr>
        <w:pStyle w:val="ListBullet"/>
        <w:spacing w:after="40" w:line="276" w:lineRule="auto"/>
      </w:pPr>
      <w:r>
        <w:rPr>
          <w:rFonts w:ascii="Liberation Serif" w:hAnsi="Liberation Serif" w:eastAsia="Liberation Serif"/>
          <w:color w:val="1E1E1E"/>
          <w:sz w:val="22"/>
        </w:rPr>
        <w:t>Stress tests: policy shocks (multiple adversarial scenario perturbations) and multi-seed replays to rule out fragile wins.</w:t>
      </w:r>
    </w:p>
    <w:p>
      <w:pPr>
        <w:pStyle w:val="ListBullet"/>
        <w:spacing w:after="40" w:line="276" w:lineRule="auto"/>
      </w:pPr>
      <w:r>
        <w:rPr>
          <w:rFonts w:ascii="Liberation Serif" w:hAnsi="Liberation Serif" w:eastAsia="Liberation Serif"/>
          <w:color w:val="1E1E1E"/>
          <w:sz w:val="22"/>
        </w:rPr>
        <w:t>Probe budget multiplier: deterministic EIG scheduler executes more L0 probes, prioritizing the highest information gain per unit cost.</w:t>
      </w:r>
    </w:p>
    <w:p>
      <w:pPr>
        <w:pStyle w:val="ListBullet"/>
        <w:spacing w:after="40" w:line="276" w:lineRule="auto"/>
      </w:pPr>
      <w:r>
        <w:rPr>
          <w:rFonts w:ascii="Liberation Serif" w:hAnsi="Liberation Serif" w:eastAsia="Liberation Serif"/>
          <w:color w:val="1E1E1E"/>
          <w:sz w:val="22"/>
        </w:rPr>
        <w:t>Advantage persistence gate: requires sustained positive advantage across shocks/replays before any sovereign-grade escalation.</w:t>
      </w:r>
    </w:p>
    <w:p>
      <w:pPr>
        <w:spacing w:before="200" w:after="120"/>
      </w:pPr>
      <w:r>
        <w:rPr>
          <w:rFonts w:ascii="Liberation Serif" w:hAnsi="Liberation Serif" w:eastAsia="Liberation Serif"/>
          <w:b/>
          <w:color w:val="142036"/>
          <w:sz w:val="28"/>
        </w:rPr>
        <w:t>Decision-grade dossier bundle</w:t>
      </w:r>
    </w:p>
    <w:p>
      <w:pPr>
        <w:spacing w:after="160" w:line="288" w:lineRule="auto"/>
      </w:pPr>
      <w:r>
        <w:rPr>
          <w:rFonts w:ascii="Liberation Serif" w:hAnsi="Liberation Serif" w:eastAsia="Liberation Serif"/>
          <w:color w:val="1E1E1E"/>
          <w:sz w:val="22"/>
        </w:rPr>
        <w:t>When the protocol triggers, the runner emits a dossier bundle that includes the run manifest, novelty distance calculations, baseline comparisons, probe schedules, evidence objects, ECI ledger updates, and HELM-style summary reporting. This produces unambiguous reproducibility and a complete audit trail for stakeholders.</w:t>
      </w:r>
    </w:p>
    <w:p>
      <w:pPr>
        <w:spacing w:before="240" w:after="200"/>
      </w:pPr>
      <w:r>
        <w:rPr>
          <w:rFonts w:ascii="Liberation Serif" w:hAnsi="Liberation Serif" w:eastAsia="Liberation Serif"/>
          <w:b/>
          <w:color w:val="142036"/>
          <w:sz w:val="40"/>
        </w:rPr>
        <w:t>Systematic pressure toward non-human, high-leverage novelty</w:t>
      </w:r>
    </w:p>
    <w:p>
      <w:pPr>
        <w:spacing w:after="160" w:line="288" w:lineRule="auto"/>
      </w:pPr>
      <w:r>
        <w:rPr>
          <w:rFonts w:ascii="Liberation Serif" w:hAnsi="Liberation Serif" w:eastAsia="Liberation Serif"/>
          <w:color w:val="1E1E1E"/>
          <w:sz w:val="22"/>
        </w:rPr>
        <w:t>The search process is designed to avoid converging on familiar, human-shaped solutions. It maintains explicit exploration pressure through (1) a MAP-Elites-style archive over a descriptor space, (2) novelty distance as an objective metric against the evolving portfolio, and (3) bridge discovery in the causal atlas to surface cross-domain combinations.</w:t>
      </w:r>
    </w:p>
    <w:p>
      <w:pPr>
        <w:spacing w:before="200" w:after="120"/>
      </w:pPr>
      <w:r>
        <w:rPr>
          <w:rFonts w:ascii="Liberation Serif" w:hAnsi="Liberation Serif" w:eastAsia="Liberation Serif"/>
          <w:b/>
          <w:color w:val="142036"/>
          <w:sz w:val="28"/>
        </w:rPr>
        <w:t>Quality-Diversity archive (MAP-Elites framing)</w:t>
      </w:r>
    </w:p>
    <w:p>
      <w:pPr>
        <w:pStyle w:val="ListBullet"/>
        <w:spacing w:after="40" w:line="276" w:lineRule="auto"/>
      </w:pPr>
      <w:r>
        <w:rPr>
          <w:rFonts w:ascii="Liberation Serif" w:hAnsi="Liberation Serif" w:eastAsia="Liberation Serif"/>
          <w:color w:val="1E1E1E"/>
          <w:sz w:val="22"/>
        </w:rPr>
        <w:t>Archive stores elites per descriptor cell (e.g., mechanism class, deployment envelope, time horizon, regulated vs non-regulated, capex class).</w:t>
      </w:r>
    </w:p>
    <w:p>
      <w:pPr>
        <w:pStyle w:val="ListBullet"/>
        <w:spacing w:after="40" w:line="276" w:lineRule="auto"/>
      </w:pPr>
      <w:r>
        <w:rPr>
          <w:rFonts w:ascii="Liberation Serif" w:hAnsi="Liberation Serif" w:eastAsia="Liberation Serif"/>
          <w:color w:val="1E1E1E"/>
          <w:sz w:val="22"/>
        </w:rPr>
        <w:t>Coverage targeting prioritizes empty or under-explored cells; bridge targeting prioritizes cross-domain adjacency discovered in the causal atlas.</w:t>
      </w:r>
    </w:p>
    <w:p>
      <w:pPr>
        <w:pStyle w:val="ListBullet"/>
        <w:spacing w:after="40" w:line="276" w:lineRule="auto"/>
      </w:pPr>
      <w:r>
        <w:rPr>
          <w:rFonts w:ascii="Liberation Serif" w:hAnsi="Liberation Serif" w:eastAsia="Liberation Serif"/>
          <w:color w:val="1E1E1E"/>
          <w:sz w:val="22"/>
        </w:rPr>
        <w:t>Archive persistence is monotonic: frontier cells and candidates are append-only; cycle_index increments by exactly +1 per run.</w:t>
      </w:r>
    </w:p>
    <w:p>
      <w:pPr>
        <w:spacing w:before="200" w:after="120"/>
      </w:pPr>
      <w:r>
        <w:rPr>
          <w:rFonts w:ascii="Liberation Serif" w:hAnsi="Liberation Serif" w:eastAsia="Liberation Serif"/>
          <w:b/>
          <w:color w:val="142036"/>
          <w:sz w:val="28"/>
        </w:rPr>
        <w:t>OMNI Interestingness Kernel (P63) as search control</w:t>
      </w:r>
    </w:p>
    <w:p>
      <w:pPr>
        <w:pStyle w:val="ListBullet"/>
        <w:spacing w:after="40" w:line="276" w:lineRule="auto"/>
      </w:pPr>
      <w:r>
        <w:rPr>
          <w:rFonts w:ascii="Liberation Serif" w:hAnsi="Liberation Serif" w:eastAsia="Liberation Serif"/>
          <w:color w:val="1E1E1E"/>
          <w:sz w:val="22"/>
        </w:rPr>
        <w:t>P63 emits both scores and an explicit action recommendation: INSERT / REPLACE / PROBE / REFINE / REJECT / ESCALATE.</w:t>
      </w:r>
    </w:p>
    <w:p>
      <w:pPr>
        <w:pStyle w:val="ListBullet"/>
        <w:spacing w:after="40" w:line="276" w:lineRule="auto"/>
      </w:pPr>
      <w:r>
        <w:rPr>
          <w:rFonts w:ascii="Liberation Serif" w:hAnsi="Liberation Serif" w:eastAsia="Liberation Serif"/>
          <w:color w:val="1E1E1E"/>
          <w:sz w:val="22"/>
        </w:rPr>
        <w:t>For PROBE decisions, P63 names uncertainty-focused unknowns with expected_info_gain estimates.</w:t>
      </w:r>
    </w:p>
    <w:p>
      <w:pPr>
        <w:pStyle w:val="ListBullet"/>
        <w:spacing w:after="40" w:line="276" w:lineRule="auto"/>
      </w:pPr>
      <w:r>
        <w:rPr>
          <w:rFonts w:ascii="Liberation Serif" w:hAnsi="Liberation Serif" w:eastAsia="Liberation Serif"/>
          <w:color w:val="1E1E1E"/>
          <w:sz w:val="22"/>
        </w:rPr>
        <w:t>Unknown IDs are embedded into test IDs; the runner selects rungs by deterministic EIG scheduling (unknown_gain * entropy / cost_bucket).</w:t>
      </w:r>
    </w:p>
    <w:p>
      <w:pPr>
        <w:spacing w:before="240" w:after="200"/>
      </w:pPr>
      <w:r>
        <w:rPr>
          <w:rFonts w:ascii="Liberation Serif" w:hAnsi="Liberation Serif" w:eastAsia="Liberation Serif"/>
          <w:b/>
          <w:color w:val="142036"/>
          <w:sz w:val="40"/>
        </w:rPr>
        <w:t>Objective advantage confirmation (evaluation stack)</w:t>
      </w:r>
    </w:p>
    <w:p>
      <w:pPr>
        <w:spacing w:after="160" w:line="288" w:lineRule="auto"/>
      </w:pPr>
      <w:r>
        <w:rPr>
          <w:rFonts w:ascii="Liberation Serif" w:hAnsi="Liberation Serif" w:eastAsia="Liberation Serif"/>
          <w:color w:val="1E1E1E"/>
          <w:sz w:val="22"/>
        </w:rPr>
        <w:t>AGI Alpha RSI treats advantage as measurable. Candidates are evaluated through deterministic checks and/or controlled OpsWorld episodes, graded against explicit success criteria, and compared to baselines. This avoids 'LLM self-approval' by requiring executed evidence whenever possible.</w:t>
      </w:r>
    </w:p>
    <w:p>
      <w:pPr>
        <w:spacing w:before="200" w:after="120"/>
      </w:pPr>
      <w:r>
        <w:rPr>
          <w:rFonts w:ascii="Liberation Serif" w:hAnsi="Liberation Serif" w:eastAsia="Liberation Serif"/>
          <w:b/>
          <w:color w:val="142036"/>
          <w:sz w:val="28"/>
        </w:rPr>
        <w:t>Evidence Contact Index (ECI) and auditability</w:t>
      </w:r>
    </w:p>
    <w:p>
      <w:pPr>
        <w:pStyle w:val="ListBullet"/>
        <w:spacing w:after="40" w:line="276" w:lineRule="auto"/>
      </w:pPr>
      <w:r>
        <w:rPr>
          <w:rFonts w:ascii="Liberation Serif" w:hAnsi="Liberation Serif" w:eastAsia="Liberation Serif"/>
          <w:color w:val="1E1E1E"/>
          <w:sz w:val="22"/>
        </w:rPr>
        <w:t>ECI is a 0-1 credibility currency updated by a deterministic ledger rule set (executed evidence moves ECI more than simulated evidence; simulated evidence is capped).</w:t>
      </w:r>
    </w:p>
    <w:p>
      <w:pPr>
        <w:pStyle w:val="ListBullet"/>
        <w:spacing w:after="40" w:line="276" w:lineRule="auto"/>
      </w:pPr>
      <w:r>
        <w:rPr>
          <w:rFonts w:ascii="Liberation Serif" w:hAnsi="Liberation Serif" w:eastAsia="Liberation Serif"/>
          <w:color w:val="1E1E1E"/>
          <w:sz w:val="22"/>
        </w:rPr>
        <w:t>Every test emits an evidence object (PASS / FAIL / INCONCLUSIVE) plus attached artifacts and hashes.</w:t>
      </w:r>
    </w:p>
    <w:p>
      <w:pPr>
        <w:pStyle w:val="ListBullet"/>
        <w:spacing w:after="40" w:line="276" w:lineRule="auto"/>
      </w:pPr>
      <w:r>
        <w:rPr>
          <w:rFonts w:ascii="Liberation Serif" w:hAnsi="Liberation Serif" w:eastAsia="Liberation Serif"/>
          <w:color w:val="1E1E1E"/>
          <w:sz w:val="22"/>
        </w:rPr>
        <w:t>Judge calibration and audit prompts periodically measure drift and enforce reliability discipline.</w:t>
      </w:r>
    </w:p>
    <w:p>
      <w:pPr>
        <w:spacing w:before="200" w:after="120"/>
      </w:pPr>
      <w:r>
        <w:rPr>
          <w:rFonts w:ascii="Liberation Serif" w:hAnsi="Liberation Serif" w:eastAsia="Liberation Serif"/>
          <w:b/>
          <w:color w:val="142036"/>
          <w:sz w:val="28"/>
        </w:rPr>
        <w:t>Baseline comparison requirements (v7)</w:t>
      </w:r>
    </w:p>
    <w:p>
      <w:pPr>
        <w:pStyle w:val="ListBullet"/>
        <w:spacing w:after="40" w:line="276" w:lineRule="auto"/>
      </w:pPr>
      <w:r>
        <w:rPr>
          <w:rFonts w:ascii="Liberation Serif" w:hAnsi="Liberation Serif" w:eastAsia="Liberation Serif"/>
          <w:color w:val="1E1E1E"/>
          <w:sz w:val="22"/>
        </w:rPr>
        <w:t>INSERT/REPLACE/ESCALATE decisions require baseline comparisons: incumbent elite in the target cell when available; otherwise a nearest-neighbor fallback.</w:t>
      </w:r>
    </w:p>
    <w:p>
      <w:pPr>
        <w:pStyle w:val="ListBullet"/>
        <w:spacing w:after="40" w:line="276" w:lineRule="auto"/>
      </w:pPr>
      <w:r>
        <w:rPr>
          <w:rFonts w:ascii="Liberation Serif" w:hAnsi="Liberation Serif" w:eastAsia="Liberation Serif"/>
          <w:color w:val="1E1E1E"/>
          <w:sz w:val="22"/>
        </w:rPr>
        <w:t>Replace decisions require a minimum advantage delta; breakthrough triggers require a larger delta and additional gates.</w:t>
      </w:r>
    </w:p>
    <w:p>
      <w:pPr>
        <w:pStyle w:val="ListBullet"/>
        <w:spacing w:after="40" w:line="276" w:lineRule="auto"/>
      </w:pPr>
      <w:r>
        <w:rPr>
          <w:rFonts w:ascii="Liberation Serif" w:hAnsi="Liberation Serif" w:eastAsia="Liberation Serif"/>
          <w:color w:val="1E1E1E"/>
          <w:sz w:val="22"/>
        </w:rPr>
        <w:t>All comparisons are emitted as machine-readable artifacts and included in run bundles for replay.</w:t>
      </w:r>
    </w:p>
    <w:p>
      <w:pPr>
        <w:spacing w:before="240" w:after="200"/>
      </w:pPr>
      <w:r>
        <w:rPr>
          <w:rFonts w:ascii="Liberation Serif" w:hAnsi="Liberation Serif" w:eastAsia="Liberation Serif"/>
          <w:b/>
          <w:color w:val="142036"/>
          <w:sz w:val="40"/>
        </w:rPr>
        <w:t>Sovereign deployment posture</w:t>
      </w:r>
    </w:p>
    <w:p>
      <w:pPr>
        <w:spacing w:after="160" w:line="288" w:lineRule="auto"/>
      </w:pPr>
      <w:r>
        <w:rPr>
          <w:rFonts w:ascii="Liberation Serif" w:hAnsi="Liberation Serif" w:eastAsia="Liberation Serif"/>
          <w:color w:val="1E1E1E"/>
          <w:sz w:val="22"/>
        </w:rPr>
        <w:t>AGI Alpha RSI is designed for environments where trust, reproducibility, and governance are non-negotiable. It supports audit-first operations, deterministic replay, and controlled escalation of high-impact innovations.</w:t>
      </w:r>
    </w:p>
    <w:p>
      <w:pPr>
        <w:pStyle w:val="ListBullet"/>
        <w:spacing w:after="40" w:line="276" w:lineRule="auto"/>
      </w:pPr>
      <w:r>
        <w:rPr>
          <w:rFonts w:ascii="Liberation Serif" w:hAnsi="Liberation Serif" w:eastAsia="Liberation Serif"/>
          <w:color w:val="1E1E1E"/>
          <w:sz w:val="22"/>
        </w:rPr>
        <w:t>Closed prompt ecosystem: every role is specified; every output schema is validated; every call is logged with provenance.</w:t>
      </w:r>
    </w:p>
    <w:p>
      <w:pPr>
        <w:pStyle w:val="ListBullet"/>
        <w:spacing w:after="40" w:line="276" w:lineRule="auto"/>
      </w:pPr>
      <w:r>
        <w:rPr>
          <w:rFonts w:ascii="Liberation Serif" w:hAnsi="Liberation Serif" w:eastAsia="Liberation Serif"/>
          <w:color w:val="1E1E1E"/>
          <w:sz w:val="22"/>
        </w:rPr>
        <w:t>Deterministic run manifests and content hashes enable third-party verification and independent replay.</w:t>
      </w:r>
    </w:p>
    <w:p>
      <w:pPr>
        <w:pStyle w:val="ListBullet"/>
        <w:spacing w:after="40" w:line="276" w:lineRule="auto"/>
      </w:pPr>
      <w:r>
        <w:rPr>
          <w:rFonts w:ascii="Liberation Serif" w:hAnsi="Liberation Serif" w:eastAsia="Liberation Serif"/>
          <w:color w:val="1E1E1E"/>
          <w:sz w:val="22"/>
        </w:rPr>
        <w:t>Risk controls and policy constraints are first-class: regulated and high-capex items can be excluded mechanically at the gate.</w:t>
      </w:r>
    </w:p>
    <w:p>
      <w:pPr>
        <w:pStyle w:val="ListBullet"/>
        <w:spacing w:after="40" w:line="276" w:lineRule="auto"/>
      </w:pPr>
      <w:r>
        <w:rPr>
          <w:rFonts w:ascii="Liberation Serif" w:hAnsi="Liberation Serif" w:eastAsia="Liberation Serif"/>
          <w:color w:val="1E1E1E"/>
          <w:sz w:val="22"/>
        </w:rPr>
        <w:t>Decision-grade outputs: promotion queues, dossiers, and standardized reporting suitable for national strategy review.</w:t>
      </w:r>
    </w:p>
    <w:p>
      <w:pPr>
        <w:spacing w:before="200" w:after="120"/>
      </w:pPr>
      <w:r>
        <w:rPr>
          <w:rFonts w:ascii="Liberation Serif" w:hAnsi="Liberation Serif" w:eastAsia="Liberation Serif"/>
          <w:b/>
          <w:color w:val="142036"/>
          <w:sz w:val="28"/>
        </w:rPr>
        <w:t>Primary audiences and use cases</w:t>
      </w:r>
    </w:p>
    <w:p>
      <w:pPr>
        <w:pStyle w:val="ListBullet"/>
        <w:spacing w:after="40" w:line="276" w:lineRule="auto"/>
      </w:pPr>
      <w:r>
        <w:rPr>
          <w:rFonts w:ascii="Liberation Serif" w:hAnsi="Liberation Serif" w:eastAsia="Liberation Serif"/>
          <w:color w:val="1E1E1E"/>
          <w:sz w:val="22"/>
        </w:rPr>
        <w:t>National innovation agencies: portfolio generation and evidence-gated downselection for pilots.</w:t>
      </w:r>
    </w:p>
    <w:p>
      <w:pPr>
        <w:pStyle w:val="ListBullet"/>
        <w:spacing w:after="40" w:line="276" w:lineRule="auto"/>
      </w:pPr>
      <w:r>
        <w:rPr>
          <w:rFonts w:ascii="Liberation Serif" w:hAnsi="Liberation Serif" w:eastAsia="Liberation Serif"/>
          <w:color w:val="1E1E1E"/>
          <w:sz w:val="22"/>
        </w:rPr>
        <w:t>Sovereign technology leadership: strategic option mapping across domains, with causal atlas bridge discovery.</w:t>
      </w:r>
    </w:p>
    <w:p>
      <w:pPr>
        <w:pStyle w:val="ListBullet"/>
        <w:spacing w:after="40" w:line="276" w:lineRule="auto"/>
      </w:pPr>
      <w:r>
        <w:rPr>
          <w:rFonts w:ascii="Liberation Serif" w:hAnsi="Liberation Serif" w:eastAsia="Liberation Serif"/>
          <w:color w:val="1E1E1E"/>
          <w:sz w:val="22"/>
        </w:rPr>
        <w:t>Industrial R&amp;D leaders: capital-efficient experiment selection, microbench suites, and reproducible discovery.</w:t>
      </w:r>
    </w:p>
    <w:p>
      <w:pPr>
        <w:spacing w:before="240" w:after="200"/>
      </w:pPr>
      <w:r>
        <w:rPr>
          <w:rFonts w:ascii="Liberation Serif" w:hAnsi="Liberation Serif" w:eastAsia="Liberation Serif"/>
          <w:b/>
          <w:color w:val="142036"/>
          <w:sz w:val="40"/>
        </w:rPr>
        <w:t>Operational outputs</w:t>
      </w:r>
    </w:p>
    <w:p>
      <w:pPr>
        <w:spacing w:after="160" w:line="288" w:lineRule="auto"/>
      </w:pPr>
      <w:r>
        <w:rPr>
          <w:rFonts w:ascii="Liberation Serif" w:hAnsi="Liberation Serif" w:eastAsia="Liberation Serif"/>
          <w:color w:val="1E1E1E"/>
          <w:sz w:val="22"/>
        </w:rPr>
        <w:t>Each cycle produces a complete, downloadable audit bundle. Two artifacts are sufficient to continue RSI without ambiguity:</w:t>
      </w:r>
    </w:p>
    <w:p>
      <w:pPr>
        <w:pStyle w:val="ListBullet"/>
        <w:spacing w:after="40" w:line="276" w:lineRule="auto"/>
      </w:pPr>
      <w:r>
        <w:rPr>
          <w:rFonts w:ascii="Liberation Serif" w:hAnsi="Liberation Serif" w:eastAsia="Liberation Serif"/>
          <w:color w:val="1E1E1E"/>
          <w:sz w:val="22"/>
        </w:rPr>
        <w:t>run_outputs.zip: all per-stage artifacts, manifests, evidence objects, ECI ledger events, baseline comparisons, and (when triggered) breakthrough dossiers.</w:t>
      </w:r>
    </w:p>
    <w:p>
      <w:pPr>
        <w:pStyle w:val="ListBullet"/>
        <w:spacing w:after="40" w:line="276" w:lineRule="auto"/>
      </w:pPr>
      <w:r>
        <w:rPr>
          <w:rFonts w:ascii="Liberation Serif" w:hAnsi="Liberation Serif" w:eastAsia="Liberation Serif"/>
          <w:color w:val="1E1E1E"/>
          <w:sz w:val="22"/>
        </w:rPr>
        <w:t>state_for_next_run.json: a single state bundle carrying cycle_index, archive, candidates, causal atlas stores, and stability invariants for the next run.</w:t>
      </w:r>
    </w:p>
    <w:p>
      <w:pPr>
        <w:spacing w:after="160" w:line="288" w:lineRule="auto"/>
      </w:pPr>
      <w:r>
        <w:rPr>
          <w:rFonts w:ascii="Liberation Serif" w:hAnsi="Liberation Serif" w:eastAsia="Liberation Serif"/>
          <w:color w:val="1E1E1E"/>
          <w:sz w:val="22"/>
        </w:rPr>
        <w:t>This design makes the system 'underwritable': an evaluator can reproduce results, verify hashes, inspect evidence, and audit decision gates without privileged access to model internals.</w:t>
      </w:r>
    </w:p>
    <w:p>
      <w:pPr>
        <w:spacing w:before="240" w:after="200"/>
      </w:pPr>
      <w:r>
        <w:rPr>
          <w:rFonts w:ascii="Liberation Serif" w:hAnsi="Liberation Serif" w:eastAsia="Liberation Serif"/>
          <w:b/>
          <w:color w:val="142036"/>
          <w:sz w:val="40"/>
        </w:rPr>
        <w:t>Glossary (selected)</w:t>
      </w:r>
    </w:p>
    <w:p>
      <w:pPr>
        <w:spacing w:after="60"/>
      </w:pPr>
      <w:r>
        <w:rPr>
          <w:rFonts w:ascii="Liberation Sans" w:hAnsi="Liberation Sans" w:eastAsia="Liberation Sans"/>
          <w:b/>
          <w:color w:val="142036"/>
          <w:sz w:val="21"/>
        </w:rPr>
        <w:t xml:space="preserve">QD / MAP-Elites: </w:t>
      </w:r>
      <w:r>
        <w:rPr>
          <w:rFonts w:ascii="Liberation Serif" w:hAnsi="Liberation Serif" w:eastAsia="Liberation Serif"/>
          <w:color w:val="1E1E1E"/>
          <w:sz w:val="21"/>
        </w:rPr>
        <w:t>Quality-Diversity search: maintain a map of high-performing solutions across a descriptor space rather than optimizing a single objective.</w:t>
      </w:r>
    </w:p>
    <w:p>
      <w:pPr>
        <w:spacing w:after="60"/>
      </w:pPr>
      <w:r>
        <w:rPr>
          <w:rFonts w:ascii="Liberation Sans" w:hAnsi="Liberation Sans" w:eastAsia="Liberation Sans"/>
          <w:b/>
          <w:color w:val="142036"/>
          <w:sz w:val="21"/>
        </w:rPr>
        <w:t xml:space="preserve">Novelty distance: </w:t>
      </w:r>
      <w:r>
        <w:rPr>
          <w:rFonts w:ascii="Liberation Serif" w:hAnsi="Liberation Serif" w:eastAsia="Liberation Serif"/>
          <w:color w:val="1E1E1E"/>
          <w:sz w:val="21"/>
        </w:rPr>
        <w:t>Deterministic measure of how far a candidate is from the nearest existing solution, in [0,1].</w:t>
      </w:r>
    </w:p>
    <w:p>
      <w:pPr>
        <w:spacing w:after="60"/>
      </w:pPr>
      <w:r>
        <w:rPr>
          <w:rFonts w:ascii="Liberation Sans" w:hAnsi="Liberation Sans" w:eastAsia="Liberation Sans"/>
          <w:b/>
          <w:color w:val="142036"/>
          <w:sz w:val="21"/>
        </w:rPr>
        <w:t xml:space="preserve">OMNI Interestingness (P63): </w:t>
      </w:r>
      <w:r>
        <w:rPr>
          <w:rFonts w:ascii="Liberation Serif" w:hAnsi="Liberation Serif" w:eastAsia="Liberation Serif"/>
          <w:color w:val="1E1E1E"/>
          <w:sz w:val="21"/>
        </w:rPr>
        <w:t>LLM-generated structured decision kernel that outputs scores, action routing, and an uncertainty focus with expected_info_gain estimates.</w:t>
      </w:r>
    </w:p>
    <w:p>
      <w:pPr>
        <w:spacing w:after="60"/>
      </w:pPr>
      <w:r>
        <w:rPr>
          <w:rFonts w:ascii="Liberation Sans" w:hAnsi="Liberation Sans" w:eastAsia="Liberation Sans"/>
          <w:b/>
          <w:color w:val="142036"/>
          <w:sz w:val="21"/>
        </w:rPr>
        <w:t xml:space="preserve">EIG scheduling: </w:t>
      </w:r>
      <w:r>
        <w:rPr>
          <w:rFonts w:ascii="Liberation Serif" w:hAnsi="Liberation Serif" w:eastAsia="Liberation Serif"/>
          <w:color w:val="1E1E1E"/>
          <w:sz w:val="21"/>
        </w:rPr>
        <w:t>Deterministic approximation of Expected Information Gain used to allocate probe budgets to the most informative low-cost tests.</w:t>
      </w:r>
    </w:p>
    <w:p>
      <w:pPr>
        <w:spacing w:after="60"/>
      </w:pPr>
      <w:r>
        <w:rPr>
          <w:rFonts w:ascii="Liberation Sans" w:hAnsi="Liberation Sans" w:eastAsia="Liberation Sans"/>
          <w:b/>
          <w:color w:val="142036"/>
          <w:sz w:val="21"/>
        </w:rPr>
        <w:t xml:space="preserve">ECI: </w:t>
      </w:r>
      <w:r>
        <w:rPr>
          <w:rFonts w:ascii="Liberation Serif" w:hAnsi="Liberation Serif" w:eastAsia="Liberation Serif"/>
          <w:color w:val="1E1E1E"/>
          <w:sz w:val="21"/>
        </w:rPr>
        <w:t>Evidence Contact Index: 0-1 credibility score updated only through evidence events (executed evidence moves it more than simulated; simulated is capped).</w:t>
      </w:r>
    </w:p>
    <w:p>
      <w:pPr>
        <w:spacing w:after="60"/>
      </w:pPr>
      <w:r>
        <w:rPr>
          <w:rFonts w:ascii="Liberation Sans" w:hAnsi="Liberation Sans" w:eastAsia="Liberation Sans"/>
          <w:b/>
          <w:color w:val="142036"/>
          <w:sz w:val="21"/>
        </w:rPr>
        <w:t xml:space="preserve">Baseline comparison: </w:t>
      </w:r>
      <w:r>
        <w:rPr>
          <w:rFonts w:ascii="Liberation Serif" w:hAnsi="Liberation Serif" w:eastAsia="Liberation Serif"/>
          <w:color w:val="1E1E1E"/>
          <w:sz w:val="21"/>
        </w:rPr>
        <w:t>Mechanical advantage computation vs the incumbent elite in a cell (or nearest neighbor) required to justify INSERT/REPLACE/ESCALATE.</w:t>
      </w:r>
    </w:p>
    <w:p>
      <w:pPr>
        <w:spacing w:after="60"/>
      </w:pPr>
      <w:r>
        <w:rPr>
          <w:rFonts w:ascii="Liberation Sans" w:hAnsi="Liberation Sans" w:eastAsia="Liberation Sans"/>
          <w:b/>
          <w:color w:val="142036"/>
          <w:sz w:val="21"/>
        </w:rPr>
        <w:t xml:space="preserve">Move-37 Breakthrough Protocol: </w:t>
      </w:r>
      <w:r>
        <w:rPr>
          <w:rFonts w:ascii="Liberation Serif" w:hAnsi="Liberation Serif" w:eastAsia="Liberation Serif"/>
          <w:color w:val="1E1E1E"/>
          <w:sz w:val="21"/>
        </w:rPr>
        <w:t>Automatic escalation path activated by high novelty + high advantage + persistence under stress, producing a decision-grade dossier bundle.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erif" w:hAnsi="Liberation Serif" w:eastAsia="Liberation Serif"/>
        <w:color w:val="5A5A5A"/>
        <w:sz w:val="18"/>
      </w:rPr>
      <w:t xml:space="preserve">CONFIDENTIAL - For authorized recipients | </w:t>
    </w:r>
    <w:r>
      <w:rPr>
        <w:rFonts w:ascii="Liberation Serif" w:hAnsi="Liberation Serif" w:eastAsia="Liberation Serif"/>
        <w:color w:val="5A5A5A"/>
        <w:sz w:val="18"/>
      </w:rPr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jc w:val="left"/>
    </w:pPr>
    <w:r>
      <w:rPr>
        <w:rFonts w:ascii="Liberation Serif" w:hAnsi="Liberation Serif" w:eastAsia="Liberation Serif"/>
        <w:color w:val="5A5A5A"/>
        <w:sz w:val="18"/>
      </w:rPr>
      <w:t>AGI Alpha RSI - Executive Summary</w:t>
    </w:r>
    <w:r>
      <w:rPr>
        <w:rFonts w:ascii="Liberation Serif" w:hAnsi="Liberation Serif" w:eastAsia="Liberation Serif"/>
        <w:color w:val="5A5A5A"/>
        <w:sz w:val="18"/>
      </w:rPr>
      <w:tab/>
      <w:t>Press + Sovereign Strategy Briefing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Liberation Serif" w:hAnsi="Liberation Serif" w:eastAsia="Liberation Seri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