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11"/>
            <w:shd w:fill="0F1F3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PRESS + SOVEREIGN TECHNOLOGY STRATEGY  |  HIGH-TRUST TECHNICAL BINDER</w:t>
            </w:r>
          </w:p>
        </w:tc>
      </w:tr>
    </w:tbl>
    <w:p/>
    <w:p>
      <w:pPr>
        <w:pStyle w:val="Title"/>
        <w:jc w:val="center"/>
      </w:pPr>
      <w:r>
        <w:t>AGI Alpha RSI</w:t>
      </w:r>
    </w:p>
    <w:p>
      <w:pPr>
        <w:pStyle w:val="Subtitle"/>
        <w:jc w:val="center"/>
      </w:pPr>
      <w:r>
        <w:t>Move-37 Breakthrough Dossier (Protocol Binder Template)</w:t>
      </w:r>
    </w:p>
    <w:p>
      <w:pPr>
        <w:spacing w:after="360"/>
        <w:jc w:val="center"/>
      </w:pPr>
      <w:r>
        <w:rPr>
          <w:sz w:val="22"/>
        </w:rPr>
        <w:t>A decision-grade binder to recognize, reproduce, stress-test, and brief breakthrough innovations with deterministic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c>
          <w:tcPr>
            <w:tcW w:type="dxa" w:w="4706"/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Document status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FINAL TEMPLATE (institutional, press + sovereign)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Prepared for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Global technology press; sovereign technology leadership; national innovation agencies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System baseline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Runner + Prompt Pack: rr_omni_v7 (Move-37 breakthrough protocol + EIG-scheduled probing)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Confidentiality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Controlled distribution; remove operational deployment details for public release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Document owner</w:t>
            </w:r>
          </w:p>
        </w:tc>
        <w:tc>
          <w:tcPr>
            <w:tcW w:type="dxa" w:w="4706"/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[FILL: organization / program office]</w:t>
            </w:r>
          </w:p>
        </w:tc>
      </w:tr>
    </w:tbl>
    <w:p/>
    <w:p>
      <w:pPr>
        <w:pStyle w:val="CaptionSmall"/>
        <w:jc w:val="center"/>
      </w:pPr>
      <w:r>
        <w:t>Release date: 2026-01-23 (UTC)</w:t>
      </w:r>
    </w:p>
    <w:p>
      <w:r>
        <w:br w:type="page"/>
      </w:r>
    </w:p>
    <w:p>
      <w:pPr>
        <w:pStyle w:val="Heading1"/>
      </w:pPr>
      <w:r>
        <w:t>1. Purpose and scope</w:t>
      </w:r>
    </w:p>
    <w:p>
      <w:pPr/>
      <w:r>
        <w:t>This binder is the standardized, decision-grade packaging for a Move-37-class breakthrough detected by AGI Alpha RSI. It is designed to be:</w:t>
      </w:r>
    </w:p>
    <w:p>
      <w:pPr>
        <w:pStyle w:val="ListBullet"/>
      </w:pPr>
      <w:r>
        <w:rPr>
          <w:rFonts w:ascii="Calibri" w:hAnsi="Calibri"/>
          <w:sz w:val="22"/>
        </w:rPr>
        <w:t>Auditable: every claim is backed by evidence objects, hashes, and deterministic manifests.</w:t>
      </w:r>
    </w:p>
    <w:p>
      <w:pPr>
        <w:pStyle w:val="ListBullet"/>
      </w:pPr>
      <w:r>
        <w:rPr>
          <w:rFonts w:ascii="Calibri" w:hAnsi="Calibri"/>
          <w:sz w:val="22"/>
        </w:rPr>
        <w:t>Reproducible: reruns with the same state + seed recreate the result bit-for-bit (or flag nondeterminism).</w:t>
      </w:r>
    </w:p>
    <w:p>
      <w:pPr>
        <w:pStyle w:val="ListBullet"/>
      </w:pPr>
      <w:r>
        <w:rPr>
          <w:rFonts w:ascii="Calibri" w:hAnsi="Calibri"/>
          <w:sz w:val="22"/>
        </w:rPr>
        <w:t>Actionable: includes clear go/no-go gates, baseline comparisons, and next-step options.</w:t>
      </w:r>
    </w:p>
    <w:p>
      <w:pPr>
        <w:pStyle w:val="ListBullet"/>
      </w:pPr>
      <w:r>
        <w:rPr>
          <w:rFonts w:ascii="Calibri" w:hAnsi="Calibri"/>
          <w:sz w:val="22"/>
        </w:rPr>
        <w:t>Sovereign-ready: structured for high-trust governance, escalation, and strategic accountability.</w:t>
      </w:r>
    </w:p>
    <w:p>
      <w:pPr/>
      <w:r>
        <w:t>Use this template whenever the Breakthrough Protocol triggers (see Section 3). For non-breakthrough candidates, use the standard cycle dossier outputs.</w:t>
      </w:r>
    </w:p>
    <w:p>
      <w:pPr>
        <w:pStyle w:val="Heading1"/>
      </w:pPr>
      <w:r>
        <w:t>2. How to use this binder</w:t>
      </w:r>
    </w:p>
    <w:p>
      <w:pPr/>
      <w:r>
        <w:t>Attach the dossier bundle emitted by the runner (rr_omni_v7): the /dossier folder plus the referenced artifacts in run_outputs.zip. Then complete each section below. Sections marked 'MANDATORY' are required for any external briefing.</w:t>
      </w:r>
    </w:p>
    <w:p>
      <w:pPr>
        <w:pStyle w:val="ListNumber"/>
      </w:pPr>
      <w:r>
        <w:rPr>
          <w:rFonts w:ascii="Calibri" w:hAnsi="Calibri"/>
          <w:sz w:val="22"/>
        </w:rPr>
        <w:t>Fill Section 4 (Identity &amp; provenance) directly from run_manifest.json and candidate card JSON.</w:t>
      </w:r>
    </w:p>
    <w:p>
      <w:pPr>
        <w:pStyle w:val="ListNumber"/>
      </w:pPr>
      <w:r>
        <w:rPr>
          <w:rFonts w:ascii="Calibri" w:hAnsi="Calibri"/>
          <w:sz w:val="22"/>
        </w:rPr>
        <w:t>Verify Section 5 (Deterministic novelty distance) using candidates/novelty_distance.jsonl.</w:t>
      </w:r>
    </w:p>
    <w:p>
      <w:pPr>
        <w:pStyle w:val="ListNumber"/>
      </w:pPr>
      <w:r>
        <w:rPr>
          <w:rFonts w:ascii="Calibri" w:hAnsi="Calibri"/>
          <w:sz w:val="22"/>
        </w:rPr>
        <w:t>Verify Section 6 (Baseline advantage) using eval/baseline_comparison.jsonl and eval/eval_results.jsonl.</w:t>
      </w:r>
    </w:p>
    <w:p>
      <w:pPr>
        <w:pStyle w:val="ListNumber"/>
      </w:pPr>
      <w:r>
        <w:rPr>
          <w:rFonts w:ascii="Calibri" w:hAnsi="Calibri"/>
          <w:sz w:val="22"/>
        </w:rPr>
        <w:t>Execute/confirm Section 7 (Advantage persistence) including policy shocks and multi-seed replay results.</w:t>
      </w:r>
    </w:p>
    <w:p>
      <w:pPr>
        <w:pStyle w:val="ListNumber"/>
      </w:pPr>
      <w:r>
        <w:rPr>
          <w:rFonts w:ascii="Calibri" w:hAnsi="Calibri"/>
          <w:sz w:val="22"/>
        </w:rPr>
        <w:t>Complete Section 8 (Stress tests) and Section 9 (Risk &amp; side-effects).</w:t>
      </w:r>
    </w:p>
    <w:p>
      <w:pPr>
        <w:pStyle w:val="ListNumber"/>
      </w:pPr>
      <w:r>
        <w:rPr>
          <w:rFonts w:ascii="Calibri" w:hAnsi="Calibri"/>
          <w:sz w:val="22"/>
        </w:rPr>
        <w:t>Finalize Section 10 (Decision recommendation) and produce a distribution-ready executive brief.</w:t>
      </w:r>
    </w:p>
    <w:p>
      <w:r>
        <w:br w:type="page"/>
      </w:r>
    </w:p>
    <w:p>
      <w:pPr>
        <w:pStyle w:val="Heading1"/>
      </w:pPr>
      <w:r>
        <w:t>3. Breakthrough trigger definition (Move-37 Protocol)</w:t>
      </w:r>
    </w:p>
    <w:p>
      <w:pPr/>
      <w:r>
        <w:t>The Breakthrough Protocol triggers when a candidate demonstrates both (i) high novelty distance and (ii) objective advantage versus a valid baseline, with sufficient credibility and risk controls. The default rr_omni_v7 trigger thresholds 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Novelty distance (min)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&gt;= 0.9  (see Section 5)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Advantage delta vs baseline (min)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&gt;= 0.15 on metric grade.overall_score  (see Section 6)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Risk (max)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&lt;= constraints.max_risk_score (configured); hard gate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Confidence (min)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&gt;= 0.55 (from grading / judge audit)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ECI (min)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&gt;= 0.55 (evidence-backed credibility)</w:t>
            </w:r>
          </w:p>
        </w:tc>
      </w:tr>
    </w:tbl>
    <w:p>
      <w:pPr/>
      <w:r>
        <w:t>In addition, if novelty_distance &gt;= 0.8, the protocol requires a mandatory unknown to be resolved: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Mandatory unknown id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ADVANTAGE_PERSISTENCE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Applies when novelty_distance &gt;=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0.8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Intent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Ensure the advantage persists under shocks and replays; prevent one-off artifacts.</w:t>
            </w:r>
          </w:p>
        </w:tc>
      </w:tr>
    </w:tbl>
    <w:p>
      <w:pPr>
        <w:pStyle w:val="Heading2"/>
      </w:pPr>
      <w:r>
        <w:t>3.1 Breakthrough protocol checklist (MANDATORY)</w:t>
      </w:r>
    </w:p>
    <w:p>
      <w:pPr>
        <w:pStyle w:val="ListBullet"/>
      </w:pPr>
      <w:r>
        <w:t>[ ] Novelty distance computed deterministically and recorded.</w:t>
      </w:r>
    </w:p>
    <w:p>
      <w:pPr>
        <w:pStyle w:val="ListBullet"/>
      </w:pPr>
      <w:r>
        <w:t>[ ] Baseline selected according to policy (incumbent in cell else nearest neighbor).</w:t>
      </w:r>
    </w:p>
    <w:p>
      <w:pPr>
        <w:pStyle w:val="ListBullet"/>
      </w:pPr>
      <w:r>
        <w:t>[ ] Advantage delta meets breakthrough threshold on the configured metric.</w:t>
      </w:r>
    </w:p>
    <w:p>
      <w:pPr>
        <w:pStyle w:val="ListBullet"/>
      </w:pPr>
      <w:r>
        <w:t>[ ] At least one executed (deterministic) evidence object supports the advantage claim.</w:t>
      </w:r>
    </w:p>
    <w:p>
      <w:pPr>
        <w:pStyle w:val="ListBullet"/>
      </w:pPr>
      <w:r>
        <w:t>[ ] ADVANTAGE_PERSISTENCE unknown evaluated via shocks/replays (Section 7).</w:t>
      </w:r>
    </w:p>
    <w:p>
      <w:pPr>
        <w:pStyle w:val="ListBullet"/>
      </w:pPr>
      <w:r>
        <w:t>[ ] Full dossier bundle assembled with artifact index and hashes.</w:t>
      </w:r>
    </w:p>
    <w:p>
      <w:r>
        <w:br w:type="page"/>
      </w:r>
    </w:p>
    <w:p>
      <w:pPr>
        <w:pStyle w:val="Heading1"/>
      </w:pPr>
      <w:r>
        <w:t>4. Breakthrough identity and provenance (MANDATORY)</w:t>
      </w:r>
    </w:p>
    <w:p>
      <w:pPr/>
      <w:r>
        <w:t>Populate this section directly from run_manifest.json, candidate card JSON, and archive metadata.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123"/>
      </w:tblGrid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Breakthrough name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short codename]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Candidate_id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candidate_id]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Descriptor cell_key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cell_key]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Run_id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run_id]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Cycle_index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cycle_index]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Lane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LHF or PIONEER]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Focus domain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focus_domain]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Date/time (UTC)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timestamp]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Evidence level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EXECUTED / SIMULATED / MIXED]</w:t>
            </w:r>
          </w:p>
        </w:tc>
      </w:tr>
    </w:tbl>
    <w:p>
      <w:pPr>
        <w:pStyle w:val="Heading2"/>
      </w:pPr>
      <w:r>
        <w:t>4.1 One-paragraph statement</w:t>
      </w:r>
    </w:p>
    <w:p>
      <w:pPr/>
      <w:r>
        <w:t>[FILL: In one paragraph, state what was discovered, why it matters, and the measurable advantage observed. Avoid speculation; cite evidence object ids.]</w:t>
      </w:r>
    </w:p>
    <w:p>
      <w:pPr>
        <w:pStyle w:val="Heading2"/>
      </w:pPr>
      <w:r>
        <w:t>4.2 Provenance and determinism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123"/>
      </w:tblGrid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Runner version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rr_omni_v7 (or later)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Random seed policy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seeds used; include multi-seed replay seeds]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Inputs digest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sha256 inputs digest from run_manifest]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Output hash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sha256 of candidate card and key artifacts]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Nondeterminism flags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true/false; if true, describe source and mitigation]</w:t>
            </w:r>
          </w:p>
        </w:tc>
      </w:tr>
    </w:tbl>
    <w:p>
      <w:r>
        <w:br w:type="page"/>
      </w:r>
    </w:p>
    <w:p>
      <w:pPr>
        <w:pStyle w:val="Heading1"/>
      </w:pPr>
      <w:r>
        <w:t>5. Deterministic novelty distance (MANDATORY)</w:t>
      </w:r>
    </w:p>
    <w:p>
      <w:pPr/>
      <w:r>
        <w:t>Novelty distance is computed deterministically as 1 - max_similarity to the nearest neighbor in the archive/atlas neighbor pool. It is used to (i) maintain systematic pressure toward non-human novelty and (ii) trigger the Breakthrough Protocol.</w:t>
      </w:r>
    </w:p>
    <w:p>
      <w:pPr>
        <w:pStyle w:val="Heading2"/>
      </w:pPr>
      <w:r>
        <w:t>5.1 Computation spec (rr_omni_v7 default)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Spec id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novelty_distance.v1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Composite similarity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composite_sim = 0.40*descriptor_sim + 0.30*triple_sim + 0.30*text_sim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Novelty distance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novelty_distance = clamp(1 - max(composite_sim), 0, 1)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High novelty threshold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0.8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Breakthrough candidate threshold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0.9</w:t>
            </w:r>
          </w:p>
        </w:tc>
      </w:tr>
    </w:tbl>
    <w:p>
      <w:pPr>
        <w:pStyle w:val="Heading2"/>
      </w:pPr>
      <w:r>
        <w:t>5.2 Neighbor pool and similarity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Neighbor pool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frontier_cells=True; recent_candidates=True; max_neighbors=50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descriptor_sim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weight=0.4; Axis-wise match ratio over descriptor_cell axes (including optional axes when present).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triple_sim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weight=0.3; Jaccard similarity over normalized causal triples (subject|predicate|object) when available; else 0.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8"/>
              </w:rPr>
              <w:t>text_sim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weight=0.3; Jaccard similarity over token sets from title+thesis+wedge when available.</w:t>
            </w:r>
          </w:p>
        </w:tc>
      </w:tr>
    </w:tbl>
    <w:p>
      <w:pPr>
        <w:pStyle w:val="Heading2"/>
      </w:pPr>
      <w:r>
        <w:t>5.3 Recorded novelty distance (fill from candidates/novelty_distance.jsonl)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Novelty distance (computed)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novelty_distance in [0,1]]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Nearest neighbor id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neighbor_candidate_id or cell incumbent id]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Max composite similarity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max_similarity]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Similarity breakdown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descriptor_sim / triple_sim / text_sim values]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Interpretation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what makes this non-human / structurally novel? Keep factual.]</w:t>
            </w:r>
          </w:p>
        </w:tc>
      </w:tr>
    </w:tbl>
    <w:p>
      <w:r>
        <w:br w:type="page"/>
      </w:r>
    </w:p>
    <w:p>
      <w:pPr>
        <w:pStyle w:val="Heading1"/>
      </w:pPr>
      <w:r>
        <w:t>6. Baseline advantage and objective confirmation (MANDATORY)</w:t>
      </w:r>
    </w:p>
    <w:p>
      <w:pPr/>
      <w:r>
        <w:t>A Move-37-class claim requires an objective advantage versus a defined baseline, measured on a deterministic metric. Baselines are selected mechanically to avoid narrative bias.</w:t>
      </w:r>
    </w:p>
    <w:p>
      <w:pPr>
        <w:pStyle w:val="Heading2"/>
      </w:pPr>
      <w:r>
        <w:t>6.1 Baseline selection policy (rr_omni_v7 default)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896"/>
      </w:tblGrid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Enabled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True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Baseline selector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incumbent_elite_in_cell_else_nearest_neighbor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Fallback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nearest_neighbor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Advantage metric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grade.overall_score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Replace threshold (delta)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0.05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Breakthrough threshold (delta)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0.15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Decisions requiring baseline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INSERT, REPLACE, ESCALATE</w:t>
            </w:r>
          </w:p>
        </w:tc>
      </w:tr>
    </w:tbl>
    <w:p>
      <w:pPr>
        <w:pStyle w:val="Heading2"/>
      </w:pPr>
      <w:r>
        <w:t>6.2 Baseline comparison summary (fill from eval/baseline_comparison.jsonl)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268"/>
        <w:gridCol w:w="1474"/>
        <w:gridCol w:w="1474"/>
        <w:gridCol w:w="1247"/>
        <w:gridCol w:w="1474"/>
      </w:tblGrid>
      <w:tr>
        <w:tc>
          <w:tcPr>
            <w:tcW w:type="dxa" w:w="1569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Baseline id</w:t>
            </w:r>
          </w:p>
        </w:tc>
        <w:tc>
          <w:tcPr>
            <w:tcW w:type="dxa" w:w="1569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Baseline description</w:t>
            </w:r>
          </w:p>
        </w:tc>
        <w:tc>
          <w:tcPr>
            <w:tcW w:type="dxa" w:w="1569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Candidate score</w:t>
            </w:r>
          </w:p>
        </w:tc>
        <w:tc>
          <w:tcPr>
            <w:tcW w:type="dxa" w:w="1569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Baseline score</w:t>
            </w:r>
          </w:p>
        </w:tc>
        <w:tc>
          <w:tcPr>
            <w:tcW w:type="dxa" w:w="1569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Delta</w:t>
            </w:r>
          </w:p>
        </w:tc>
        <w:tc>
          <w:tcPr>
            <w:tcW w:type="dxa" w:w="1569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Confidence</w:t>
            </w:r>
          </w:p>
        </w:tc>
      </w:tr>
      <w:tr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</w:tbl>
    <w:p>
      <w:pPr>
        <w:pStyle w:val="CaptionSmall"/>
      </w:pPr>
      <w:r>
        <w:t>Attach: eval/eval_results.jsonl and any executed microbench artifacts supporting the advantage delta.</w:t>
      </w:r>
    </w:p>
    <w:p>
      <w:r>
        <w:br w:type="page"/>
      </w:r>
    </w:p>
    <w:p>
      <w:pPr>
        <w:pStyle w:val="Heading1"/>
      </w:pPr>
      <w:r>
        <w:t>7. Mandatory unknown: ADVANTAGE_PERSISTENCE (MANDATORY when high novelty)</w:t>
      </w:r>
    </w:p>
    <w:p>
      <w:pPr/>
      <w:r>
        <w:t>If novelty_distance &gt;= 0.8, the system requires explicit validation that the observed advantage persists across policy shocks and replay seeds. This prevents one-off artifacts and supports sovereign-grade underwriting.</w:t>
      </w:r>
    </w:p>
    <w:p>
      <w:pPr>
        <w:pStyle w:val="Heading2"/>
      </w:pPr>
      <w:r>
        <w:t>7.1 Gate definition (rr_omni_v7 default)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896"/>
      </w:tblGrid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grade.overall_score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Min positive delta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0.05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Min pass rate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0.67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Min shocks/replays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Notes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Candidate must maintain positive advantage delta vs baseline across &gt;=min_shocks policy shocks / replays.</w:t>
            </w:r>
          </w:p>
        </w:tc>
      </w:tr>
    </w:tbl>
    <w:p>
      <w:pPr>
        <w:pStyle w:val="Heading2"/>
      </w:pPr>
      <w:r>
        <w:t>7.2 Extra evaluation plan executed (fill from dossier bundle)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5896"/>
      </w:tblGrid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Policy shocks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enabled=True; count=3; seeds=[11, 29, 47]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Multi-seed replay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enabled=True; seeds=[101, 202, 303]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Probe budget multiplier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2.0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Require executed evidence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True</w:t>
            </w:r>
          </w:p>
        </w:tc>
      </w:tr>
    </w:tbl>
    <w:p>
      <w:pPr>
        <w:pStyle w:val="Heading2"/>
      </w:pPr>
      <w:r>
        <w:t>7.3 Advantage persistence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134"/>
        <w:gridCol w:w="1134"/>
        <w:gridCol w:w="1134"/>
        <w:gridCol w:w="1134"/>
        <w:gridCol w:w="1134"/>
        <w:gridCol w:w="1361"/>
      </w:tblGrid>
      <w:tr>
        <w:tc>
          <w:tcPr>
            <w:tcW w:type="dxa" w:w="1345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Shock/replay id</w:t>
            </w:r>
          </w:p>
        </w:tc>
        <w:tc>
          <w:tcPr>
            <w:tcW w:type="dxa" w:w="1345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Seed</w:t>
            </w:r>
          </w:p>
        </w:tc>
        <w:tc>
          <w:tcPr>
            <w:tcW w:type="dxa" w:w="1345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Candidate score</w:t>
            </w:r>
          </w:p>
        </w:tc>
        <w:tc>
          <w:tcPr>
            <w:tcW w:type="dxa" w:w="1345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Baseline score</w:t>
            </w:r>
          </w:p>
        </w:tc>
        <w:tc>
          <w:tcPr>
            <w:tcW w:type="dxa" w:w="1345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Delta</w:t>
            </w:r>
          </w:p>
        </w:tc>
        <w:tc>
          <w:tcPr>
            <w:tcW w:type="dxa" w:w="1345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Pass/Fail</w:t>
            </w:r>
          </w:p>
        </w:tc>
        <w:tc>
          <w:tcPr>
            <w:tcW w:type="dxa" w:w="1345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Evidence object id</w:t>
            </w:r>
          </w:p>
        </w:tc>
      </w:tr>
      <w:tr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345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</w:tbl>
    <w:p>
      <w:pPr/>
      <w:r>
        <w:t>Decision: [FILL: PASS if deltas remain positive across required shocks/replays; else FAIL or INCONCLUSIVE.]</w:t>
      </w:r>
    </w:p>
    <w:p>
      <w:r>
        <w:br w:type="page"/>
      </w:r>
    </w:p>
    <w:p>
      <w:pPr>
        <w:pStyle w:val="Heading1"/>
      </w:pPr>
      <w:r>
        <w:t>8. Stress tests, adversarial probes, and robustness (MANDATORY)</w:t>
      </w:r>
    </w:p>
    <w:p>
      <w:pPr/>
      <w:r>
        <w:t>Stress tests are designed to expose failure modes, brittleness, distribution shift sensitivity, and hidden dependencies. Prefer deterministic probes and policy shocks. Use this section to document outcomes and residual uncertainty.</w:t>
      </w:r>
    </w:p>
    <w:p>
      <w:pPr>
        <w:pStyle w:val="Heading2"/>
      </w:pPr>
      <w:r>
        <w:t>8.1 Policy shock suite (fill from P33 outputs and evidence objects)</w:t>
      </w:r>
    </w:p>
    <w:p>
      <w:pPr/>
      <w:r>
        <w:t>List the shock scenarios applied (e.g., constraint changes, adversarial inputs, resource limits) and their measured effect on advantage.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402"/>
        <w:gridCol w:w="1361"/>
        <w:gridCol w:w="1361"/>
        <w:gridCol w:w="1928"/>
      </w:tblGrid>
      <w:tr>
        <w:tc>
          <w:tcPr>
            <w:tcW w:type="dxa" w:w="1882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Shock id</w:t>
            </w:r>
          </w:p>
        </w:tc>
        <w:tc>
          <w:tcPr>
            <w:tcW w:type="dxa" w:w="1882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description</w:t>
            </w:r>
          </w:p>
        </w:tc>
        <w:tc>
          <w:tcPr>
            <w:tcW w:type="dxa" w:w="1882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Delta vs baseline</w:t>
            </w:r>
          </w:p>
        </w:tc>
        <w:tc>
          <w:tcPr>
            <w:tcW w:type="dxa" w:w="1882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882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Notes / mitigations</w:t>
            </w:r>
          </w:p>
        </w:tc>
      </w:tr>
      <w:tr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882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</w:tbl>
    <w:p>
      <w:pPr>
        <w:pStyle w:val="Heading2"/>
      </w:pPr>
      <w:r>
        <w:t>8.2 Adversarial probe schedule (from probe/probe_schedule.jsonl)</w:t>
      </w:r>
    </w:p>
    <w:p>
      <w:pPr/>
      <w:r>
        <w:t>Attach the executed probe schedule and summarize the highest expected information gain (EIG) probes and outcomes.</w:t>
      </w:r>
    </w:p>
    <w:p>
      <w:pPr/>
      <w:r>
        <w:t>[FILL: Summary of top EIG probes, unknown_ids targeted, and what was learned.]</w:t>
      </w:r>
    </w:p>
    <w:p>
      <w:r>
        <w:br w:type="page"/>
      </w:r>
    </w:p>
    <w:p>
      <w:pPr>
        <w:pStyle w:val="Heading1"/>
      </w:pPr>
      <w:r>
        <w:t>9. Risk, side-effects, and governance (MANDATORY)</w:t>
      </w:r>
    </w:p>
    <w:p>
      <w:pPr/>
      <w:r>
        <w:t>A sovereign-grade dossier must surface second-order effects, externalities, and misuse pathways. Document both mitigations and what remains unknown.</w:t>
      </w:r>
    </w:p>
    <w:p>
      <w:pPr>
        <w:pStyle w:val="Heading2"/>
      </w:pPr>
      <w:r>
        <w:t>9.1 Risk gate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Risk score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numeric risk_score]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Risk gate decision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ALLOW / BLOCK]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Primary risk factors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brief list]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Mitigations in place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controls / constraints / monitoring]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Residual risks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what is not yet mitigated]</w:t>
            </w:r>
          </w:p>
        </w:tc>
      </w:tr>
    </w:tbl>
    <w:p>
      <w:pPr>
        <w:pStyle w:val="Heading2"/>
      </w:pPr>
      <w:r>
        <w:t>9.2 Side-effects and externalities</w:t>
      </w:r>
    </w:p>
    <w:p>
      <w:pPr/>
      <w:r>
        <w:t>[FILL: Document possible negative externalities (economic, security, safety, environmental, geopolitical). Include any trade-offs revealed by stress tests.]</w:t>
      </w:r>
    </w:p>
    <w:p>
      <w:pPr>
        <w:pStyle w:val="Heading2"/>
      </w:pPr>
      <w:r>
        <w:t>9.3 Compliance and dissemination controls</w:t>
      </w:r>
    </w:p>
    <w:p>
      <w:pPr/>
      <w:r>
        <w:t>Classification / handling: [FILL]. Export control considerations: [FILL]. Data residency constraints: [FILL].</w:t>
      </w:r>
    </w:p>
    <w:p>
      <w:r>
        <w:br w:type="page"/>
      </w:r>
    </w:p>
    <w:p>
      <w:pPr>
        <w:pStyle w:val="Heading1"/>
      </w:pPr>
      <w:r>
        <w:t>10. Mechanism and causal atlas extract</w:t>
      </w:r>
    </w:p>
    <w:p>
      <w:pPr/>
      <w:r>
        <w:t>This section provides the mechanistic account (as far as is currently interpretable) and the causal atlas integration artifacts. For Move-37-class outcomes, mechanistic interpretability may be partial; the dossier must still be evidence-first.</w:t>
      </w:r>
    </w:p>
    <w:p>
      <w:pPr>
        <w:pStyle w:val="Heading2"/>
      </w:pPr>
      <w:r>
        <w:t>10.1 Candidate mechanism summary</w:t>
      </w:r>
    </w:p>
    <w:p>
      <w:pPr/>
      <w:r>
        <w:t>[FILL: Explain the mechanism in operational terms (inputs -&gt; transformations -&gt; outputs). If mechanistic understanding is incomplete, explicitly list unknowns and how they are being probed.]</w:t>
      </w:r>
    </w:p>
    <w:p>
      <w:pPr>
        <w:pStyle w:val="Heading2"/>
      </w:pPr>
      <w:r>
        <w:t>10.2 Causal triples and bridge motifs (from atlas/*.jsonl)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2381"/>
        <w:gridCol w:w="2381"/>
      </w:tblGrid>
      <w:tr>
        <w:tc>
          <w:tcPr>
            <w:tcW w:type="dxa" w:w="2353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Subject</w:t>
            </w:r>
          </w:p>
        </w:tc>
        <w:tc>
          <w:tcPr>
            <w:tcW w:type="dxa" w:w="2353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Predicate</w:t>
            </w:r>
          </w:p>
        </w:tc>
        <w:tc>
          <w:tcPr>
            <w:tcW w:type="dxa" w:w="2353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2353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Notes / confidence</w:t>
            </w:r>
          </w:p>
        </w:tc>
      </w:tr>
      <w:tr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2353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</w:tbl>
    <w:p>
      <w:pPr>
        <w:pStyle w:val="Heading2"/>
      </w:pPr>
      <w:r>
        <w:t>10.3 Contradiction and side-effect checks</w:t>
      </w:r>
    </w:p>
    <w:p>
      <w:pPr/>
      <w:r>
        <w:t>[FILL: Summarize any contradictions flagged and how they were resolved. Summarize side-effect checks and their status.]</w:t>
      </w:r>
    </w:p>
    <w:p>
      <w:r>
        <w:br w:type="page"/>
      </w:r>
    </w:p>
    <w:p>
      <w:pPr>
        <w:pStyle w:val="Heading1"/>
      </w:pPr>
      <w:r>
        <w:t>11. Evidence ledger and audit trail (MANDATORY)</w:t>
      </w:r>
    </w:p>
    <w:p>
      <w:pPr/>
      <w:r>
        <w:t>This ledger is the canonical 'currency of proof' record. Populate directly from evidence/evidence_objects.jsonl and eci/eci_ledger.jsonl. Every entry must be traceable to artifacts and hashes.</w:t>
      </w:r>
    </w:p>
    <w:p>
      <w:pPr>
        <w:pStyle w:val="Heading2"/>
      </w:pPr>
      <w:r>
        <w:t>11.1 Evidence objects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247"/>
        <w:gridCol w:w="1814"/>
        <w:gridCol w:w="1134"/>
        <w:gridCol w:w="1247"/>
        <w:gridCol w:w="2721"/>
      </w:tblGrid>
      <w:tr>
        <w:tc>
          <w:tcPr>
            <w:tcW w:type="dxa" w:w="1569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Timestamp</w:t>
            </w:r>
          </w:p>
        </w:tc>
        <w:tc>
          <w:tcPr>
            <w:tcW w:type="dxa" w:w="1569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569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Test id / artifact</w:t>
            </w:r>
          </w:p>
        </w:tc>
        <w:tc>
          <w:tcPr>
            <w:tcW w:type="dxa" w:w="1569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569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ECI delta</w:t>
            </w:r>
          </w:p>
        </w:tc>
        <w:tc>
          <w:tcPr>
            <w:tcW w:type="dxa" w:w="1569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Artifact hash / relpath</w:t>
            </w:r>
          </w:p>
        </w:tc>
      </w:tr>
      <w:tr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  <w:tr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  <w:tc>
          <w:tcPr>
            <w:tcW w:type="dxa" w:w="1569"/>
          </w:tcPr>
          <w:p>
            <w:r>
              <w:rPr>
                <w:rFonts w:ascii="Calibri" w:hAnsi="Calibri"/>
                <w:sz w:val="18"/>
              </w:rPr>
              <w:t>[FILL]</w:t>
            </w:r>
          </w:p>
        </w:tc>
      </w:tr>
    </w:tbl>
    <w:p>
      <w:pPr>
        <w:pStyle w:val="Heading2"/>
      </w:pPr>
      <w:r>
        <w:t>11.2 Deterministic audit trail</w:t>
      </w:r>
    </w:p>
    <w:p>
      <w:pPr/>
      <w:r>
        <w:t>Attach: run_manifest.json, eval/eval_manifest.jsonl, and logs/stage_log.jsonl. Provide the following summary: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009"/>
      </w:tblGrid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Inputs digest (sha256)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Outputs digest (sha256)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Schema registry digest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Replay instructions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exact command / environment spec]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Independent verification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who verified, when, and outcome]</w:t>
            </w:r>
          </w:p>
        </w:tc>
      </w:tr>
    </w:tbl>
    <w:p>
      <w:r>
        <w:br w:type="page"/>
      </w:r>
    </w:p>
    <w:p>
      <w:pPr>
        <w:pStyle w:val="Heading1"/>
      </w:pPr>
      <w:r>
        <w:t>12. Decision recommendation (sovereign briefing)</w:t>
      </w:r>
    </w:p>
    <w:p>
      <w:pPr/>
      <w:r>
        <w:t>This section converts the breakthrough into decision-grade options. Keep the recommendation grounded in measured advantage, risk posture, and evidence maturity.</w:t>
      </w:r>
    </w:p>
    <w:p>
      <w:pPr>
        <w:pStyle w:val="Heading2"/>
      </w:pPr>
      <w:r>
        <w:t>12.1 Recommended disposition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123"/>
      </w:tblGrid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Disposition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INSERT / REPLACE / ESCALATE / PROMOTE / HOLD]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Rationale (evidence-backed)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cite evidence object ids and key metrics]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Required next actions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pilots, additional probes, governance review, procurement]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Budget / resources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[FILL: estimate and time horizon]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Decision owner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[FILL]</w:t>
            </w:r>
          </w:p>
        </w:tc>
      </w:tr>
      <w:tr>
        <w:tc>
          <w:tcPr>
            <w:tcW w:type="dxa" w:w="4706"/>
            <w:shd w:fill="F2F4F7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0"/>
              </w:rPr>
              <w:t>Decision date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>
              <w:rPr>
                <w:rFonts w:ascii="Calibri" w:hAnsi="Calibri"/>
                <w:sz w:val="20"/>
              </w:rPr>
              <w:t>[FILL]</w:t>
            </w:r>
          </w:p>
        </w:tc>
      </w:tr>
    </w:tbl>
    <w:p>
      <w:pPr>
        <w:pStyle w:val="Heading2"/>
      </w:pPr>
      <w:r>
        <w:t>12.2 Strategic option value</w:t>
      </w:r>
    </w:p>
    <w:p>
      <w:pPr/>
      <w:r>
        <w:t>[FILL: Describe national / sovereign relevance, second-order impacts, and bridge option value in concrete terms. Avoid hype; focus on scenario-based advantage.]</w:t>
      </w:r>
    </w:p>
    <w:p>
      <w:pPr>
        <w:pStyle w:val="Heading2"/>
      </w:pPr>
      <w:r>
        <w:t>12.3 External communications posture (press)</w:t>
      </w:r>
    </w:p>
    <w:p>
      <w:pPr/>
      <w:r>
        <w:t>[FILL: If release is planned, specify what can be said publicly, what must remain controlled, and what proof artifacts can be shared.]</w:t>
      </w:r>
    </w:p>
    <w:p>
      <w:r>
        <w:br w:type="page"/>
      </w:r>
    </w:p>
    <w:p>
      <w:pPr>
        <w:pStyle w:val="Heading1"/>
      </w:pPr>
      <w:r>
        <w:t>Appendix A. Dossier bundle index (rr_omni_v7 default)</w:t>
      </w:r>
    </w:p>
    <w:p>
      <w:pPr/>
      <w:r>
        <w:t>The runner emits a dossier bundle designed for independent verification. Include the following relpaths (as available):</w:t>
      </w:r>
    </w:p>
    <w:p>
      <w:pPr/>
      <w:r>
        <w:t>- run_manifest.json</w:t>
      </w:r>
    </w:p>
    <w:p>
      <w:pPr/>
      <w:r>
        <w:t>- probe/probe_schedule.jsonl</w:t>
      </w:r>
    </w:p>
    <w:p>
      <w:pPr/>
      <w:r>
        <w:t>- candidates/novelty_distance.jsonl</w:t>
      </w:r>
    </w:p>
    <w:p>
      <w:pPr/>
      <w:r>
        <w:t>- eval/baseline_comparison.jsonl</w:t>
      </w:r>
    </w:p>
    <w:p>
      <w:pPr/>
      <w:r>
        <w:t>- eval/eval_results.jsonl</w:t>
      </w:r>
    </w:p>
    <w:p>
      <w:pPr/>
      <w:r>
        <w:t>- evidence/evidence_objects.jsonl</w:t>
      </w:r>
    </w:p>
    <w:p>
      <w:pPr/>
      <w:r>
        <w:t>- eci/eci_ledger.jsonl</w:t>
      </w:r>
    </w:p>
    <w:p>
      <w:pPr/>
      <w:r>
        <w:t>- reports/helm_like_summary.md</w:t>
      </w:r>
    </w:p>
    <w:p>
      <w:pPr/>
      <w:r>
        <w:t>- eval/eval_manifest.jsonl</w:t>
      </w:r>
    </w:p>
    <w:p>
      <w:pPr/>
      <w:r>
        <w:t>Also include: dossier/index.json (if enabled) and any additional executed test artifacts.</w:t>
      </w:r>
    </w:p>
    <w:p>
      <w:pPr>
        <w:pStyle w:val="Heading1"/>
      </w:pPr>
      <w:r>
        <w:t>Appendix B.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c>
          <w:tcPr>
            <w:tcW w:type="dxa" w:w="4706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706"/>
            <w:shd w:fill="0F1F3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706"/>
            <w:shd w:fill="F2F4F7"/>
          </w:tcPr>
          <w:p>
            <w:r>
              <w:rPr>
                <w:rFonts w:ascii="Calibri" w:hAnsi="Calibri"/>
                <w:b/>
                <w:sz w:val="18"/>
              </w:rPr>
              <w:t>ECI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sz w:val="18"/>
              </w:rPr>
              <w:t>Evidence Contact Index. Credibility in [0,1] updated only via evidence events; simulated evidence is capped.</w:t>
            </w:r>
          </w:p>
        </w:tc>
      </w:tr>
      <w:tr>
        <w:tc>
          <w:tcPr>
            <w:tcW w:type="dxa" w:w="4706"/>
            <w:shd w:fill="F2F4F7"/>
          </w:tcPr>
          <w:p>
            <w:r>
              <w:rPr>
                <w:rFonts w:ascii="Calibri" w:hAnsi="Calibri"/>
                <w:b/>
                <w:sz w:val="18"/>
              </w:rPr>
              <w:t>EIG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sz w:val="18"/>
              </w:rPr>
              <w:t>Expected Information Gain. Deterministic scheduler for selecting PROBE tests that resolve high-value unknowns cheaply.</w:t>
            </w:r>
          </w:p>
        </w:tc>
      </w:tr>
      <w:tr>
        <w:tc>
          <w:tcPr>
            <w:tcW w:type="dxa" w:w="4706"/>
            <w:shd w:fill="F2F4F7"/>
          </w:tcPr>
          <w:p>
            <w:r>
              <w:rPr>
                <w:rFonts w:ascii="Calibri" w:hAnsi="Calibri"/>
                <w:b/>
                <w:sz w:val="18"/>
              </w:rPr>
              <w:t>MAP-Elites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sz w:val="18"/>
              </w:rPr>
              <w:t>Quality-diversity archive algorithm storing the best-known solution per descriptor cell.</w:t>
            </w:r>
          </w:p>
        </w:tc>
      </w:tr>
      <w:tr>
        <w:tc>
          <w:tcPr>
            <w:tcW w:type="dxa" w:w="4706"/>
            <w:shd w:fill="F2F4F7"/>
          </w:tcPr>
          <w:p>
            <w:r>
              <w:rPr>
                <w:rFonts w:ascii="Calibri" w:hAnsi="Calibri"/>
                <w:b/>
                <w:sz w:val="18"/>
              </w:rPr>
              <w:t>Novelty distance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sz w:val="18"/>
              </w:rPr>
              <w:t>Deterministic distance from nearest neighbor in archive/atlas; used to drive non-human exploration.</w:t>
            </w:r>
          </w:p>
        </w:tc>
      </w:tr>
      <w:tr>
        <w:tc>
          <w:tcPr>
            <w:tcW w:type="dxa" w:w="4706"/>
            <w:shd w:fill="F2F4F7"/>
          </w:tcPr>
          <w:p>
            <w:r>
              <w:rPr>
                <w:rFonts w:ascii="Calibri" w:hAnsi="Calibri"/>
                <w:b/>
                <w:sz w:val="18"/>
              </w:rPr>
              <w:t>Move-37</w:t>
            </w:r>
          </w:p>
        </w:tc>
        <w:tc>
          <w:tcPr>
            <w:tcW w:type="dxa" w:w="4706"/>
          </w:tcPr>
          <w:p>
            <w:r>
              <w:rPr>
                <w:rFonts w:ascii="Calibri" w:hAnsi="Calibri"/>
                <w:sz w:val="18"/>
              </w:rPr>
              <w:t>A shorthand for a breakthrough that is both novel and objectively advantageous, even if initially non-intuitive.</w:t>
            </w:r>
          </w:p>
        </w:tc>
      </w:tr>
    </w:tbl>
    <w:p>
      <w:pPr>
        <w:pStyle w:val="CaptionSmall"/>
      </w:pPr>
      <w:r>
        <w:t>End of template.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Small"/>
      <w:jc w:val="center"/>
    </w:pPr>
    <w: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t xml:space="preserve"> of </w:t>
    </w:r>
    <w:r>
      <w:fldChar w:fldCharType="begin"/>
      <w:instrText xml:space="preserve"> NUMPAGES </w:instrText>
      <w:fldChar w:fldCharType="separate"/>
      <w:fldChar w:fldCharType="end"/>
    </w:r>
    <w:r>
      <w:t xml:space="preserve">   |   Document ID: M37-BINDER-TEMPLATE   |   Updated: 2026-01-23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Small"/>
      <w:jc w:val="left"/>
    </w:pPr>
    <w:r>
      <w:t>AGI Alpha RSI  |  Move-37 Breakthrough Dossier Template  |  Controlled Distribution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0F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0F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F1F3A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Georgia" w:hAnsi="Georgia"/>
      <w:i/>
      <w:iCs/>
      <w:color w:val="2B2B2B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pPr>
      <w:spacing w:after="120"/>
    </w:pPr>
    <w:rPr>
      <w:rFonts w:ascii="Calibri" w:hAnsi="Calibr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