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AGI Alpha RSI</w:t>
      </w:r>
    </w:p>
    <w:p>
      <w:pPr>
        <w:pStyle w:val="Subtitle"/>
        <w:jc w:val="center"/>
      </w:pPr>
      <w:r>
        <w:t>A Sovereign Innovation Operating System for Recursive Self-Improvement</w:t>
      </w:r>
    </w:p>
    <w:p>
      <w:pPr>
        <w:spacing w:before="240" w:after="360"/>
        <w:jc w:val="center"/>
      </w:pPr>
      <w:r>
        <w:rPr>
          <w:rFonts w:ascii="Cambria" w:hAnsi="Cambria"/>
          <w:color w:val="666666"/>
          <w:sz w:val="20"/>
        </w:rPr>
        <w:t>PRESS + SOVEREIGN STRATEGY BRIEFING • HIGH-TRUST TECHNICAL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color w:val="1A1A1A"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color w:val="1A1A1A"/>
                <w:sz w:val="20"/>
              </w:rPr>
              <w:t>FINAL (Press-grade, institutional)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color w:val="1A1A1A"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color w:val="1A1A1A"/>
                <w:sz w:val="20"/>
              </w:rPr>
              <w:t>Global technology press; sovereign technology leadership; national innovation agencies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color w:val="1A1A1A"/>
                <w:sz w:val="20"/>
              </w:rPr>
              <w:t>System baseline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color w:val="1A1A1A"/>
                <w:sz w:val="20"/>
              </w:rPr>
              <w:t>Runner + Prompt Pack: rr_omni_v7 (Move-37 breakthrough protocol + EIG-scheduled probing)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color w:val="1A1A1A"/>
                <w:sz w:val="20"/>
              </w:rPr>
              <w:t>Confidentiality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color w:val="1A1A1A"/>
                <w:sz w:val="20"/>
              </w:rPr>
              <w:t>Shareable with attribution; remove internal deployment details for public release</w:t>
            </w:r>
          </w:p>
        </w:tc>
      </w:tr>
    </w:tbl>
    <w:p>
      <w:r/>
    </w:p>
    <w:p>
      <w:pPr>
        <w:pBdr>
          <w:bottom w:val="single" w:sz="8" w:space="1" w:color="C9C9C9"/>
        </w:pBdr>
      </w:pPr>
    </w:p>
    <w:p>
      <w:r/>
    </w:p>
    <w:p>
      <w:pPr>
        <w:pStyle w:val="Heading1"/>
      </w:pPr>
      <w:r>
        <w:t>Executive Summary</w:t>
      </w:r>
    </w:p>
    <w:p>
      <w:pPr>
        <w:spacing w:after="200"/>
      </w:pPr>
      <w:r>
        <w:t>AGI Alpha RSI is a deterministic, auditable “innovation operating system” that uses high-capability LLMs as modular components-within strict schemas and replayable runners-to discover, test, and compound new strategies and innovations. It is engineered to produce non-obvious, high-leverage novelty while maintaining institutional standards of evidence, reproducibility, and governance.</w:t>
      </w:r>
    </w:p>
    <w:p>
      <w:r>
        <w:rPr>
          <w:b/>
        </w:rPr>
        <w:t>What makes it different (in one page):</w:t>
      </w:r>
    </w:p>
    <w:p>
      <w:pPr>
        <w:pStyle w:val="ListBullet"/>
      </w:pPr>
      <w:r>
        <w:t>Open-ended, Quality-Diversity search (MAP-Elites-style archive) that accumulates a portfolio of distinct innovations-rather than optimizing a single objective.</w:t>
      </w:r>
    </w:p>
    <w:p>
      <w:pPr>
        <w:pStyle w:val="ListBullet"/>
      </w:pPr>
      <w:r>
        <w:t>An OMNI Interestingness Kernel that does more than score: it routes actions (PROBE/REFINE/INSERT/REPLACE/ESCALATE) and names the unknowns that matter.</w:t>
      </w:r>
    </w:p>
    <w:p>
      <w:pPr>
        <w:pStyle w:val="ListBullet"/>
      </w:pPr>
      <w:r>
        <w:t>A deterministic Expected-Information-Gain (EIG) scheduler that converts “interestingness” into compounding search control-allocating probe budgets to the most informative tests first.</w:t>
      </w:r>
    </w:p>
    <w:p>
      <w:pPr>
        <w:pStyle w:val="ListBullet"/>
      </w:pPr>
      <w:r>
        <w:t>Evidence as a first-class currency via ECI (Evidence Contact Index): credibility increases only through executed, checkable tests; simulated judgement is capped.</w:t>
      </w:r>
    </w:p>
    <w:p>
      <w:pPr>
        <w:pStyle w:val="ListBullet"/>
      </w:pPr>
      <w:r>
        <w:t>Move-37 Breakthrough Protocol (v7): objective breakthrough detection, reproduction, stress-testing under policy shocks, persistence gating, and a decision-grade dossier bundle.</w:t>
      </w:r>
    </w:p>
    <w:p>
      <w:r/>
    </w:p>
    <w:p>
      <w:pPr>
        <w:pStyle w:val="Heading1"/>
      </w:pPr>
      <w:r>
        <w:t>Why this matters for sovereign strategy</w:t>
      </w:r>
    </w:p>
    <w:p>
      <w:pPr>
        <w:spacing w:after="160"/>
      </w:pPr>
      <w:r>
        <w:t>Advanced innovation is becoming an infrastructure problem: nations compete on the ability to continuously generate, validate, and operationalize new technical advantages. Traditional R&amp;D struggles with three structural limits-slow feedback, fragmented evidence trails, and weak reproducibility at scale.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B1F3B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Strategic objective</w:t>
            </w:r>
          </w:p>
        </w:tc>
        <w:tc>
          <w:tcPr>
            <w:tcW w:type="dxa" w:w="4680"/>
            <w:shd w:val="clear" w:color="auto" w:fill="0B1F3B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AGI Alpha RSI capability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Speed of learning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Compress multi-month exploratory loops into repeatable cycles with deterministic audit artifacts.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Strategic autonomy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Operate as a sovereign capability: controlled deployment, data residency, and policy-aligned governance.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Proof-grade outputs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Every promoted innovation ships with an evidence ledger, reproducible manifests, and baseline-comparative advantage metrics.</w:t>
            </w:r>
          </w:p>
        </w:tc>
      </w:tr>
    </w:tbl>
    <w:p/>
    <w:p>
      <w:pPr>
        <w:pStyle w:val="Heading1"/>
      </w:pPr>
      <w:r>
        <w:t>What AGI Alpha RSI is</w:t>
      </w:r>
    </w:p>
    <w:p>
      <w:r>
        <w:t>AGI Alpha RSI is not a single model. It is a rigorously-defined, prompt-pack-driven operating system for invention-where each LLM call is schema-bound, replayable, and audited; and where every claim is pressured toward contact with evidence through deterministic runners and micro-benchmarks.</w:t>
      </w:r>
    </w:p>
    <w:p>
      <w:r>
        <w:t>The platform orchestrates a closed loop-Target → Emit → Filter → Atlas → Test-Plan → Eval → Insert → Promote-and persists state across cycles so the archive and causal atlas compound rather than reset.</w:t>
      </w:r>
    </w:p>
    <w:p>
      <w:r/>
    </w:p>
    <w:p>
      <w:pPr>
        <w:pStyle w:val="Heading1"/>
      </w:pPr>
      <w:r>
        <w:t>Architecture at a glance</w:t>
      </w:r>
    </w:p>
    <w:p>
      <w:r>
        <w:rPr>
          <w:b/>
        </w:rPr>
        <w:t>Three layers form the system boundary:</w:t>
      </w:r>
    </w:p>
    <w:p>
      <w:r>
        <w:t>1) Prompt Pack (schema-bound agent roles)</w:t>
      </w:r>
    </w:p>
    <w:p>
      <w:r>
        <w:t>2) Deterministic Runner (stage sequencing + evidence minting)</w:t>
      </w:r>
    </w:p>
    <w:p>
      <w:r>
        <w:t>3) Persistent State (QD archive + causal atlas + ECI ledger)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B1F3B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680"/>
            <w:shd w:val="clear" w:color="auto" w:fill="0B1F3B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Guarantee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Prompt Pack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A single JSON file mapping prompt_id → {system, user_template, output_schema_ref}. Every agent role is a strictly-typed interface; outputs are validated and repaired deterministically.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Runner Config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A single JSON file defining cycle stages, budgets, constraints, scoring formulas, routing rules, novelty distance spec, baseline comparison policy, and the Breakthrough Protocol.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Deterministic Runner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Executes one cycle at a time with temperature=0, fixed seed, canonical hashing and per-call provenance logs. Produces run_outputs.zip + state_for_next_run.json.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Persistent RSI State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Monotonic growth: cycle_index increments; archive.frontier_cells and archive.candidates append; atlas triples accumulate; ECI ledger records all evidence events (pre/post).</w:t>
            </w:r>
          </w:p>
        </w:tc>
      </w:tr>
    </w:tbl>
    <w:p/>
    <w:p>
      <w:pPr>
        <w:pStyle w:val="Heading2"/>
      </w:pPr>
      <w:r>
        <w:t>The recursive cycle (one deterministic pass)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TARGET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Select archive cells + bridge targets (coverage and cross-domain).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EMIT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Generate candidates (LHF + Pioneer) + scaffold genomes/variants.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FILTER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Risk gate + boringness + novelty report + OMNI interestingness decision routing.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ATLAS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Extract triples; complete mechanisms; contradiction and side-effects; bridge discovery; atlas patch.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TEST-PLAN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Decision-conditioned falsification ladder; PROBE ladders target named unknowns.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EVAL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Execute tests and episodes; baseline-comparative grading; mint evidence objects + ECI updates.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INSERT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Insert/replace winners in the QD archive + HELM-style reporting + eval manifests.</w:t>
            </w:r>
          </w:p>
        </w:tc>
        <w:tc>
          <w:tcPr>
            <w:tcW w:type="dxa" w:w="1170"/>
            <w:shd w:val="clear" w:color="auto" w:fill="F2F2F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PROMOTE</w:t>
            </w:r>
          </w:p>
          <w:p>
            <w:pPr>
              <w:spacing w:before="40" w:after="0"/>
            </w:pPr>
            <w:r>
              <w:rPr>
                <w:rFonts w:ascii="Cambria" w:hAnsi="Cambria"/>
                <w:sz w:val="16"/>
              </w:rPr>
              <w:t>Lane-aware promotion queue for pilots and strategic escalation.</w:t>
            </w:r>
          </w:p>
        </w:tc>
      </w:tr>
    </w:tbl>
    <w:p>
      <w:r/>
    </w:p>
    <w:p>
      <w:pPr>
        <w:pStyle w:val="Heading1"/>
      </w:pPr>
      <w:r>
        <w:t>Engineering systematic pressure toward non-human, high-leverage novelty</w:t>
      </w:r>
    </w:p>
    <w:p>
      <w:r>
        <w:t>To reliably surface strategies that a human team would not naturally propose, AGI Alpha RSI uses open-ended search control rather than “one-shot ideation.” Novelty is not treated as style-it is a measurable distance from what has already been explored, coupled to an objective evaluation stack.</w:t>
      </w:r>
    </w:p>
    <w:p>
      <w:pPr>
        <w:pStyle w:val="Heading2"/>
      </w:pPr>
      <w:r>
        <w:t>1) Quality-Diversity archive (MAP-Elites semantics)</w:t>
      </w:r>
    </w:p>
    <w:p>
      <w:r>
        <w:t>Candidates are stored as a portfolio across an explicit descriptor space (e.g., capital intensity, time horizon, mechanism class, regulatory friction). The system seeks breadth-filling empty or sparse cells-so stepping-stones are preserved and recombined later, enabling compounding discovery.</w:t>
      </w:r>
    </w:p>
    <w:p>
      <w:r>
        <w:rPr>
          <w:b/>
        </w:rPr>
        <w:t>Operational effect:</w:t>
      </w:r>
    </w:p>
    <w:p>
      <w:pPr>
        <w:pStyle w:val="ListBullet"/>
      </w:pPr>
      <w:r>
        <w:t>Coverage pressure: target empty/sparse cells to avoid converging on a single local optimum.</w:t>
      </w:r>
    </w:p>
    <w:p>
      <w:pPr>
        <w:pStyle w:val="ListBullet"/>
      </w:pPr>
      <w:r>
        <w:t>Pioneer pressure: allocate a dedicated lane to cross-domain bridges and mechanism novelty.</w:t>
      </w:r>
    </w:p>
    <w:p>
      <w:pPr>
        <w:pStyle w:val="ListBullet"/>
      </w:pPr>
      <w:r>
        <w:t>Archive memory: the system remembers what has been tried and what worked, preventing repeated rediscovery.</w:t>
      </w:r>
    </w:p>
    <w:p>
      <w:pPr>
        <w:pStyle w:val="Heading2"/>
      </w:pPr>
      <w:r>
        <w:t>2) Deterministic Novelty Distance (v7)</w:t>
      </w:r>
    </w:p>
    <w:p>
      <w:r>
        <w:t>Every emitted candidate receives a deterministic novelty distance score in [0,1] before interestingness evaluation. This provides a stable novelty signal that is auditable and reproducible.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Spec ID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novelty_distance.v1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Neighbor pool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frontier_cells + recent candidates (max_neighbors=50)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Components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descriptor_sim (0.40) + triple_sim (0.30) + text_sim (0.30)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Composite similarity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0.40·descriptor_sim + 0.30·triple_sim + 0.30·text_sim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Novelty distance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novelty_distance = clamp(1 - max_neighbor(composite_sim), 0, 1)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Thresholds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High novelty ≥ 0.80; Breakthrough candidate ≥ 0.90</w:t>
            </w:r>
          </w:p>
        </w:tc>
      </w:tr>
    </w:tbl>
    <w:p>
      <w:r>
        <w:t>This novelty distance is persisted as a first-class artifact (candidates/novelty_distance.jsonl) and is copied verbatim into the OMNI Interestingness audit record, preventing score drift or retroactive rewriting.</w:t>
      </w:r>
    </w:p>
    <w:p>
      <w:pPr>
        <w:pStyle w:val="Heading2"/>
      </w:pPr>
      <w:r>
        <w:t>3) OMNI Interestingness as an action router</w:t>
      </w:r>
    </w:p>
    <w:p>
      <w:r>
        <w:t>AGI Alpha RSI operationalizes OMNI-style open-endedness by requiring the interestingness kernel (P63) to output not only scores, but a deterministic action recommendation: REJECT, PROBE, REFINE, INSERT, REPLACE, or ESCALATE. The output must also name the precise unknowns driving uncertainty-each with expected information gain.</w:t>
      </w:r>
    </w:p>
    <w:p>
      <w:r>
        <w:rPr>
          <w:b/>
        </w:rPr>
        <w:t>Why this matters:</w:t>
      </w:r>
    </w:p>
    <w:p>
      <w:pPr>
        <w:pStyle w:val="ListBullet"/>
      </w:pPr>
      <w:r>
        <w:t>It turns novelty into a policy: we systematically allocate effort to reducing uncertainty where it matters most.</w:t>
      </w:r>
    </w:p>
    <w:p>
      <w:pPr>
        <w:pStyle w:val="ListBullet"/>
      </w:pPr>
      <w:r>
        <w:t>It prevents premature ‘archive insertion’ based on rhetoric-low confidence routes to PROBE/REFINE automatically.</w:t>
      </w:r>
    </w:p>
    <w:p>
      <w:pPr>
        <w:pStyle w:val="ListBullet"/>
      </w:pPr>
      <w:r>
        <w:t>It creates a closed prompt ecosystem: every downstream step (test planning, probing, escalation) is conditioned on structured outputs.</w:t>
      </w:r>
    </w:p>
    <w:p>
      <w:pPr>
        <w:pStyle w:val="Heading2"/>
      </w:pPr>
      <w:r>
        <w:t>4) EIG-scheduled probing for information-efficient search control (v6)</w:t>
      </w:r>
    </w:p>
    <w:p>
      <w:r>
        <w:t>For PROBE candidates, falsification ladders must embed unknown_id in each test_id. The runner then selects which L0 rungs to execute using a deterministic Expected-Information-Gain scheduler that combines: (a) expected_info_gain from P63’s uncertainty focus, (b) the entropy of the rung’s forecasted outcome, and (c) an explicit cost bucket.</w:t>
      </w:r>
    </w:p>
    <w:p>
      <w:r>
        <w:t>This makes probing measurable and optimizable: the probe/probe_schedule.jsonl artifact records the exact EIG score per executed rung, enabling budget governance and continuous improvement of the probing policy.</w:t>
      </w:r>
    </w:p>
    <w:p>
      <w:r/>
    </w:p>
    <w:p>
      <w:pPr>
        <w:pStyle w:val="Heading1"/>
      </w:pPr>
      <w:r>
        <w:t>Engineering objective advantage confirmation</w:t>
      </w:r>
    </w:p>
    <w:p>
      <w:r>
        <w:t>Breakthrough claims are only meaningful if they outperform a baseline under controlled conditions. AGI Alpha RSI therefore treats evaluation as a comparative measurement problem, not a narrative problem.</w:t>
      </w:r>
    </w:p>
    <w:p>
      <w:pPr>
        <w:pStyle w:val="Heading2"/>
      </w:pPr>
      <w:r>
        <w:t>Baseline comparison requirements (v7)</w:t>
      </w:r>
    </w:p>
    <w:p>
      <w:r>
        <w:t>Every deep evaluation is baseline-comparative. The baseline comparator is chosen deterministically: (1) incumbent elite in the same archive cell, else (2) nearest neighbor used for novelty distance, else (3) a fixed null baseline.</w:t>
      </w:r>
    </w:p>
    <w:p>
      <w:r>
        <w:t>Advantage metric: grade.overall_score (default: overall rubric score).</w:t>
      </w:r>
    </w:p>
    <w:p>
      <w:r>
        <w:t>Replace threshold (minimum delta): 0.05</w:t>
      </w:r>
    </w:p>
    <w:p>
      <w:r>
        <w:t>Breakthrough threshold (minimum delta): 0.15</w:t>
      </w:r>
    </w:p>
    <w:p>
      <w:r>
        <w:t>The runner emits eval/baseline_comparison.jsonl containing candidate score, baseline score, delta, and whether replacement/breakthrough thresholds are met.</w:t>
      </w:r>
    </w:p>
    <w:p>
      <w:pPr>
        <w:pStyle w:val="Heading2"/>
      </w:pPr>
      <w:r>
        <w:t>Evidence Contact Index (ECI): credibility as currency</w:t>
      </w:r>
    </w:p>
    <w:p>
      <w:r>
        <w:t>ECI is a ledgered credibility score in [0,1] that moves only when tests produce evidence. Executed evidence (deterministic checks, micro-benchmarks, controlled episodes) increases or decreases ECI with larger steps; simulated or judgement-only evidence is capped. This prevents ‘self-delusion loops’ and forces contact with reality.</w:t>
      </w:r>
    </w:p>
    <w:p>
      <w:r>
        <w:rPr>
          <w:b/>
        </w:rPr>
        <w:t>Institutional controls:</w:t>
      </w:r>
    </w:p>
    <w:p>
      <w:pPr>
        <w:pStyle w:val="ListBullet"/>
      </w:pPr>
      <w:r>
        <w:t>Every evaluation mints an evidence object with hashes and provenance; summaries never substitute for raw artifacts.</w:t>
      </w:r>
    </w:p>
    <w:p>
      <w:pPr>
        <w:pStyle w:val="ListBullet"/>
      </w:pPr>
      <w:r>
        <w:t>At least one executed evidence event per cycle is mandatory; the system cannot drift into purely simulated RSI.</w:t>
      </w:r>
    </w:p>
    <w:p>
      <w:pPr>
        <w:pStyle w:val="ListBullet"/>
      </w:pPr>
      <w:r>
        <w:t>Judge outputs are audited and periodically recalibrated against anchors to mitigate drift.</w:t>
      </w:r>
    </w:p>
    <w:p>
      <w:pPr>
        <w:pStyle w:val="Heading2"/>
      </w:pPr>
      <w:r>
        <w:t>Determinism, auditability, and replay</w:t>
      </w:r>
    </w:p>
    <w:p>
      <w:r>
        <w:t>All model invocations are constrained to temperature=0 with canonical JSON hashing. Each cycle emits a complete audit trail: stage logs, manifests, artifacts, and a state bundle. This makes reproduction a routine operation: re-run with the same state and inputs; verify output hashes; and compare advantage deltas.</w:t>
      </w:r>
    </w:p>
    <w:p>
      <w:r/>
    </w:p>
    <w:p>
      <w:pPr>
        <w:pStyle w:val="Heading1"/>
      </w:pPr>
      <w:r>
        <w:t>Move-37 Breakthrough Protocol (v7)</w:t>
      </w:r>
    </w:p>
    <w:p>
      <w:r>
        <w:t>A Move-37-class event is treated as a measurable outlier: a candidate that is both (a) far from known solutions (high novelty distance) and (b) objectively advantaged versus a baseline. When those conditions hold, the system enters a controlled escalation path that produces a decision-grade dossier with no ambiguity.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NoveltyDistance ≥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0.90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AdvantageDelta ≥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0.15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Risk ≤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max_risk_score (config bound)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Confidence ≥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0.55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ECI ≥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0.55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breakthrough_candidate=true</w:t>
            </w:r>
          </w:p>
        </w:tc>
      </w:tr>
    </w:tbl>
    <w:p/>
    <w:p>
      <w:pPr>
        <w:pStyle w:val="Heading2"/>
      </w:pPr>
      <w:r>
        <w:t>Protocol steps (same-cycle escalation)</w:t>
      </w:r>
    </w:p>
    <w:p>
      <w:r>
        <w:rPr>
          <w:b/>
        </w:rPr>
        <w:t xml:space="preserve">Reproduce - </w:t>
      </w:r>
      <w:r>
        <w:t>Re-run candidate and baseline on the same eval battery under multiple fixed seeds; verify hashes and manifests.</w:t>
      </w:r>
    </w:p>
    <w:p>
      <w:r>
        <w:rPr>
          <w:b/>
        </w:rPr>
        <w:t xml:space="preserve">Stress-test - </w:t>
      </w:r>
      <w:r>
        <w:t>Apply policy shocks (controlled perturbations) and re-evaluate candidate vs baseline; log advantage deltas per shock.</w:t>
      </w:r>
    </w:p>
    <w:p>
      <w:r>
        <w:rPr>
          <w:b/>
        </w:rPr>
        <w:t xml:space="preserve">Persistence gate - </w:t>
      </w:r>
      <w:r>
        <w:t>Confirm advantage persists: positive delta above a minimum threshold on ≥ required pass rate across shocks.</w:t>
      </w:r>
    </w:p>
    <w:p>
      <w:r>
        <w:rPr>
          <w:b/>
        </w:rPr>
        <w:t xml:space="preserve">Package dossier - </w:t>
      </w:r>
      <w:r>
        <w:t>Emit a dossier bundle: run_manifest, novelty distance log, baseline comparisons, evidence objects, ECI ledger, HELM-style summary, and reproduction manifests.</w:t>
      </w:r>
    </w:p>
    <w:p>
      <w:pPr>
        <w:pStyle w:val="Heading2"/>
      </w:pPr>
      <w:r>
        <w:t>Mandatory ADVANTAGE_PERSISTENCE unknown for high novelty</w:t>
      </w:r>
    </w:p>
    <w:p>
      <w:r>
        <w:t>If novelty_distance is high (≥ 0.80 by default), the system must explicitly track an uncertainty item with unknown_id = ADVANTAGE_PERSISTENCE. This forces test planning to include at least one L0 rung that directly probes whether the measured advantage persists under shocks or baseline variations.</w:t>
      </w:r>
    </w:p>
    <w:p>
      <w:pPr>
        <w:pStyle w:val="Heading2"/>
      </w:pPr>
      <w:r>
        <w:t>Outcome: decision-grade breakthrough dossier</w:t>
      </w:r>
    </w:p>
    <w:p>
      <w:r>
        <w:t>A confirmed breakthrough is not an anecdote. It is a bundle of artifacts that allows an independent team to replay the event, validate the advantage, and assess persistence under stress. For sovereign stakeholders, this reduces ‘innovation risk’ from a story to a governed evidentiary process.</w:t>
      </w:r>
    </w:p>
    <w:p>
      <w:r/>
    </w:p>
    <w:p>
      <w:pPr>
        <w:pStyle w:val="Heading1"/>
      </w:pPr>
      <w:r>
        <w:t>Sovereign deployment, control, and governance</w:t>
      </w:r>
    </w:p>
    <w:p>
      <w:r>
        <w:t>AGI Alpha RSI is designed as an institutional platform: its core value is not only ideation, but the ability to prove, reproduce, and govern innovation outcomes. Sovereign stakeholders can operate it as a controlled capability aligned with national priorities and regulatory constraints.</w:t>
      </w:r>
    </w:p>
    <w:p>
      <w:pPr>
        <w:pStyle w:val="Heading2"/>
      </w:pPr>
      <w:r>
        <w:t>Deployment modes</w:t>
      </w:r>
    </w:p>
    <w:p>
      <w:pPr>
        <w:pStyle w:val="ListBullet"/>
      </w:pPr>
      <w:r>
        <w:t>Sovereign enclave: operate entirely within national infrastructure (on-prem or sovereign cloud), with strict data residency.</w:t>
      </w:r>
    </w:p>
    <w:p>
      <w:pPr>
        <w:pStyle w:val="ListBullet"/>
      </w:pPr>
      <w:r>
        <w:t>Air-gapped / classified: run without external network access; executed evidence relies on deterministic micro-benches and controlled simulations.</w:t>
      </w:r>
    </w:p>
    <w:p>
      <w:pPr>
        <w:pStyle w:val="ListBullet"/>
      </w:pPr>
      <w:r>
        <w:t>Hybrid: controlled external evaluation sandboxes while keeping state, logs, and dossiers in the sovereign boundary.</w:t>
      </w:r>
    </w:p>
    <w:p>
      <w:pPr>
        <w:pStyle w:val="Heading2"/>
      </w:pPr>
      <w:r>
        <w:t>Trust primitives</w:t>
      </w:r>
    </w:p>
    <w:p>
      <w:pPr>
        <w:pStyle w:val="ListBullet"/>
      </w:pPr>
      <w:r>
        <w:t>Deterministic manifests: every cycle produces run_outputs.zip and a state bundle for continuation.</w:t>
      </w:r>
    </w:p>
    <w:p>
      <w:pPr>
        <w:pStyle w:val="ListBullet"/>
      </w:pPr>
      <w:r>
        <w:t>Cryptographic hashing: canonical JSON digests + content hashes enable tamper-evident audit trails.</w:t>
      </w:r>
    </w:p>
    <w:p>
      <w:pPr>
        <w:pStyle w:val="ListBullet"/>
      </w:pPr>
      <w:r>
        <w:t>Schema governance: every LLM interaction is constrained by explicit input/output schemas; invalid outputs are repaired or rejected.</w:t>
      </w:r>
    </w:p>
    <w:p>
      <w:pPr>
        <w:pStyle w:val="ListBullet"/>
      </w:pPr>
      <w:r>
        <w:t>Evidence policy: credibility rises primarily through executed checks; simulated evidence is capped.</w:t>
      </w:r>
    </w:p>
    <w:p>
      <w:pPr>
        <w:pStyle w:val="Heading2"/>
      </w:pPr>
      <w:r>
        <w:t>Persistence invariants (no silent resets)</w:t>
      </w:r>
    </w:p>
    <w:p>
      <w:r>
        <w:t>The runner enforces monotonic state growth across runs. If a run would violate an invariant (e.g., cycle_index not incrementing by +1, or archive tables shrinking), it must halt and emit an error object rather than silently reset.</w:t>
      </w:r>
    </w:p>
    <w:p>
      <w:pPr>
        <w:pStyle w:val="ListBullet"/>
      </w:pPr>
      <w:r>
        <w:t>state_manifest.cycle_index increments exactly +1 per run.</w:t>
      </w:r>
    </w:p>
    <w:p>
      <w:pPr>
        <w:pStyle w:val="ListBullet"/>
      </w:pPr>
      <w:r>
        <w:t>archive.frontier_cells and archive.candidates are non-decreasing (append-only).</w:t>
      </w:r>
    </w:p>
    <w:p>
      <w:pPr>
        <w:pStyle w:val="ListBullet"/>
      </w:pPr>
      <w:r>
        <w:t>Stable IDs are never recycled (candidate_id, scaffold_id, cell_key).</w:t>
      </w:r>
    </w:p>
    <w:p>
      <w:pPr>
        <w:pStyle w:val="ListBullet"/>
      </w:pPr>
      <w:r>
        <w:t>ECI ledger is append-only; each event records pre/post values and evidence provenance.</w:t>
      </w:r>
    </w:p>
    <w:p>
      <w:pPr>
        <w:pStyle w:val="Heading2"/>
      </w:pPr>
      <w:r>
        <w:t>Operational governance</w:t>
      </w:r>
    </w:p>
    <w:p>
      <w:r>
        <w:t>The system supports portfolio governance via lanes (LHF vs Pioneer), budgets, risk gates, and promotion policy. This enables leadership to tune the exploration/exploitation balance while preserving proof-grade standards.</w:t>
      </w:r>
    </w:p>
    <w:p>
      <w:r/>
    </w:p>
    <w:p>
      <w:pPr>
        <w:pStyle w:val="Heading1"/>
      </w:pPr>
      <w:r>
        <w:t>Capabilities and differentiation</w:t>
      </w:r>
    </w:p>
    <w:p>
      <w:pPr>
        <w:pStyle w:val="Heading2"/>
      </w:pPr>
      <w:r>
        <w:t>What this platform does that typical AI systems do not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B1F3B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val="clear" w:color="auto" w:fill="0B1F3B"/>
          </w:tcPr>
          <w:p>
            <w:r>
              <w:rPr>
                <w:rFonts w:ascii="Cambria" w:hAnsi="Cambria"/>
                <w:b/>
                <w:color w:val="FFFFFF"/>
                <w:sz w:val="20"/>
              </w:rPr>
              <w:t>AGI Alpha RSI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Not a chatbot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A deterministic invention pipeline with explicit stages, budgets, and artifact outputs.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Not a single benchmark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A compounding portfolio in a QD archive-diversity is the point, not an afterthought.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Not ‘LLM-judge only’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Executed evidence is mandatory; simulated evidence is capped; audit artifacts are preserved.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Not ‘one-shot ideation’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Action-routing + EIG-scheduled probing turns uncertainty into systematic search control.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mbria" w:hAnsi="Cambria"/>
                <w:b/>
                <w:sz w:val="20"/>
              </w:rPr>
              <w:t>Not hype-driven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sz w:val="20"/>
              </w:rPr>
              <w:t>Breakthrough Protocol produces reproduction and stress-test bundles before escalation.</w:t>
            </w:r>
          </w:p>
        </w:tc>
      </w:tr>
    </w:tbl>
    <w:p>
      <w:pPr>
        <w:pStyle w:val="Heading2"/>
      </w:pPr>
      <w:r>
        <w:t>Representative application domains (config-tunable)</w:t>
      </w:r>
    </w:p>
    <w:p>
      <w:r>
        <w:t>The platform is domain-agnostic: it learns and tests within controlled environments defined by your priority list, constraints, and evidence policies. Example domains include:</w:t>
      </w:r>
    </w:p>
    <w:p>
      <w:pPr>
        <w:pStyle w:val="ListBullet"/>
      </w:pPr>
      <w:r>
        <w:t>Critical infrastructure operations (energy, transport, logistics)</w:t>
      </w:r>
    </w:p>
    <w:p>
      <w:pPr>
        <w:pStyle w:val="ListBullet"/>
      </w:pPr>
      <w:r>
        <w:t>Public finance and procurement (audit-grade process innovation)</w:t>
      </w:r>
    </w:p>
    <w:p>
      <w:pPr>
        <w:pStyle w:val="ListBullet"/>
      </w:pPr>
      <w:r>
        <w:t>Industrial policy and manufacturing optimization</w:t>
      </w:r>
    </w:p>
    <w:p>
      <w:pPr>
        <w:pStyle w:val="ListBullet"/>
      </w:pPr>
      <w:r>
        <w:t>Public-sector service delivery modernization</w:t>
      </w:r>
    </w:p>
    <w:p>
      <w:pPr>
        <w:pStyle w:val="ListBullet"/>
      </w:pPr>
      <w:r>
        <w:t>Scientific R&amp;D portfolio management (hypothesis generation + falsification ladders)</w:t>
      </w:r>
    </w:p>
    <w:p>
      <w:pPr>
        <w:pStyle w:val="Heading2"/>
      </w:pPr>
      <w:r>
        <w:t>What stakeholders receive per cycle</w:t>
      </w:r>
    </w:p>
    <w:p>
      <w:r>
        <w:t>Every cycle emits decision-ready artifacts, including:</w:t>
      </w:r>
    </w:p>
    <w:p>
      <w:pPr>
        <w:pStyle w:val="ListBullet"/>
      </w:pPr>
      <w:r>
        <w:t>run_outputs.zip with complete per-stage logs, candidates, tests, evidence objects, ECI ledger, and reports</w:t>
      </w:r>
    </w:p>
    <w:p>
      <w:pPr>
        <w:pStyle w:val="ListBullet"/>
      </w:pPr>
      <w:r>
        <w:t>state_for_next_run.json to continue compounding search without reset</w:t>
      </w:r>
    </w:p>
    <w:p>
      <w:pPr>
        <w:pStyle w:val="ListBullet"/>
      </w:pPr>
      <w:r>
        <w:t>promotion_queue (JSONL + CSV) for leadership decisions</w:t>
      </w:r>
    </w:p>
    <w:p>
      <w:pPr>
        <w:pStyle w:val="ListBullet"/>
      </w:pPr>
      <w:r>
        <w:t>optional dossier bundles for any breakthrough candidates</w:t>
      </w:r>
    </w:p>
    <w:p>
      <w:r/>
    </w:p>
    <w:p>
      <w:pPr>
        <w:pStyle w:val="Heading1"/>
      </w:pPr>
      <w:r>
        <w:t>Adoption pathway</w:t>
      </w:r>
    </w:p>
    <w:p>
      <w:r>
        <w:t>AGI Alpha RSI can be adopted as an institutional capability with clear gates and measurable outputs. A typical rollout proceeds in three controlled phases:</w:t>
      </w:r>
    </w:p>
    <w:p>
      <w:r>
        <w:rPr>
          <w:b/>
        </w:rPr>
        <w:t xml:space="preserve">Phase I - Sovereign sandbox: </w:t>
      </w:r>
      <w:r>
        <w:t>Deploy the deterministic runner and prompt pack within a controlled environment; configure constraints, focus domains, and evidence micro-benches; validate audit trail end-to-end.</w:t>
      </w:r>
    </w:p>
    <w:p>
      <w:r>
        <w:rPr>
          <w:b/>
        </w:rPr>
        <w:t xml:space="preserve">Phase II - Portfolio compounding: </w:t>
      </w:r>
      <w:r>
        <w:t>Run multi-cycle operations so the archive and causal atlas grow; tune lane budgets and promotion policy; establish judge calibration cadence and reporting standards.</w:t>
      </w:r>
    </w:p>
    <w:p>
      <w:r>
        <w:rPr>
          <w:b/>
        </w:rPr>
        <w:t xml:space="preserve">Phase III - Operational integration: </w:t>
      </w:r>
      <w:r>
        <w:t>Integrate with existing R&amp;D governance: promotion queue → pilots; dossier bundles → decision committees; establish continuous monitoring, red-teaming, and versioned model/prompt governance.</w:t>
      </w:r>
    </w:p>
    <w:p>
      <w:pPr>
        <w:pStyle w:val="Heading2"/>
      </w:pPr>
      <w:r>
        <w:t>Governance commitments (for high-trust deployment)</w:t>
      </w:r>
    </w:p>
    <w:p>
      <w:pPr>
        <w:pStyle w:val="ListBullet"/>
      </w:pPr>
      <w:r>
        <w:t>Model and prompt versioning with signed manifests (no silent changes).</w:t>
      </w:r>
    </w:p>
    <w:p>
      <w:pPr>
        <w:pStyle w:val="ListBullet"/>
      </w:pPr>
      <w:r>
        <w:t>Reproducibility as a policy: any promoted result must be replayable from state + hashes.</w:t>
      </w:r>
    </w:p>
    <w:p>
      <w:pPr>
        <w:pStyle w:val="ListBullet"/>
      </w:pPr>
      <w:r>
        <w:t>Risk and compliance gating before insertion/promotion; constraints are explicit and auditable.</w:t>
      </w:r>
    </w:p>
    <w:p>
      <w:pPr>
        <w:pStyle w:val="ListBullet"/>
      </w:pPr>
      <w:r>
        <w:t>Separation of duties: generation, grading, and judge auditing are modular roles with logged provenance.</w:t>
      </w:r>
    </w:p>
    <w:p>
      <w:r/>
    </w:p>
    <w:p>
      <w:pPr>
        <w:pStyle w:val="Heading1"/>
      </w:pPr>
      <w:r>
        <w:t>Appendix A - Technical baseline (rr_omni_v7)</w:t>
      </w:r>
    </w:p>
    <w:p>
      <w:r>
        <w:t>The current system baseline integrates: action-routing interestingness (P63), uncertainty-conditioned falsification ladder generation (P51), EIG-scheduled probe execution (v6), and the Move-37 Breakthrough Protocol (v7) with deterministic novelty distance and baseline comparisons.</w:t>
      </w:r>
    </w:p>
    <w:p>
      <w:pPr>
        <w:pStyle w:val="Heading2"/>
      </w:pPr>
      <w:r>
        <w:t>Key v7 additions</w:t>
      </w:r>
    </w:p>
    <w:p>
      <w:pPr>
        <w:pStyle w:val="ListBullet"/>
      </w:pPr>
      <w:r>
        <w:t>Deterministic novelty distance computation (novelty_distance.v1) logged per candidate.</w:t>
      </w:r>
    </w:p>
    <w:p>
      <w:pPr>
        <w:pStyle w:val="ListBullet"/>
      </w:pPr>
      <w:r>
        <w:t>Baseline comparator selection for every deep evaluation; advantage deltas logged deterministically.</w:t>
      </w:r>
    </w:p>
    <w:p>
      <w:pPr>
        <w:pStyle w:val="ListBullet"/>
      </w:pPr>
      <w:r>
        <w:t>Breakthrough trigger thresholds + extra evaluation budgets (multi-seed replay + policy shocks).</w:t>
      </w:r>
    </w:p>
    <w:p>
      <w:pPr>
        <w:pStyle w:val="ListBullet"/>
      </w:pPr>
      <w:r>
        <w:t>Mandatory ADVANTAGE_PERSISTENCE unknown injected for high-novelty candidates; must appear in probe ladders.</w:t>
      </w:r>
    </w:p>
    <w:p>
      <w:pPr>
        <w:pStyle w:val="ListBullet"/>
      </w:pPr>
      <w:r>
        <w:t>Dossier bundle that packages evidence, ledgers, manifests, and HELM-style reporting for decision makers.</w:t>
      </w:r>
    </w:p>
    <w:p>
      <w:pPr>
        <w:pStyle w:val="Heading2"/>
      </w:pPr>
      <w:r>
        <w:t>Artifact outputs (minimum set)</w:t>
      </w:r>
    </w:p>
    <w:p>
      <w:pPr>
        <w:pStyle w:val="ListBullet"/>
      </w:pPr>
      <w:r>
        <w:t>candidates/novelty_distance.jsonl</w:t>
      </w:r>
    </w:p>
    <w:p>
      <w:pPr>
        <w:pStyle w:val="ListBullet"/>
      </w:pPr>
      <w:r>
        <w:t>eval/baseline_comparison.jsonl</w:t>
      </w:r>
    </w:p>
    <w:p>
      <w:pPr>
        <w:pStyle w:val="ListBullet"/>
      </w:pPr>
      <w:r>
        <w:t>probe/probe_schedule.jsonl</w:t>
      </w:r>
    </w:p>
    <w:p>
      <w:pPr>
        <w:pStyle w:val="ListBullet"/>
      </w:pPr>
      <w:r>
        <w:t>evidence/evidence_objects.jsonl</w:t>
      </w:r>
    </w:p>
    <w:p>
      <w:pPr>
        <w:pStyle w:val="ListBullet"/>
      </w:pPr>
      <w:r>
        <w:t>eci/eci_ledger.jsonl</w:t>
      </w:r>
    </w:p>
    <w:p>
      <w:pPr>
        <w:pStyle w:val="ListBullet"/>
      </w:pPr>
      <w:r>
        <w:t>reports/helm_like_summary.md</w:t>
      </w:r>
    </w:p>
    <w:p>
      <w:pPr>
        <w:pStyle w:val="ListBullet"/>
      </w:pPr>
      <w:r>
        <w:t>dossier/index.json (when breakthrough protocol triggers)</w:t>
      </w:r>
    </w:p>
    <w:p/>
    <w:p>
      <w:r>
        <w:rPr>
          <w:i/>
        </w:rPr>
        <w:t>For implementation reference, see the attached runner configuration and prompt pack that define these behaviors as mechanical, schema-bound requirements.</w:t>
      </w:r>
    </w:p>
    <w:p>
      <w:r/>
    </w:p>
    <w:p>
      <w:pPr>
        <w:pStyle w:val="Heading1"/>
      </w:pPr>
      <w:r>
        <w:t>Contact and next steps</w:t>
      </w:r>
    </w:p>
    <w:p>
      <w:r>
        <w:t>For press inquiries, sovereign briefings, or technical due diligence, the recommended starting point is a controlled demonstration run in a sovereign sandbox, producing a full run_outputs.zip and state_for_next_run.json for independent replay and verification.</w:t>
      </w:r>
    </w:p>
    <w:p>
      <w:pPr>
        <w:jc w:val="center"/>
      </w:pPr>
      <w:r>
        <w:t>- End of document 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66666"/>
        <w:sz w:val="18"/>
      </w:rPr>
      <w:t>Prepared for press + sovereign strategy audiences • Shareable with attribution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Times New Roman" w:hAnsi="Times New Roman" w:eastAsia="Times New Roman"/>
              <w:color w:val="666666"/>
              <w:sz w:val="18"/>
            </w:rPr>
            <w:t>AGI Alpha RSI - Executive Overview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Times New Roman" w:hAnsi="Times New Roman" w:eastAsia="Times New Roman"/>
              <w:color w:val="666666"/>
              <w:sz w:val="18"/>
            </w:rPr>
            <w:t>Version v10 • 2026-01-22 (UTC)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1C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1C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1C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F1C2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44444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