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69" w:lineRule="auto"/>
      </w:pPr>
      <w:r>
        <w:rPr>
          <w:rFonts w:ascii="Cambria" w:hAnsi="Cambria"/>
          <w:b/>
          <w:i w:val="0"/>
          <w:color w:val="172B4A"/>
          <w:sz w:val="48"/>
        </w:rPr>
        <w:t>AGIJobManager × OpenClaw</w:t>
      </w:r>
    </w:p>
    <w:p>
      <w:pPr>
        <w:spacing w:after="120" w:before="0" w:line="269" w:lineRule="auto"/>
      </w:pPr>
      <w:r>
        <w:rPr>
          <w:rFonts w:ascii="Cambria" w:hAnsi="Cambria"/>
          <w:b/>
          <w:i w:val="0"/>
          <w:color w:val="9B7A3F"/>
          <w:sz w:val="33"/>
        </w:rPr>
        <w:t>Institutional Overview of the Highest-Value Joint Use Cases</w:t>
      </w:r>
    </w:p>
    <w:p>
      <w:pPr>
        <w:spacing w:after="240" w:before="0" w:line="269" w:lineRule="auto"/>
      </w:pPr>
      <w:r>
        <w:rPr>
          <w:rFonts w:ascii="Aptos" w:hAnsi="Aptos"/>
          <w:b w:val="0"/>
          <w:i/>
          <w:color w:val="4E5B6C"/>
          <w:sz w:val="22"/>
        </w:rPr>
        <w:t>Where the on-chain protocol and the current bounded OpenClaw system create the strongest operating advantage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tcMar>
              <w:top w:w="120" w:type="dxa"/>
              <w:start w:w="140" w:type="dxa"/>
              <w:bottom w:w="120" w:type="dxa"/>
              <w:end w:w="140" w:type="dxa"/>
            </w:tcMar>
            <w:shd w:fill="F4EFE4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172B4A"/>
                <w:sz w:val="22"/>
              </w:rPr>
              <w:t>Primary judgment</w:t>
            </w:r>
          </w:p>
          <w:p>
            <w:pPr>
              <w:spacing w:line="259" w:lineRule="auto" w:after="0"/>
            </w:pPr>
            <w:r>
              <w:rPr>
                <w:rFonts w:ascii="Aptos" w:hAnsi="Aptos"/>
                <w:color w:val="4E5B6C"/>
                <w:sz w:val="19"/>
              </w:rPr>
              <w:t>The best combined use of AGIJobManager v1 and the current OpenClaw system is artifact-first, validator-legible, public knowledge work: jobs whose outputs can be produced locally, reviewed explicitly, published to IPFS, referenced by jobCompletionURI, and validated without hidden off-chain context.</w:t>
            </w:r>
          </w:p>
        </w:tc>
      </w:tr>
    </w:tbl>
    <w:p>
      <w:pPr>
        <w:spacing w:after="40" w:before="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Smart contract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OpenClaw system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Best combined use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Escrow, eligibility, review, dispute handling, settlement, and provenance.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Interpret jobSpecURI, solve, package, publish, verify, and prepare unsigned tx inputs.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Publicly verifiable AGI work with clear acceptance criteria and low external dependency.</w:t>
            </w:r>
          </w:p>
        </w:tc>
      </w:tr>
    </w:tbl>
    <w:p>
      <w:pPr>
        <w:spacing w:after="0" w:before="0" w:line="269" w:lineRule="auto"/>
      </w:pPr>
    </w:p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1. Executive framing</w:t>
      </w:r>
    </w:p>
    <w:p>
      <w:pPr>
        <w:spacing w:after="140" w:before="0" w:line="269" w:lineRule="auto"/>
      </w:pPr>
      <w:r>
        <w:rPr>
          <w:rFonts w:ascii="Aptos" w:hAnsi="Aptos"/>
          <w:b w:val="0"/>
          <w:i w:val="0"/>
          <w:sz w:val="20"/>
        </w:rPr>
        <w:t>This report identifies the highest-value, highest-fit, and most operationally attractive job archetypes for the combination of the AGIJobManager v1 smart contract and the current OpenClaw practical-castle system. “Profitable” is used here in an operational sense: high-value, high-payout, low-friction jobs with clear review paths and limited external dependencies — not as any claim about token appreciation or investment return.</w:t>
      </w:r>
    </w:p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2. Current capability posture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The current system is a single-Mac, operator-centered, bounded multi-agent operational baseline. It is v1-first operational, reproducible, reversible, bounded, and artifact-based. It is not a chain-writing automation system, not a signing system, and not a Prime operational submission engine.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Operational today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Conditional / bounded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Blocked by design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Job discovery and inspection</w:t>
              <w:br/>
              <w:t>jobSpecURI fetch + normalization</w:t>
              <w:br/>
              <w:t>Bounded local solving</w:t>
              <w:br/>
              <w:t>Review and packaging gates</w:t>
              <w:br/>
              <w:t>Local IPFS publication + verification</w:t>
              <w:br/>
              <w:t>Unsigned packaging where truthful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Bounded local multi-agent work</w:t>
              <w:br/>
              <w:t>Creative asset jobs when the active worker/tool stack can genuinely produce the requested media</w:t>
              <w:br/>
              <w:t>Human-reviewed external publication handoffs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Chain writes</w:t>
              <w:br/>
              <w:t>Wallets / signers inside OpenClaw</w:t>
              <w:br/>
              <w:t>Hidden automation</w:t>
              <w:br/>
              <w:t>Prime operational submissions</w:t>
              <w:br/>
              <w:t>Fully automatic self-driving orchestration</w:t>
            </w:r>
          </w:p>
        </w:tc>
      </w:tr>
    </w:tbl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3. Why the pairing works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What the contract contributes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A clear on-chain operating frame: job creation with jobSpecURI, payout, and duration.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Eligibility-gated applyForJob(...), bounded requestJobCompletion(...), validator review, dispute, and finalization.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Escrow, bonds, settlement logic, and completion-NFT provenance.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Direct getters such as getJobCore, getJobValidation, getJobSpecURI, and getJobCompletionURI.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What OpenClaw contributes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Interpretation of the jobSpecURI into a concrete work plan.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Single-agent or bounded local multi-agent execution for suitable work.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Artifact generation, reviewable packaging, and publication.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Truthful IPFS publication and fetch-back verification before writing jobCompletionURI.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Unsigned transaction preparation while keeping signing and broadcast external.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tcMar>
              <w:top w:w="120" w:type="dxa"/>
              <w:start w:w="140" w:type="dxa"/>
              <w:bottom w:w="120" w:type="dxa"/>
              <w:end w:w="140" w:type="dxa"/>
            </w:tcMar>
            <w:shd w:fill="EAF0F5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172B4A"/>
                <w:sz w:val="22"/>
              </w:rPr>
              <w:t>Joint-system advantage</w:t>
            </w:r>
          </w:p>
          <w:p>
            <w:pPr>
              <w:spacing w:line="259" w:lineRule="auto" w:after="0"/>
            </w:pPr>
            <w:r>
              <w:rPr>
                <w:rFonts w:ascii="Aptos" w:hAnsi="Aptos"/>
                <w:color w:val="4E5B6C"/>
                <w:sz w:val="19"/>
              </w:rPr>
              <w:t>Together, the two layers turn a job into a structured institutional workflow: jobSpecURI → interpret → produce artifacts → review → publish → verify → jobCompletionURI → unsigned tx package → human sign / broadcast.</w:t>
            </w:r>
          </w:p>
        </w:tc>
      </w:tr>
    </w:tbl>
    <w:p>
      <w:pPr>
        <w:spacing w:after="40" w:before="0" w:line="269" w:lineRule="auto"/>
      </w:pPr>
    </w:p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4. Ideal job signature</w:t>
      </w:r>
    </w:p>
    <w:p>
      <w:pPr>
        <w:spacing w:after="80" w:before="0" w:line="269" w:lineRule="auto"/>
      </w:pPr>
      <w:r>
        <w:rPr>
          <w:rFonts w:ascii="Aptos" w:hAnsi="Aptos"/>
          <w:b w:val="0"/>
          <w:i w:val="0"/>
          <w:sz w:val="20"/>
        </w:rPr>
        <w:t>The highest-fit jobs usually share the same profile. They are artifact-first, public, reviewable, bounded, and low on external dependency.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Dimension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What “good” looks like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Artifact-first deliverable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A memo, report, image, dataset, checklist pack, specification, or evidence bundle.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Public verification path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Validators can inspect the result from public artifacts and completion metadata alone.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Concrete acceptance criteria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Success can be checked against a rubric, not inferred from private context.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Low external dependency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Minimal dependence on private credentials, verified social accounts, or hidden systems.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Bounded operational scope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Fits duration and review windows without open-ended human negotiation.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Reusable output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The artifact keeps institutional value after settlement.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Publication readiness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The final package can be truthfully published and referenced by jobCompletionURI.</w:t>
            </w:r>
          </w:p>
        </w:tc>
      </w:tr>
    </w:tbl>
    <w:p>
      <w:r>
        <w:br w:type="page"/>
      </w:r>
    </w:p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5. Ranked portfolio of the best joint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Rank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Use-case archetype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Why it is a top fit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Operational attractiveness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5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Current readiness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Institutional research and comparative intelligence dossiers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High evidence density, strong validator clarity, low external dependency.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Very high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Ready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Protocol integration, adapter, ABI, and migration packages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Matches the system’s proven contract-reading and documentation strengths.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Very high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Ready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Evaluation, benchmarking, and model-comparison packs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Structured, reproducible outputs with publication-ready evidence.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Very high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Ready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Runbooks, SOPs, onboarding kits, and documentation migrations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High reuse value and excellent artifact-first fit.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Ready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Governance, compliance, risk, and policy memoranda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Institutional value plus clear reviewable deliverables.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Ready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Structured data extraction, normalization, and taxonomy bundles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Easy to package, easy to verify, strong long-tail reuse.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Ready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Public creative / launch asset bundles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Strong if the worker/tool stack can genuinely create the requested media.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Medium-high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Conditional</w:t>
            </w:r>
          </w:p>
        </w:tc>
      </w:tr>
    </w:tbl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6. The best use cases in depth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1) Institutional research and comparative intelligence dossiers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These are arguably the strongest overall fit. The output is evidence-heavy, document-centric, easy to publish, and easy for validators to assess. Typical deliverables include a main memorandum, an executive summary, a source appendix, an evidence table, and completion metadata JSON.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2) Protocol integration, adapter, ABI, and migration packages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This category aligns directly with the system’s demonstrated strengths: contract reading, surface mapping, adapter planning, and runbook production. It is especially attractive because the work creates durable institutional leverage without requiring external credentials.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3) Evaluation, benchmarking, and model-comparison packs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These jobs generate structured, reproducible outputs: methodology notes, benchmark tables, plots, scored result bundles, and narrative interpretation. They are highly validator-legible and publication-friendly.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4) Runbooks, SOPs, onboarding kits, and documentation migrations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These are excellent system-level jobs because the output is directly useful, reusable, and easy to review. They fit the current bounded multi-agent baseline particularly well.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5) Governance, compliance, risk, and policy memoranda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This category converts ambiguous decisions into clear institutional artifacts: decision matrices, risk memoranda, policy options, control recommendations, and governance notes.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6) Structured data extraction, normalization, and taxonomy bundles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This is a strong fit when the value lies in turning messy source material into clean institutional datasets, taxonomies, schemas, and QA-backed deliverables.</w:t>
      </w:r>
    </w:p>
    <w:p>
      <w:pPr>
        <w:spacing w:after="60" w:before="200" w:line="269" w:lineRule="auto"/>
      </w:pPr>
      <w:r>
        <w:rPr>
          <w:rFonts w:ascii="Cambria" w:hAnsi="Cambria"/>
          <w:b/>
          <w:i w:val="0"/>
          <w:color w:val="172B4A"/>
          <w:sz w:val="24"/>
        </w:rPr>
        <w:t>7) Public creative / launch asset bundles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This is a good use case only when the active worker/tool stack can genuinely produce the requested asset at the required quality. The canonical high-fit pattern is a public artifact plus completion metadata that points cleanly to the final published asset.</w:t>
      </w:r>
    </w:p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7. Jobs to avoid or gate tightly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CEB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Weak-fit category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CEB"/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/>
                <w:color w:val="172B4A"/>
                <w:sz w:val="18"/>
              </w:rPr>
              <w:t>Why it is weak or only partial-fit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Verified external-account or social-reputation jobs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They depend on third-party account control or public metrics that OpenClaw cannot truthfully automate.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Jobs requiring live posting to third-party platforms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They create publication claims that are weak unless the external account and posting flow are genuinely controlled.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Jobs needing private credentials or closed systems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They collide with the current safety boundary and publication discipline.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Physical-world, field, custody, or device-control tasks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They are not artifact-first and do not fit the current bounded local operating model.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Highly subjective work with no public evidence path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sz w:val="18"/>
              </w:rPr>
              <w:t>Validators cannot review completion reliably without hidden context.</w:t>
            </w:r>
          </w:p>
        </w:tc>
      </w:tr>
    </w:tbl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8. Selection doctrine</w:t>
      </w:r>
    </w:p>
    <w:p>
      <w:pPr>
        <w:spacing w:after="80" w:before="0" w:line="269" w:lineRule="auto"/>
      </w:pPr>
      <w:r>
        <w:rPr>
          <w:rFonts w:ascii="Aptos" w:hAnsi="Aptos"/>
          <w:b w:val="0"/>
          <w:i w:val="0"/>
          <w:sz w:val="20"/>
        </w:rPr>
        <w:t>Operationally, the best jobs are those with high validator clarity, low external dependency, strong publication fit, comfortable time-window fit, high reuse value, and mature tool support. The simplest institutional rule is: favor jobs that are high on validator clarity, publication fit, and reuse value — and low on external dependency.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tcMar>
              <w:top w:w="120" w:type="dxa"/>
              <w:start w:w="140" w:type="dxa"/>
              <w:bottom w:w="120" w:type="dxa"/>
              <w:end w:w="140" w:type="dxa"/>
            </w:tcMar>
            <w:shd w:fill="F4EFE4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172B4A"/>
                <w:sz w:val="22"/>
              </w:rPr>
              <w:t>Practical screening rule</w:t>
            </w:r>
          </w:p>
          <w:p>
            <w:pPr>
              <w:spacing w:line="259" w:lineRule="auto" w:after="0"/>
            </w:pPr>
            <w:r>
              <w:rPr>
                <w:rFonts w:ascii="Aptos" w:hAnsi="Aptos"/>
                <w:color w:val="4E5B6C"/>
                <w:sz w:val="19"/>
              </w:rPr>
              <w:t>If a job cannot be turned into a public, validator-legible artifact bundle without hidden credentials or social-proof claims, it is usually not a top-tier fit for the current system.</w:t>
            </w:r>
          </w:p>
        </w:tc>
      </w:tr>
    </w:tbl>
    <w:p>
      <w:pPr>
        <w:spacing w:after="40" w:before="0" w:line="269" w:lineRule="auto"/>
      </w:pPr>
    </w:p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9. Best combined operating pattern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Discover and inspect candidate jobs.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Filter for artifact-first, bounded, validator-legible work.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Fetch and normalize the jobSpecURI.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Solve locally with bounded single-agent or bounded multi-agent mode.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Produce explicit artifacts and review bundles.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Publish the completion package truthfully.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Verify publication by fetch-back.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Only then prepare the unsigned completion transaction input.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Keep signing and broadcast external and human-controlled.</w:t>
      </w:r>
    </w:p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10. Institutional recommendation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If the objective is to maximize the value of both AGIJobManager and OpenClaw together, the highest-priority pipeline is: public research, protocol and integration intelligence, benchmark packs, documentation systems, governance/risk artifacts, and other publication-ready knowledge bundles. These categories best exploit the contract’s on-chain coordination and OpenClaw’s off-chain production discipline.</w:t>
      </w:r>
    </w:p>
    <w:p>
      <w:pPr>
        <w:spacing w:after="100" w:before="0" w:line="269" w:lineRule="auto"/>
      </w:pPr>
      <w:r>
        <w:rPr>
          <w:rFonts w:ascii="Aptos" w:hAnsi="Aptos"/>
          <w:b w:val="0"/>
          <w:i w:val="0"/>
          <w:sz w:val="20"/>
        </w:rPr>
        <w:t>The least attractive categories, under the current system, are jobs that depend on social metrics, verified external accounts, hidden systems, or off-platform human politics rather than validator-readable artifact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tcMar>
              <w:top w:w="120" w:type="dxa"/>
              <w:start w:w="140" w:type="dxa"/>
              <w:bottom w:w="120" w:type="dxa"/>
              <w:end w:w="140" w:type="dxa"/>
            </w:tcMar>
            <w:shd w:fill="EAF0F5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172B4A"/>
                <w:sz w:val="22"/>
              </w:rPr>
              <w:t>Bottom line</w:t>
            </w:r>
          </w:p>
          <w:p>
            <w:pPr>
              <w:spacing w:line="259" w:lineRule="auto" w:after="0"/>
            </w:pPr>
            <w:r>
              <w:rPr>
                <w:rFonts w:ascii="Aptos" w:hAnsi="Aptos"/>
                <w:color w:val="4E5B6C"/>
                <w:sz w:val="19"/>
              </w:rPr>
              <w:t>The best use of the smart contract and the current OpenClaw system together is not generic AI work. It is institutional-grade, artifact-first, publicly verifiable AGI work — work whose value can be packaged, published, reviewed, and settled cleanly.</w:t>
            </w:r>
          </w:p>
        </w:tc>
      </w:tr>
    </w:tbl>
    <w:p>
      <w:pPr>
        <w:spacing w:after="40" w:before="0" w:line="269" w:lineRule="auto"/>
      </w:pPr>
    </w:p>
    <w:p>
      <w:pPr>
        <w:spacing w:after="80" w:before="240" w:line="269" w:lineRule="auto"/>
      </w:pPr>
      <w:r>
        <w:rPr>
          <w:rFonts w:ascii="Cambria" w:hAnsi="Cambria"/>
          <w:b/>
          <w:i w:val="0"/>
          <w:color w:val="172B4A"/>
          <w:sz w:val="32"/>
        </w:rPr>
        <w:t>Source basis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Verified AGIJobManager v1 contract source and terms supplied in the working corpus.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Current system characterization (practical-castle / deployable baseline).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Practical Castle Status baseline.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Multi-Agent Implementation Runbook.</w:t>
      </w:r>
    </w:p>
    <w:p>
      <w:pPr>
        <w:pStyle w:val="ListBullet"/>
        <w:spacing w:after="20" w:line="259" w:lineRule="auto"/>
      </w:pPr>
      <w:r>
        <w:rPr>
          <w:rFonts w:ascii="Aptos" w:hAnsi="Aptos"/>
          <w:sz w:val="20"/>
        </w:rPr>
        <w:t>Current live-contract observations used in the workspace.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89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E5B6C"/>
        <w:sz w:val="16"/>
      </w:rPr>
      <w:t>Institutional working paper  ·  2026-03-30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E5B6C"/>
        <w:sz w:val="16"/>
      </w:rPr>
      <w:t>AGIJobManager × OpenClaw  ·  Institutional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