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cover_exec.png"/>
                    <pic:cNvPicPr/>
                  </pic:nvPicPr>
                  <pic:blipFill>
                    <a:blip r:embed="rId9"/>
                    <a:stretch>
                      <a:fillRect/>
                    </a:stretch>
                  </pic:blipFill>
                  <pic:spPr>
                    <a:xfrm>
                      <a:off x="0" y="0"/>
                      <a:ext cx="7772400" cy="10058400"/>
                    </a:xfrm>
                    <a:prstGeom prst="rect"/>
                  </pic:spPr>
                </pic:pic>
              </a:graphicData>
            </a:graphic>
          </wp:inline>
        </w:drawing>
      </w:r>
    </w:p>
    <w:p>
      <w:pPr>
        <w:sectPr>
          <w:headerReference w:type="default" r:id="rId10"/>
          <w:footerReference w:type="default" r:id="rId11"/>
          <w:pgSz w:w="12240" w:h="15840"/>
          <w:pgMar w:top="0" w:right="0" w:bottom="0" w:left="0" w:header="720" w:footer="720" w:gutter="0"/>
          <w:cols w:space="720"/>
          <w:docGrid w:linePitch="360"/>
        </w:sectPr>
      </w:pPr>
    </w:p>
    <w:p>
      <w:pPr>
        <w:pStyle w:val="Heading1"/>
      </w:pPr>
      <w:r>
        <w:t>Executive decision</w:t>
      </w:r>
    </w:p>
    <w:p>
      <w:pPr>
        <w:pStyle w:val="Lead"/>
      </w:pPr>
      <w:r>
        <w:t>Deploy GoalOS as a services-led, software-scaled, capability-licensed Proof Utility.</w:t>
      </w:r>
    </w:p>
    <w:tbl>
      <w:tblPr>
        <w:tblW w:type="auto" w:w="0"/>
        <w:jc w:val="center"/>
        <w:tblLayout w:type="fixed"/>
        <w:tblLook w:firstColumn="1" w:firstRow="1" w:lastColumn="0" w:lastRow="0" w:noHBand="0" w:noVBand="1" w:val="04A0"/>
      </w:tblPr>
      <w:tblGrid>
        <w:gridCol w:w="9936"/>
      </w:tblGrid>
      <w:tr>
        <w:tc>
          <w:tcPr>
            <w:tcW w:type="dxa" w:w="10166"/>
            <w:shd w:fill="F5EEDC"/>
            <w:tcBorders>
              <w:top w:val="single" w:sz="4" w:color="D6A13C"/>
              <w:left w:val="single" w:sz="18" w:color="D6A13C"/>
              <w:bottom w:val="single" w:sz="4" w:color="D6A13C"/>
              <w:right w:val="single" w:sz="4" w:color="D6A13C"/>
            </w:tcBorders>
          </w:tcPr>
          <w:p>
            <w:pPr>
              <w:pStyle w:val="QuoteGoalOS"/>
              <w:jc w:val="left"/>
            </w:pPr>
            <w:r>
              <w:t>The optimal business model is not to sell cheap AI output. It is to diagnose consequential decisions at near-zero marginal cost, price according to value at stake, execute one bounded Proof Mission, convert accepted outcomes into recurring Proof Offices, and charge repeatedly for governed invocation of private validated capability.</w:t>
            </w:r>
          </w:p>
        </w:tc>
      </w:tr>
    </w:tbl>
    <w:p>
      <w:pPr>
        <w:spacing w:after="0"/>
      </w:pPr>
    </w:p>
    <w:p>
      <w:r>
        <w:t>GoalOS should begin with a narrow enterprise wedge: organizations making expensive AI deployment, procurement, investment, revenue or compliance decisions that cannot yet be supported by decision-grade evidence. The first product is a fixed, self-service Proof Mission Activation. The platform and network emerge from paid delivery—not before it.</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0E2B3B"/>
          </w:tcPr>
          <w:p>
            <w:pPr>
              <w:jc w:val="center"/>
            </w:pPr>
            <w:r>
              <w:rPr>
                <w:b/>
                <w:color w:val="D6A13C"/>
                <w:sz w:val="15"/>
              </w:rPr>
              <w:t>ACTIVATION</w:t>
            </w:r>
          </w:p>
        </w:tc>
        <w:tc>
          <w:tcPr>
            <w:tcW w:type="dxa" w:w="2033"/>
            <w:shd w:fill="0E2B3B"/>
          </w:tcPr>
          <w:p>
            <w:pPr>
              <w:jc w:val="center"/>
            </w:pPr>
            <w:r>
              <w:rPr>
                <w:b/>
                <w:color w:val="D6A13C"/>
                <w:sz w:val="15"/>
              </w:rPr>
              <w:t>MISSION</w:t>
            </w:r>
          </w:p>
        </w:tc>
        <w:tc>
          <w:tcPr>
            <w:tcW w:type="dxa" w:w="2033"/>
            <w:shd w:fill="0E2B3B"/>
          </w:tcPr>
          <w:p>
            <w:pPr>
              <w:jc w:val="center"/>
            </w:pPr>
            <w:r>
              <w:rPr>
                <w:b/>
                <w:color w:val="D6A13C"/>
                <w:sz w:val="15"/>
              </w:rPr>
              <w:t>OFFICE</w:t>
            </w:r>
          </w:p>
        </w:tc>
        <w:tc>
          <w:tcPr>
            <w:tcW w:type="dxa" w:w="2033"/>
            <w:shd w:fill="0E2B3B"/>
          </w:tcPr>
          <w:p>
            <w:pPr>
              <w:jc w:val="center"/>
            </w:pPr>
            <w:r>
              <w:rPr>
                <w:b/>
                <w:color w:val="D6A13C"/>
                <w:sz w:val="15"/>
              </w:rPr>
              <w:t>COMPLETE CUSTOMER GM</w:t>
            </w:r>
          </w:p>
        </w:tc>
        <w:tc>
          <w:tcPr>
            <w:tcW w:type="dxa" w:w="2033"/>
            <w:shd w:fill="0E2B3B"/>
          </w:tcPr>
          <w:p>
            <w:pPr>
              <w:jc w:val="center"/>
            </w:pPr>
            <w:r>
              <w:rPr>
                <w:b/>
                <w:color w:val="D6A13C"/>
                <w:sz w:val="15"/>
              </w:rPr>
              <w:t>ILLUSTRATIVE ROI</w:t>
            </w:r>
          </w:p>
        </w:tc>
      </w:tr>
      <w:tr>
        <w:tc>
          <w:tcPr>
            <w:tcW w:type="dxa" w:w="2033"/>
            <w:shd w:fill="F5EEDC"/>
          </w:tcPr>
          <w:p>
            <w:pPr>
              <w:jc w:val="center"/>
            </w:pPr>
            <w:r>
              <w:rPr>
                <w:b/>
                <w:color w:val="071827"/>
                <w:sz w:val="30"/>
              </w:rPr>
              <w:t>$15K</w:t>
            </w:r>
          </w:p>
        </w:tc>
        <w:tc>
          <w:tcPr>
            <w:tcW w:type="dxa" w:w="2033"/>
            <w:shd w:fill="F5EEDC"/>
          </w:tcPr>
          <w:p>
            <w:pPr>
              <w:jc w:val="center"/>
            </w:pPr>
            <w:r>
              <w:rPr>
                <w:b/>
                <w:color w:val="071827"/>
                <w:sz w:val="30"/>
              </w:rPr>
              <w:t>$75K</w:t>
            </w:r>
          </w:p>
        </w:tc>
        <w:tc>
          <w:tcPr>
            <w:tcW w:type="dxa" w:w="2033"/>
            <w:shd w:fill="F5EEDC"/>
          </w:tcPr>
          <w:p>
            <w:pPr>
              <w:jc w:val="center"/>
            </w:pPr>
            <w:r>
              <w:rPr>
                <w:b/>
                <w:color w:val="071827"/>
                <w:sz w:val="30"/>
              </w:rPr>
              <w:t>$216K / yr</w:t>
            </w:r>
          </w:p>
        </w:tc>
        <w:tc>
          <w:tcPr>
            <w:tcW w:type="dxa" w:w="2033"/>
            <w:shd w:fill="F5EEDC"/>
          </w:tcPr>
          <w:p>
            <w:pPr>
              <w:jc w:val="center"/>
            </w:pPr>
            <w:r>
              <w:rPr>
                <w:b/>
                <w:color w:val="071827"/>
                <w:sz w:val="30"/>
              </w:rPr>
              <w:t>80.4%</w:t>
            </w:r>
          </w:p>
        </w:tc>
        <w:tc>
          <w:tcPr>
            <w:tcW w:type="dxa" w:w="2033"/>
            <w:shd w:fill="F5EEDC"/>
          </w:tcPr>
          <w:p>
            <w:pPr>
              <w:jc w:val="center"/>
            </w:pPr>
            <w:r>
              <w:rPr>
                <w:b/>
                <w:color w:val="071827"/>
                <w:sz w:val="30"/>
              </w:rPr>
              <w:t>262.5%</w:t>
            </w:r>
          </w:p>
        </w:tc>
      </w:tr>
    </w:tbl>
    <w:p>
      <w:pPr>
        <w:spacing w:after="0"/>
      </w:pPr>
    </w:p>
    <w:p>
      <w:pPr>
        <w:pStyle w:val="Heading1"/>
      </w:pPr>
      <w:r>
        <w:t>The business model in one view</w:t>
      </w:r>
    </w:p>
    <w:p>
      <w:r>
        <w:drawing>
          <wp:inline xmlns:a="http://schemas.openxmlformats.org/drawingml/2006/main" xmlns:pic="http://schemas.openxmlformats.org/drawingml/2006/picture">
            <wp:extent cx="6400800" cy="2773680"/>
            <wp:docPr id="2" name="Picture 2"/>
            <wp:cNvGraphicFramePr>
              <a:graphicFrameLocks noChangeAspect="1"/>
            </wp:cNvGraphicFramePr>
            <a:graphic>
              <a:graphicData uri="http://schemas.openxmlformats.org/drawingml/2006/picture">
                <pic:pic>
                  <pic:nvPicPr>
                    <pic:cNvPr id="0" name="economic_chain.png"/>
                    <pic:cNvPicPr/>
                  </pic:nvPicPr>
                  <pic:blipFill>
                    <a:blip r:embed="rId12"/>
                    <a:stretch>
                      <a:fillRect/>
                    </a:stretch>
                  </pic:blipFill>
                  <pic:spPr>
                    <a:xfrm>
                      <a:off x="0" y="0"/>
                      <a:ext cx="6400800" cy="2773680"/>
                    </a:xfrm>
                    <a:prstGeom prst="rect"/>
                  </pic:spPr>
                </pic:pic>
              </a:graphicData>
            </a:graphic>
          </wp:inline>
        </w:drawing>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0E2B3B"/>
            <w:vAlign w:val="center"/>
            <w:tcBorders>
              <w:bottom w:val="single" w:sz="8" w:color="D6A13C"/>
            </w:tcBorders>
          </w:tcPr>
          <w:p>
            <w:pPr>
              <w:jc w:val="center"/>
            </w:pPr>
            <w:r>
              <w:rPr>
                <w:b/>
                <w:color w:val="FFFFFF"/>
                <w:sz w:val="16"/>
              </w:rPr>
              <w:t>Stage</w:t>
            </w:r>
          </w:p>
        </w:tc>
        <w:tc>
          <w:tcPr>
            <w:tcW w:type="dxa" w:w="3456"/>
            <w:shd w:fill="0E2B3B"/>
            <w:vAlign w:val="center"/>
            <w:tcBorders>
              <w:bottom w:val="single" w:sz="8" w:color="D6A13C"/>
            </w:tcBorders>
          </w:tcPr>
          <w:p>
            <w:pPr>
              <w:jc w:val="center"/>
            </w:pPr>
            <w:r>
              <w:rPr>
                <w:b/>
                <w:color w:val="FFFFFF"/>
                <w:sz w:val="16"/>
              </w:rPr>
              <w:t>What the customer buys</w:t>
            </w:r>
          </w:p>
        </w:tc>
        <w:tc>
          <w:tcPr>
            <w:tcW w:type="dxa" w:w="2376"/>
            <w:shd w:fill="0E2B3B"/>
            <w:vAlign w:val="center"/>
            <w:tcBorders>
              <w:bottom w:val="single" w:sz="8" w:color="D6A13C"/>
            </w:tcBorders>
          </w:tcPr>
          <w:p>
            <w:pPr>
              <w:jc w:val="center"/>
            </w:pPr>
            <w:r>
              <w:rPr>
                <w:b/>
                <w:color w:val="FFFFFF"/>
                <w:sz w:val="16"/>
              </w:rPr>
              <w:t>Commercial role</w:t>
            </w:r>
          </w:p>
        </w:tc>
        <w:tc>
          <w:tcPr>
            <w:tcW w:type="dxa" w:w="2448"/>
            <w:shd w:fill="0E2B3B"/>
            <w:vAlign w:val="center"/>
            <w:tcBorders>
              <w:bottom w:val="single" w:sz="8" w:color="D6A13C"/>
            </w:tcBorders>
          </w:tcPr>
          <w:p>
            <w:pPr>
              <w:jc w:val="center"/>
            </w:pPr>
            <w:r>
              <w:rPr>
                <w:b/>
                <w:color w:val="FFFFFF"/>
                <w:sz w:val="16"/>
              </w:rPr>
              <w:t>Target economics</w:t>
            </w:r>
          </w:p>
        </w:tc>
      </w:tr>
      <w:tr>
        <w:trPr>
          <w:cantSplit/>
        </w:trPr>
        <w:tc>
          <w:tcPr>
            <w:tcW w:type="dxa" w:w="1944"/>
            <w:vAlign w:val="top"/>
            <w:tcBorders>
              <w:bottom w:val="single" w:sz="2" w:color="D7DFE5"/>
            </w:tcBorders>
          </w:tcPr>
          <w:p>
            <w:pPr>
              <w:spacing w:after="20"/>
            </w:pPr>
            <w:r>
              <w:rPr>
                <w:b/>
                <w:color w:val="071827"/>
                <w:sz w:val="15"/>
              </w:rPr>
              <w:t>Proof Readiness Scan</w:t>
            </w:r>
          </w:p>
        </w:tc>
        <w:tc>
          <w:tcPr>
            <w:tcW w:type="dxa" w:w="3456"/>
            <w:vAlign w:val="top"/>
            <w:tcBorders>
              <w:bottom w:val="single" w:sz="2" w:color="D7DFE5"/>
            </w:tcBorders>
          </w:tcPr>
          <w:p>
            <w:pPr>
              <w:spacing w:after="20"/>
            </w:pPr>
            <w:r>
              <w:rPr>
                <w:color w:val="24313D"/>
                <w:sz w:val="15"/>
              </w:rPr>
              <w:t>Initial Proof Debt and value-at-stake diagnosis</w:t>
            </w:r>
          </w:p>
        </w:tc>
        <w:tc>
          <w:tcPr>
            <w:tcW w:type="dxa" w:w="2376"/>
            <w:vAlign w:val="top"/>
            <w:tcBorders>
              <w:bottom w:val="single" w:sz="2" w:color="D7DFE5"/>
            </w:tcBorders>
          </w:tcPr>
          <w:p>
            <w:pPr>
              <w:spacing w:after="20"/>
            </w:pPr>
            <w:r>
              <w:rPr>
                <w:color w:val="24313D"/>
                <w:sz w:val="15"/>
              </w:rPr>
              <w:t>Acquisition and qualification</w:t>
            </w:r>
          </w:p>
        </w:tc>
        <w:tc>
          <w:tcPr>
            <w:tcW w:type="dxa" w:w="2448"/>
            <w:vAlign w:val="top"/>
            <w:tcBorders>
              <w:bottom w:val="single" w:sz="2" w:color="D7DFE5"/>
            </w:tcBorders>
          </w:tcPr>
          <w:p>
            <w:pPr>
              <w:spacing w:after="20"/>
            </w:pPr>
            <w:r>
              <w:rPr>
                <w:color w:val="24313D"/>
                <w:sz w:val="15"/>
              </w:rPr>
              <w:t>Free–$495; negligible marginal cost</w:t>
            </w:r>
          </w:p>
        </w:tc>
      </w:tr>
      <w:tr>
        <w:trPr>
          <w:cantSplit/>
        </w:trPr>
        <w:tc>
          <w:tcPr>
            <w:tcW w:type="dxa" w:w="1944"/>
            <w:vAlign w:val="top"/>
            <w:shd w:fill="F2F5F7"/>
            <w:tcBorders>
              <w:bottom w:val="single" w:sz="2" w:color="D7DFE5"/>
            </w:tcBorders>
          </w:tcPr>
          <w:p>
            <w:pPr>
              <w:spacing w:after="20"/>
            </w:pPr>
            <w:r>
              <w:rPr>
                <w:b/>
                <w:color w:val="071827"/>
                <w:sz w:val="15"/>
              </w:rPr>
              <w:t>Proof Mission Activation</w:t>
            </w:r>
          </w:p>
        </w:tc>
        <w:tc>
          <w:tcPr>
            <w:tcW w:type="dxa" w:w="3456"/>
            <w:vAlign w:val="top"/>
            <w:shd w:fill="F2F5F7"/>
            <w:tcBorders>
              <w:bottom w:val="single" w:sz="2" w:color="D7DFE5"/>
            </w:tcBorders>
          </w:tcPr>
          <w:p>
            <w:pPr>
              <w:spacing w:after="20"/>
            </w:pPr>
            <w:r>
              <w:rPr>
                <w:color w:val="24313D"/>
                <w:sz w:val="15"/>
              </w:rPr>
              <w:t>Mission Contract, claims matrix, evidence plan, ROI case</w:t>
            </w:r>
          </w:p>
        </w:tc>
        <w:tc>
          <w:tcPr>
            <w:tcW w:type="dxa" w:w="2376"/>
            <w:vAlign w:val="top"/>
            <w:shd w:fill="F2F5F7"/>
            <w:tcBorders>
              <w:bottom w:val="single" w:sz="2" w:color="D7DFE5"/>
            </w:tcBorders>
          </w:tcPr>
          <w:p>
            <w:pPr>
              <w:spacing w:after="20"/>
            </w:pPr>
            <w:r>
              <w:rPr>
                <w:color w:val="24313D"/>
                <w:sz w:val="15"/>
              </w:rPr>
              <w:t>Highest-margin paid front door</w:t>
            </w:r>
          </w:p>
        </w:tc>
        <w:tc>
          <w:tcPr>
            <w:tcW w:type="dxa" w:w="2448"/>
            <w:vAlign w:val="top"/>
            <w:shd w:fill="F2F5F7"/>
            <w:tcBorders>
              <w:bottom w:val="single" w:sz="2" w:color="D7DFE5"/>
            </w:tcBorders>
          </w:tcPr>
          <w:p>
            <w:pPr>
              <w:spacing w:after="20"/>
            </w:pPr>
            <w:r>
              <w:rPr>
                <w:color w:val="24313D"/>
                <w:sz w:val="15"/>
              </w:rPr>
              <w:t>$15K; 93–98% GM hypothesis</w:t>
            </w:r>
          </w:p>
        </w:tc>
      </w:tr>
      <w:tr>
        <w:trPr>
          <w:cantSplit/>
        </w:trPr>
        <w:tc>
          <w:tcPr>
            <w:tcW w:type="dxa" w:w="1944"/>
            <w:vAlign w:val="top"/>
            <w:tcBorders>
              <w:bottom w:val="single" w:sz="2" w:color="D7DFE5"/>
            </w:tcBorders>
          </w:tcPr>
          <w:p>
            <w:pPr>
              <w:spacing w:after="20"/>
            </w:pPr>
            <w:r>
              <w:rPr>
                <w:b/>
                <w:color w:val="071827"/>
                <w:sz w:val="15"/>
              </w:rPr>
              <w:t>GoalOS Proof Mission</w:t>
            </w:r>
          </w:p>
        </w:tc>
        <w:tc>
          <w:tcPr>
            <w:tcW w:type="dxa" w:w="3456"/>
            <w:vAlign w:val="top"/>
            <w:tcBorders>
              <w:bottom w:val="single" w:sz="2" w:color="D7DFE5"/>
            </w:tcBorders>
          </w:tcPr>
          <w:p>
            <w:pPr>
              <w:spacing w:after="20"/>
            </w:pPr>
            <w:r>
              <w:rPr>
                <w:color w:val="24313D"/>
                <w:sz w:val="15"/>
              </w:rPr>
              <w:t>Executed work, Evidence Docket, review, governed decision</w:t>
            </w:r>
          </w:p>
        </w:tc>
        <w:tc>
          <w:tcPr>
            <w:tcW w:type="dxa" w:w="2376"/>
            <w:vAlign w:val="top"/>
            <w:tcBorders>
              <w:bottom w:val="single" w:sz="2" w:color="D7DFE5"/>
            </w:tcBorders>
          </w:tcPr>
          <w:p>
            <w:pPr>
              <w:spacing w:after="20"/>
            </w:pPr>
            <w:r>
              <w:rPr>
                <w:color w:val="24313D"/>
                <w:sz w:val="15"/>
              </w:rPr>
              <w:t>Creates customer value and capability</w:t>
            </w:r>
          </w:p>
        </w:tc>
        <w:tc>
          <w:tcPr>
            <w:tcW w:type="dxa" w:w="2448"/>
            <w:vAlign w:val="top"/>
            <w:tcBorders>
              <w:bottom w:val="single" w:sz="2" w:color="D7DFE5"/>
            </w:tcBorders>
          </w:tcPr>
          <w:p>
            <w:pPr>
              <w:spacing w:after="20"/>
            </w:pPr>
            <w:r>
              <w:rPr>
                <w:color w:val="24313D"/>
                <w:sz w:val="15"/>
              </w:rPr>
              <w:t>$50K–$150K; 70–80% GM</w:t>
            </w:r>
          </w:p>
        </w:tc>
      </w:tr>
      <w:tr>
        <w:trPr>
          <w:cantSplit/>
        </w:trPr>
        <w:tc>
          <w:tcPr>
            <w:tcW w:type="dxa" w:w="1944"/>
            <w:vAlign w:val="top"/>
            <w:shd w:fill="F2F5F7"/>
            <w:tcBorders>
              <w:bottom w:val="single" w:sz="2" w:color="D7DFE5"/>
            </w:tcBorders>
          </w:tcPr>
          <w:p>
            <w:pPr>
              <w:spacing w:after="20"/>
            </w:pPr>
            <w:r>
              <w:rPr>
                <w:b/>
                <w:color w:val="071827"/>
                <w:sz w:val="15"/>
              </w:rPr>
              <w:t>GoalOS Proof Office</w:t>
            </w:r>
          </w:p>
        </w:tc>
        <w:tc>
          <w:tcPr>
            <w:tcW w:type="dxa" w:w="3456"/>
            <w:vAlign w:val="top"/>
            <w:shd w:fill="F2F5F7"/>
            <w:tcBorders>
              <w:bottom w:val="single" w:sz="2" w:color="D7DFE5"/>
            </w:tcBorders>
          </w:tcPr>
          <w:p>
            <w:pPr>
              <w:spacing w:after="20"/>
            </w:pPr>
            <w:r>
              <w:rPr>
                <w:color w:val="24313D"/>
                <w:sz w:val="15"/>
              </w:rPr>
              <w:t>Continuous evidence, Chronicle, monitoring, board reporting</w:t>
            </w:r>
          </w:p>
        </w:tc>
        <w:tc>
          <w:tcPr>
            <w:tcW w:type="dxa" w:w="2376"/>
            <w:vAlign w:val="top"/>
            <w:shd w:fill="F2F5F7"/>
            <w:tcBorders>
              <w:bottom w:val="single" w:sz="2" w:color="D7DFE5"/>
            </w:tcBorders>
          </w:tcPr>
          <w:p>
            <w:pPr>
              <w:spacing w:after="20"/>
            </w:pPr>
            <w:r>
              <w:rPr>
                <w:color w:val="24313D"/>
                <w:sz w:val="15"/>
              </w:rPr>
              <w:t>Recurring enterprise relationship</w:t>
            </w:r>
          </w:p>
        </w:tc>
        <w:tc>
          <w:tcPr>
            <w:tcW w:type="dxa" w:w="2448"/>
            <w:vAlign w:val="top"/>
            <w:shd w:fill="F2F5F7"/>
            <w:tcBorders>
              <w:bottom w:val="single" w:sz="2" w:color="D7DFE5"/>
            </w:tcBorders>
          </w:tcPr>
          <w:p>
            <w:pPr>
              <w:spacing w:after="20"/>
            </w:pPr>
            <w:r>
              <w:rPr>
                <w:color w:val="24313D"/>
                <w:sz w:val="15"/>
              </w:rPr>
              <w:t>$15K–$50K/month; 75–90% GM</w:t>
            </w:r>
          </w:p>
        </w:tc>
      </w:tr>
      <w:tr>
        <w:trPr>
          <w:cantSplit/>
        </w:trPr>
        <w:tc>
          <w:tcPr>
            <w:tcW w:type="dxa" w:w="1944"/>
            <w:vAlign w:val="top"/>
            <w:tcBorders>
              <w:bottom w:val="single" w:sz="2" w:color="D7DFE5"/>
            </w:tcBorders>
          </w:tcPr>
          <w:p>
            <w:pPr>
              <w:spacing w:after="20"/>
            </w:pPr>
            <w:r>
              <w:rPr>
                <w:b/>
                <w:color w:val="071827"/>
                <w:sz w:val="15"/>
              </w:rPr>
              <w:t>Protected Capability Invocation</w:t>
            </w:r>
          </w:p>
        </w:tc>
        <w:tc>
          <w:tcPr>
            <w:tcW w:type="dxa" w:w="3456"/>
            <w:vAlign w:val="top"/>
            <w:tcBorders>
              <w:bottom w:val="single" w:sz="2" w:color="D7DFE5"/>
            </w:tcBorders>
          </w:tcPr>
          <w:p>
            <w:pPr>
              <w:spacing w:after="20"/>
            </w:pPr>
            <w:r>
              <w:rPr>
                <w:color w:val="24313D"/>
                <w:sz w:val="15"/>
              </w:rPr>
              <w:t>Authorized use of private Chronicle-admitted capability</w:t>
            </w:r>
          </w:p>
        </w:tc>
        <w:tc>
          <w:tcPr>
            <w:tcW w:type="dxa" w:w="2376"/>
            <w:vAlign w:val="top"/>
            <w:tcBorders>
              <w:bottom w:val="single" w:sz="2" w:color="D7DFE5"/>
            </w:tcBorders>
          </w:tcPr>
          <w:p>
            <w:pPr>
              <w:spacing w:after="20"/>
            </w:pPr>
            <w:r>
              <w:rPr>
                <w:color w:val="24313D"/>
                <w:sz w:val="15"/>
              </w:rPr>
              <w:t>Software-scale usage revenue</w:t>
            </w:r>
          </w:p>
        </w:tc>
        <w:tc>
          <w:tcPr>
            <w:tcW w:type="dxa" w:w="2448"/>
            <w:vAlign w:val="top"/>
            <w:tcBorders>
              <w:bottom w:val="single" w:sz="2" w:color="D7DFE5"/>
            </w:tcBorders>
          </w:tcPr>
          <w:p>
            <w:pPr>
              <w:spacing w:after="20"/>
            </w:pPr>
            <w:r>
              <w:rPr>
                <w:color w:val="24313D"/>
                <w:sz w:val="15"/>
              </w:rPr>
              <w:t>90%+ mature GM</w:t>
            </w:r>
          </w:p>
        </w:tc>
      </w:tr>
      <w:tr>
        <w:trPr>
          <w:cantSplit/>
        </w:trPr>
        <w:tc>
          <w:tcPr>
            <w:tcW w:type="dxa" w:w="1944"/>
            <w:vAlign w:val="top"/>
            <w:shd w:fill="F2F5F7"/>
            <w:tcBorders>
              <w:bottom w:val="single" w:sz="2" w:color="D7DFE5"/>
            </w:tcBorders>
          </w:tcPr>
          <w:p>
            <w:pPr>
              <w:spacing w:after="20"/>
            </w:pPr>
            <w:r>
              <w:rPr>
                <w:b/>
                <w:color w:val="071827"/>
                <w:sz w:val="15"/>
              </w:rPr>
              <w:t>AGI Jobs / Validator Network</w:t>
            </w:r>
          </w:p>
        </w:tc>
        <w:tc>
          <w:tcPr>
            <w:tcW w:type="dxa" w:w="3456"/>
            <w:vAlign w:val="top"/>
            <w:shd w:fill="F2F5F7"/>
            <w:tcBorders>
              <w:bottom w:val="single" w:sz="2" w:color="D7DFE5"/>
            </w:tcBorders>
          </w:tcPr>
          <w:p>
            <w:pPr>
              <w:spacing w:after="20"/>
            </w:pPr>
            <w:r>
              <w:rPr>
                <w:color w:val="24313D"/>
                <w:sz w:val="15"/>
              </w:rPr>
              <w:t>Bounded execution and independent validation</w:t>
            </w:r>
          </w:p>
        </w:tc>
        <w:tc>
          <w:tcPr>
            <w:tcW w:type="dxa" w:w="2376"/>
            <w:vAlign w:val="top"/>
            <w:shd w:fill="F2F5F7"/>
            <w:tcBorders>
              <w:bottom w:val="single" w:sz="2" w:color="D7DFE5"/>
            </w:tcBorders>
          </w:tcPr>
          <w:p>
            <w:pPr>
              <w:spacing w:after="20"/>
            </w:pPr>
            <w:r>
              <w:rPr>
                <w:color w:val="24313D"/>
                <w:sz w:val="15"/>
              </w:rPr>
              <w:t>Network and settlement economics</w:t>
            </w:r>
          </w:p>
        </w:tc>
        <w:tc>
          <w:tcPr>
            <w:tcW w:type="dxa" w:w="2448"/>
            <w:vAlign w:val="top"/>
            <w:shd w:fill="F2F5F7"/>
            <w:tcBorders>
              <w:bottom w:val="single" w:sz="2" w:color="D7DFE5"/>
            </w:tcBorders>
          </w:tcPr>
          <w:p>
            <w:pPr>
              <w:spacing w:after="20"/>
            </w:pPr>
            <w:r>
              <w:rPr>
                <w:color w:val="24313D"/>
                <w:sz w:val="15"/>
              </w:rPr>
              <w:t>10–20% take-rate architecture</w:t>
            </w:r>
          </w:p>
        </w:tc>
      </w:tr>
    </w:tbl>
    <w:p>
      <w:pPr>
        <w:spacing w:after="0"/>
      </w:pPr>
    </w:p>
    <w:p>
      <w:pPr>
        <w:pStyle w:val="Heading1"/>
      </w:pPr>
      <w:r>
        <w:t>Who should buy first</w:t>
      </w:r>
    </w:p>
    <w:p>
      <w:r>
        <w:t>The initial ideal customer is an AI vendor or enterprise AI team with a consequential claim, deployment, procurement path or contract worth at least $250,000—where insufficient evidence is delaying revenue, approval, deployment or capital.</w:t>
      </w:r>
    </w:p>
    <w:p>
      <w:pPr>
        <w:pStyle w:val="ListBullet"/>
        <w:spacing w:after="40"/>
      </w:pPr>
      <w:r>
        <w:t>Executive sponsor with authority, budget and a decision deadline.</w:t>
      </w:r>
    </w:p>
    <w:p>
      <w:pPr>
        <w:pStyle w:val="ListBullet"/>
        <w:spacing w:after="40"/>
      </w:pPr>
      <w:r>
        <w:t>Conservative value at stake at least four times the first-year GoalOS fee.</w:t>
      </w:r>
    </w:p>
    <w:p>
      <w:pPr>
        <w:pStyle w:val="ListBullet"/>
        <w:spacing w:after="40"/>
      </w:pPr>
      <w:r>
        <w:t>Digital inputs that can be securely provided and explicit acceptance criteria.</w:t>
      </w:r>
    </w:p>
    <w:p>
      <w:pPr>
        <w:pStyle w:val="ListBullet"/>
        <w:spacing w:after="40"/>
      </w:pPr>
      <w:r>
        <w:t>A recurring evidence, governance, monitoring or commercial need after the first mission.</w:t>
      </w:r>
    </w:p>
    <w:p>
      <w:pPr>
        <w:pStyle w:val="ListBullet"/>
        <w:spacing w:after="40"/>
      </w:pPr>
      <w:r>
        <w:t>Rights that allow at least customer-private capability retention; network learning is priced separately.</w:t>
      </w:r>
    </w:p>
    <w:p>
      <w:pPr>
        <w:pStyle w:val="Heading1"/>
      </w:pPr>
      <w:r>
        <w:t>Illustrative complete-customer economics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4032"/>
            <w:shd w:fill="0E2B3B"/>
            <w:vAlign w:val="center"/>
            <w:tcBorders>
              <w:bottom w:val="single" w:sz="8" w:color="D6A13C"/>
            </w:tcBorders>
          </w:tcPr>
          <w:p>
            <w:pPr>
              <w:jc w:val="center"/>
            </w:pPr>
            <w:r>
              <w:rPr>
                <w:b/>
                <w:color w:val="FFFFFF"/>
                <w:sz w:val="18"/>
              </w:rPr>
              <w:t>Revenue component</w:t>
            </w:r>
          </w:p>
        </w:tc>
        <w:tc>
          <w:tcPr>
            <w:tcW w:type="dxa" w:w="1872"/>
            <w:shd w:fill="0E2B3B"/>
            <w:vAlign w:val="center"/>
            <w:tcBorders>
              <w:bottom w:val="single" w:sz="8" w:color="D6A13C"/>
            </w:tcBorders>
          </w:tcPr>
          <w:p>
            <w:pPr>
              <w:jc w:val="center"/>
            </w:pPr>
            <w:r>
              <w:rPr>
                <w:b/>
                <w:color w:val="FFFFFF"/>
                <w:sz w:val="18"/>
              </w:rPr>
              <w:t>Revenue</w:t>
            </w:r>
          </w:p>
        </w:tc>
        <w:tc>
          <w:tcPr>
            <w:tcW w:type="dxa" w:w="1872"/>
            <w:shd w:fill="0E2B3B"/>
            <w:vAlign w:val="center"/>
            <w:tcBorders>
              <w:bottom w:val="single" w:sz="8" w:color="D6A13C"/>
            </w:tcBorders>
          </w:tcPr>
          <w:p>
            <w:pPr>
              <w:jc w:val="center"/>
            </w:pPr>
            <w:r>
              <w:rPr>
                <w:b/>
                <w:color w:val="FFFFFF"/>
                <w:sz w:val="18"/>
              </w:rPr>
              <w:t>Direct cost</w:t>
            </w:r>
          </w:p>
        </w:tc>
        <w:tc>
          <w:tcPr>
            <w:tcW w:type="dxa" w:w="2016"/>
            <w:shd w:fill="0E2B3B"/>
            <w:vAlign w:val="center"/>
            <w:tcBorders>
              <w:bottom w:val="single" w:sz="8" w:color="D6A13C"/>
            </w:tcBorders>
          </w:tcPr>
          <w:p>
            <w:pPr>
              <w:jc w:val="center"/>
            </w:pPr>
            <w:r>
              <w:rPr>
                <w:b/>
                <w:color w:val="FFFFFF"/>
                <w:sz w:val="18"/>
              </w:rPr>
              <w:t>Gross profit</w:t>
            </w:r>
          </w:p>
        </w:tc>
      </w:tr>
      <w:tr>
        <w:trPr>
          <w:cantSplit/>
        </w:trPr>
        <w:tc>
          <w:tcPr>
            <w:tcW w:type="dxa" w:w="4032"/>
            <w:vAlign w:val="top"/>
            <w:tcBorders>
              <w:bottom w:val="single" w:sz="2" w:color="D7DFE5"/>
            </w:tcBorders>
          </w:tcPr>
          <w:p>
            <w:pPr>
              <w:spacing w:after="20"/>
            </w:pPr>
            <w:r>
              <w:rPr>
                <w:b/>
                <w:color w:val="071827"/>
                <w:sz w:val="17"/>
              </w:rPr>
              <w:t>Proof Mission Activation</w:t>
            </w:r>
          </w:p>
        </w:tc>
        <w:tc>
          <w:tcPr>
            <w:tcW w:type="dxa" w:w="1872"/>
            <w:vAlign w:val="top"/>
            <w:tcBorders>
              <w:bottom w:val="single" w:sz="2" w:color="D7DFE5"/>
            </w:tcBorders>
          </w:tcPr>
          <w:p>
            <w:pPr>
              <w:spacing w:after="20"/>
            </w:pPr>
            <w:r>
              <w:rPr>
                <w:color w:val="24313D"/>
                <w:sz w:val="17"/>
              </w:rPr>
              <w:t>$15,000</w:t>
            </w:r>
          </w:p>
        </w:tc>
        <w:tc>
          <w:tcPr>
            <w:tcW w:type="dxa" w:w="1872"/>
            <w:vAlign w:val="top"/>
            <w:tcBorders>
              <w:bottom w:val="single" w:sz="2" w:color="D7DFE5"/>
            </w:tcBorders>
          </w:tcPr>
          <w:p>
            <w:pPr>
              <w:spacing w:after="20"/>
            </w:pPr>
            <w:r>
              <w:rPr>
                <w:color w:val="24313D"/>
                <w:sz w:val="17"/>
              </w:rPr>
              <w:t>$500</w:t>
            </w:r>
          </w:p>
        </w:tc>
        <w:tc>
          <w:tcPr>
            <w:tcW w:type="dxa" w:w="2016"/>
            <w:vAlign w:val="top"/>
            <w:tcBorders>
              <w:bottom w:val="single" w:sz="2" w:color="D7DFE5"/>
            </w:tcBorders>
          </w:tcPr>
          <w:p>
            <w:pPr>
              <w:spacing w:after="20"/>
            </w:pPr>
            <w:r>
              <w:rPr>
                <w:color w:val="24313D"/>
                <w:sz w:val="17"/>
              </w:rPr>
              <w:t>$14,500</w:t>
            </w:r>
          </w:p>
        </w:tc>
      </w:tr>
      <w:tr>
        <w:trPr>
          <w:cantSplit/>
        </w:trPr>
        <w:tc>
          <w:tcPr>
            <w:tcW w:type="dxa" w:w="4032"/>
            <w:vAlign w:val="top"/>
            <w:shd w:fill="F2F5F7"/>
            <w:tcBorders>
              <w:bottom w:val="single" w:sz="2" w:color="D7DFE5"/>
            </w:tcBorders>
          </w:tcPr>
          <w:p>
            <w:pPr>
              <w:spacing w:after="20"/>
            </w:pPr>
            <w:r>
              <w:rPr>
                <w:b/>
                <w:color w:val="071827"/>
                <w:sz w:val="17"/>
              </w:rPr>
              <w:t>Proof Mission</w:t>
            </w:r>
          </w:p>
        </w:tc>
        <w:tc>
          <w:tcPr>
            <w:tcW w:type="dxa" w:w="1872"/>
            <w:vAlign w:val="top"/>
            <w:shd w:fill="F2F5F7"/>
            <w:tcBorders>
              <w:bottom w:val="single" w:sz="2" w:color="D7DFE5"/>
            </w:tcBorders>
          </w:tcPr>
          <w:p>
            <w:pPr>
              <w:spacing w:after="20"/>
            </w:pPr>
            <w:r>
              <w:rPr>
                <w:color w:val="24313D"/>
                <w:sz w:val="17"/>
              </w:rPr>
              <w:t>$75,000</w:t>
            </w:r>
          </w:p>
        </w:tc>
        <w:tc>
          <w:tcPr>
            <w:tcW w:type="dxa" w:w="1872"/>
            <w:vAlign w:val="top"/>
            <w:shd w:fill="F2F5F7"/>
            <w:tcBorders>
              <w:bottom w:val="single" w:sz="2" w:color="D7DFE5"/>
            </w:tcBorders>
          </w:tcPr>
          <w:p>
            <w:pPr>
              <w:spacing w:after="20"/>
            </w:pPr>
            <w:r>
              <w:rPr>
                <w:color w:val="24313D"/>
                <w:sz w:val="17"/>
              </w:rPr>
              <w:t>$18,750</w:t>
            </w:r>
          </w:p>
        </w:tc>
        <w:tc>
          <w:tcPr>
            <w:tcW w:type="dxa" w:w="2016"/>
            <w:vAlign w:val="top"/>
            <w:shd w:fill="F2F5F7"/>
            <w:tcBorders>
              <w:bottom w:val="single" w:sz="2" w:color="D7DFE5"/>
            </w:tcBorders>
          </w:tcPr>
          <w:p>
            <w:pPr>
              <w:spacing w:after="20"/>
            </w:pPr>
            <w:r>
              <w:rPr>
                <w:color w:val="24313D"/>
                <w:sz w:val="17"/>
              </w:rPr>
              <w:t>$56,250</w:t>
            </w:r>
          </w:p>
        </w:tc>
      </w:tr>
      <w:tr>
        <w:trPr>
          <w:cantSplit/>
        </w:trPr>
        <w:tc>
          <w:tcPr>
            <w:tcW w:type="dxa" w:w="4032"/>
            <w:vAlign w:val="top"/>
            <w:tcBorders>
              <w:bottom w:val="single" w:sz="2" w:color="D7DFE5"/>
            </w:tcBorders>
          </w:tcPr>
          <w:p>
            <w:pPr>
              <w:spacing w:after="20"/>
            </w:pPr>
            <w:r>
              <w:rPr>
                <w:b/>
                <w:color w:val="071827"/>
                <w:sz w:val="17"/>
              </w:rPr>
              <w:t>Proof Office - 12 months</w:t>
            </w:r>
          </w:p>
        </w:tc>
        <w:tc>
          <w:tcPr>
            <w:tcW w:type="dxa" w:w="1872"/>
            <w:vAlign w:val="top"/>
            <w:tcBorders>
              <w:bottom w:val="single" w:sz="2" w:color="D7DFE5"/>
            </w:tcBorders>
          </w:tcPr>
          <w:p>
            <w:pPr>
              <w:spacing w:after="20"/>
            </w:pPr>
            <w:r>
              <w:rPr>
                <w:color w:val="24313D"/>
                <w:sz w:val="17"/>
              </w:rPr>
              <w:t>$216,000</w:t>
            </w:r>
          </w:p>
        </w:tc>
        <w:tc>
          <w:tcPr>
            <w:tcW w:type="dxa" w:w="1872"/>
            <w:vAlign w:val="top"/>
            <w:tcBorders>
              <w:bottom w:val="single" w:sz="2" w:color="D7DFE5"/>
            </w:tcBorders>
          </w:tcPr>
          <w:p>
            <w:pPr>
              <w:spacing w:after="20"/>
            </w:pPr>
            <w:r>
              <w:rPr>
                <w:color w:val="24313D"/>
                <w:sz w:val="17"/>
              </w:rPr>
              <w:t>$43,200</w:t>
            </w:r>
          </w:p>
        </w:tc>
        <w:tc>
          <w:tcPr>
            <w:tcW w:type="dxa" w:w="2016"/>
            <w:vAlign w:val="top"/>
            <w:tcBorders>
              <w:bottom w:val="single" w:sz="2" w:color="D7DFE5"/>
            </w:tcBorders>
          </w:tcPr>
          <w:p>
            <w:pPr>
              <w:spacing w:after="20"/>
            </w:pPr>
            <w:r>
              <w:rPr>
                <w:color w:val="24313D"/>
                <w:sz w:val="17"/>
              </w:rPr>
              <w:t>$172,800</w:t>
            </w:r>
          </w:p>
        </w:tc>
      </w:tr>
      <w:tr>
        <w:trPr>
          <w:cantSplit/>
        </w:trPr>
        <w:tc>
          <w:tcPr>
            <w:tcW w:type="dxa" w:w="4032"/>
            <w:vAlign w:val="top"/>
            <w:shd w:fill="F2F5F7"/>
            <w:tcBorders>
              <w:bottom w:val="single" w:sz="2" w:color="D7DFE5"/>
            </w:tcBorders>
          </w:tcPr>
          <w:p>
            <w:pPr>
              <w:spacing w:after="20"/>
            </w:pPr>
            <w:r>
              <w:rPr>
                <w:b/>
                <w:color w:val="071827"/>
                <w:sz w:val="17"/>
              </w:rPr>
              <w:t>Protected invocation / validation</w:t>
            </w:r>
          </w:p>
        </w:tc>
        <w:tc>
          <w:tcPr>
            <w:tcW w:type="dxa" w:w="1872"/>
            <w:vAlign w:val="top"/>
            <w:shd w:fill="F2F5F7"/>
            <w:tcBorders>
              <w:bottom w:val="single" w:sz="2" w:color="D7DFE5"/>
            </w:tcBorders>
          </w:tcPr>
          <w:p>
            <w:pPr>
              <w:spacing w:after="20"/>
            </w:pPr>
            <w:r>
              <w:rPr>
                <w:color w:val="24313D"/>
                <w:sz w:val="17"/>
              </w:rPr>
              <w:t>$25,000</w:t>
            </w:r>
          </w:p>
        </w:tc>
        <w:tc>
          <w:tcPr>
            <w:tcW w:type="dxa" w:w="1872"/>
            <w:vAlign w:val="top"/>
            <w:shd w:fill="F2F5F7"/>
            <w:tcBorders>
              <w:bottom w:val="single" w:sz="2" w:color="D7DFE5"/>
            </w:tcBorders>
          </w:tcPr>
          <w:p>
            <w:pPr>
              <w:spacing w:after="20"/>
            </w:pPr>
            <w:r>
              <w:rPr>
                <w:color w:val="24313D"/>
                <w:sz w:val="17"/>
              </w:rPr>
              <w:t>$2,500</w:t>
            </w:r>
          </w:p>
        </w:tc>
        <w:tc>
          <w:tcPr>
            <w:tcW w:type="dxa" w:w="2016"/>
            <w:vAlign w:val="top"/>
            <w:shd w:fill="F2F5F7"/>
            <w:tcBorders>
              <w:bottom w:val="single" w:sz="2" w:color="D7DFE5"/>
            </w:tcBorders>
          </w:tcPr>
          <w:p>
            <w:pPr>
              <w:spacing w:after="20"/>
            </w:pPr>
            <w:r>
              <w:rPr>
                <w:color w:val="24313D"/>
                <w:sz w:val="17"/>
              </w:rPr>
              <w:t>$22,500</w:t>
            </w:r>
          </w:p>
        </w:tc>
      </w:tr>
      <w:tr>
        <w:trPr>
          <w:cantSplit/>
        </w:trPr>
        <w:tc>
          <w:tcPr>
            <w:tcW w:type="dxa" w:w="4032"/>
            <w:vAlign w:val="top"/>
            <w:tcBorders>
              <w:bottom w:val="single" w:sz="2" w:color="D7DFE5"/>
            </w:tcBorders>
          </w:tcPr>
          <w:p>
            <w:pPr>
              <w:spacing w:after="20"/>
            </w:pPr>
            <w:r>
              <w:rPr>
                <w:b/>
                <w:color w:val="071827"/>
                <w:sz w:val="17"/>
              </w:rPr>
              <w:t>Total first-year relationship</w:t>
            </w:r>
          </w:p>
        </w:tc>
        <w:tc>
          <w:tcPr>
            <w:tcW w:type="dxa" w:w="1872"/>
            <w:vAlign w:val="top"/>
            <w:tcBorders>
              <w:bottom w:val="single" w:sz="2" w:color="D7DFE5"/>
            </w:tcBorders>
          </w:tcPr>
          <w:p>
            <w:pPr>
              <w:spacing w:after="20"/>
            </w:pPr>
            <w:r>
              <w:rPr>
                <w:color w:val="24313D"/>
                <w:sz w:val="17"/>
              </w:rPr>
              <w:t>$331,000</w:t>
            </w:r>
          </w:p>
        </w:tc>
        <w:tc>
          <w:tcPr>
            <w:tcW w:type="dxa" w:w="1872"/>
            <w:vAlign w:val="top"/>
            <w:tcBorders>
              <w:bottom w:val="single" w:sz="2" w:color="D7DFE5"/>
            </w:tcBorders>
          </w:tcPr>
          <w:p>
            <w:pPr>
              <w:spacing w:after="20"/>
            </w:pPr>
            <w:r>
              <w:rPr>
                <w:color w:val="24313D"/>
                <w:sz w:val="17"/>
              </w:rPr>
              <w:t>$64,950</w:t>
            </w:r>
          </w:p>
        </w:tc>
        <w:tc>
          <w:tcPr>
            <w:tcW w:type="dxa" w:w="2016"/>
            <w:vAlign w:val="top"/>
            <w:tcBorders>
              <w:bottom w:val="single" w:sz="2" w:color="D7DFE5"/>
            </w:tcBorders>
          </w:tcPr>
          <w:p>
            <w:pPr>
              <w:spacing w:after="20"/>
            </w:pPr>
            <w:r>
              <w:rPr>
                <w:color w:val="24313D"/>
                <w:sz w:val="17"/>
              </w:rPr>
              <w:t>$266,050</w:t>
            </w:r>
          </w:p>
        </w:tc>
      </w:tr>
    </w:tbl>
    <w:p>
      <w:pPr>
        <w:spacing w:after="0"/>
      </w:pPr>
    </w:p>
    <w:p>
      <w:r>
        <w:t>Illustrative GoalOS gross margin: 80.4%. If the customer realizes $1.2M of conservatively attributable value, illustrative customer ROI is approximately 262.5%. These figures are management hypotheses and must be validated through paid missions.</w:t>
      </w:r>
    </w:p>
    <w:p>
      <w:pPr>
        <w:pStyle w:val="Heading1"/>
      </w:pPr>
      <w:r>
        <w:t>The autonomous commercial standard lane</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meta_flywheel.png"/>
                    <pic:cNvPicPr/>
                  </pic:nvPicPr>
                  <pic:blipFill>
                    <a:blip r:embed="rId13"/>
                    <a:stretch>
                      <a:fillRect/>
                    </a:stretch>
                  </pic:blipFill>
                  <pic:spPr>
                    <a:xfrm>
                      <a:off x="0" y="0"/>
                      <a:ext cx="5303520" cy="5303520"/>
                    </a:xfrm>
                    <a:prstGeom prst="rect"/>
                  </pic:spPr>
                </pic:pic>
              </a:graphicData>
            </a:graphic>
          </wp:inline>
        </w:drawing>
      </w:r>
    </w:p>
    <w:p>
      <w:r>
        <w:t>A standard customer should be able to diagnose, qualify, inspect, purchase, sign, pay, onboard, receive the mission, activate the Proof Office and renew without a MONTREAL.AI salesperson. Humans remain constitutional authorities for policy, exception risk, major claims, legal boundaries and emergency recovery—not routine transaction operators.</w:t>
      </w:r>
    </w:p>
    <w:tbl>
      <w:tblPr>
        <w:tblW w:type="auto" w:w="0"/>
        <w:jc w:val="center"/>
        <w:tblLayout w:type="fixed"/>
        <w:tblLook w:firstColumn="1" w:firstRow="1" w:lastColumn="0" w:lastRow="0" w:noHBand="0" w:noVBand="1" w:val="04A0"/>
      </w:tblPr>
      <w:tblGrid>
        <w:gridCol w:w="9936"/>
      </w:tblGrid>
      <w:tr>
        <w:tc>
          <w:tcPr>
            <w:tcW w:type="dxa" w:w="10166"/>
            <w:shd w:fill="E8EEF2"/>
            <w:tcBorders>
              <w:top w:val="single" w:sz="4" w:color="2CB6A6"/>
              <w:left w:val="single" w:sz="18" w:color="2CB6A6"/>
              <w:bottom w:val="single" w:sz="4" w:color="2CB6A6"/>
              <w:right w:val="single" w:sz="4" w:color="2CB6A6"/>
            </w:tcBorders>
          </w:tcPr>
          <w:p>
            <w:pPr>
              <w:pStyle w:val="QuoteGoalOS"/>
              <w:jc w:val="left"/>
            </w:pPr>
            <w:r>
              <w:t>Commercial autonomy standard: zero seller-side minutes for the standard lane; 100% evidence-backed claims; zero pricing below margin floor; zero unpriced scope; zero renewal without verified continuing value.</w:t>
            </w:r>
          </w:p>
        </w:tc>
      </w:tr>
    </w:tbl>
    <w:p>
      <w:pPr>
        <w:spacing w:after="0"/>
      </w:pPr>
    </w:p>
    <w:p>
      <w:pPr>
        <w:pStyle w:val="Heading1"/>
      </w:pPr>
      <w:r>
        <w:t>90-day mandate</w:t>
      </w:r>
    </w:p>
    <w:p>
      <w:r>
        <w:drawing>
          <wp:inline xmlns:a="http://schemas.openxmlformats.org/drawingml/2006/main" xmlns:pic="http://schemas.openxmlformats.org/drawingml/2006/picture">
            <wp:extent cx="6400800" cy="2631440"/>
            <wp:docPr id="4" name="Picture 4"/>
            <wp:cNvGraphicFramePr>
              <a:graphicFrameLocks noChangeAspect="1"/>
            </wp:cNvGraphicFramePr>
            <a:graphic>
              <a:graphicData uri="http://schemas.openxmlformats.org/drawingml/2006/picture">
                <pic:pic>
                  <pic:nvPicPr>
                    <pic:cNvPr id="0" name="90_day_path.png"/>
                    <pic:cNvPicPr/>
                  </pic:nvPicPr>
                  <pic:blipFill>
                    <a:blip r:embed="rId14"/>
                    <a:stretch>
                      <a:fillRect/>
                    </a:stretch>
                  </pic:blipFill>
                  <pic:spPr>
                    <a:xfrm>
                      <a:off x="0" y="0"/>
                      <a:ext cx="6400800" cy="2631440"/>
                    </a:xfrm>
                    <a:prstGeom prst="rect"/>
                  </pic:spPr>
                </pic:pic>
              </a:graphicData>
            </a:graphic>
          </wp:inline>
        </w:drawing>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0E2B3B"/>
            <w:vAlign w:val="center"/>
            <w:tcBorders>
              <w:bottom w:val="single" w:sz="8" w:color="D6A13C"/>
            </w:tcBorders>
          </w:tcPr>
          <w:p>
            <w:pPr>
              <w:jc w:val="center"/>
            </w:pPr>
            <w:r>
              <w:rPr>
                <w:b/>
                <w:color w:val="FFFFFF"/>
                <w:sz w:val="18"/>
              </w:rPr>
              <w:t>Gate</w:t>
            </w:r>
          </w:p>
        </w:tc>
        <w:tc>
          <w:tcPr>
            <w:tcW w:type="dxa" w:w="7200"/>
            <w:shd w:fill="0E2B3B"/>
            <w:vAlign w:val="center"/>
            <w:tcBorders>
              <w:bottom w:val="single" w:sz="8" w:color="D6A13C"/>
            </w:tcBorders>
          </w:tcPr>
          <w:p>
            <w:pPr>
              <w:jc w:val="center"/>
            </w:pPr>
            <w:r>
              <w:rPr>
                <w:b/>
                <w:color w:val="FFFFFF"/>
                <w:sz w:val="18"/>
              </w:rPr>
              <w:t>90-day target</w:t>
            </w:r>
          </w:p>
        </w:tc>
      </w:tr>
      <w:tr>
        <w:trPr>
          <w:cantSplit/>
        </w:trPr>
        <w:tc>
          <w:tcPr>
            <w:tcW w:type="dxa" w:w="2880"/>
            <w:vAlign w:val="top"/>
            <w:tcBorders>
              <w:bottom w:val="single" w:sz="2" w:color="D7DFE5"/>
            </w:tcBorders>
          </w:tcPr>
          <w:p>
            <w:pPr>
              <w:spacing w:after="20"/>
            </w:pPr>
            <w:r>
              <w:rPr>
                <w:b/>
                <w:color w:val="071827"/>
                <w:sz w:val="17"/>
              </w:rPr>
              <w:t>Paying customers</w:t>
            </w:r>
          </w:p>
        </w:tc>
        <w:tc>
          <w:tcPr>
            <w:tcW w:type="dxa" w:w="7200"/>
            <w:vAlign w:val="top"/>
            <w:tcBorders>
              <w:bottom w:val="single" w:sz="2" w:color="D7DFE5"/>
            </w:tcBorders>
          </w:tcPr>
          <w:p>
            <w:pPr>
              <w:spacing w:after="20"/>
            </w:pPr>
            <w:r>
              <w:rPr>
                <w:color w:val="24313D"/>
                <w:sz w:val="17"/>
              </w:rPr>
              <w:t>3 unrelated customers purchasing substantially identical missions</w:t>
            </w:r>
          </w:p>
        </w:tc>
      </w:tr>
      <w:tr>
        <w:trPr>
          <w:cantSplit/>
        </w:trPr>
        <w:tc>
          <w:tcPr>
            <w:tcW w:type="dxa" w:w="2880"/>
            <w:vAlign w:val="top"/>
            <w:shd w:fill="F2F5F7"/>
            <w:tcBorders>
              <w:bottom w:val="single" w:sz="2" w:color="D7DFE5"/>
            </w:tcBorders>
          </w:tcPr>
          <w:p>
            <w:pPr>
              <w:spacing w:after="20"/>
            </w:pPr>
            <w:r>
              <w:rPr>
                <w:b/>
                <w:color w:val="071827"/>
                <w:sz w:val="17"/>
              </w:rPr>
              <w:t>Delivery</w:t>
            </w:r>
          </w:p>
        </w:tc>
        <w:tc>
          <w:tcPr>
            <w:tcW w:type="dxa" w:w="7200"/>
            <w:vAlign w:val="top"/>
            <w:shd w:fill="F2F5F7"/>
            <w:tcBorders>
              <w:bottom w:val="single" w:sz="2" w:color="D7DFE5"/>
            </w:tcBorders>
          </w:tcPr>
          <w:p>
            <w:pPr>
              <w:spacing w:after="20"/>
            </w:pPr>
            <w:r>
              <w:rPr>
                <w:color w:val="24313D"/>
                <w:sz w:val="17"/>
              </w:rPr>
              <w:t>3 complete Evidence Dockets and governed decisions</w:t>
            </w:r>
          </w:p>
        </w:tc>
      </w:tr>
      <w:tr>
        <w:trPr>
          <w:cantSplit/>
        </w:trPr>
        <w:tc>
          <w:tcPr>
            <w:tcW w:type="dxa" w:w="2880"/>
            <w:vAlign w:val="top"/>
            <w:tcBorders>
              <w:bottom w:val="single" w:sz="2" w:color="D7DFE5"/>
            </w:tcBorders>
          </w:tcPr>
          <w:p>
            <w:pPr>
              <w:spacing w:after="20"/>
            </w:pPr>
            <w:r>
              <w:rPr>
                <w:b/>
                <w:color w:val="071827"/>
                <w:sz w:val="17"/>
              </w:rPr>
              <w:t>Independent authority</w:t>
            </w:r>
          </w:p>
        </w:tc>
        <w:tc>
          <w:tcPr>
            <w:tcW w:type="dxa" w:w="7200"/>
            <w:vAlign w:val="top"/>
            <w:tcBorders>
              <w:bottom w:val="single" w:sz="2" w:color="D7DFE5"/>
            </w:tcBorders>
          </w:tcPr>
          <w:p>
            <w:pPr>
              <w:spacing w:after="20"/>
            </w:pPr>
            <w:r>
              <w:rPr>
                <w:color w:val="24313D"/>
                <w:sz w:val="17"/>
              </w:rPr>
              <w:t>At least 1 externally reviewed result</w:t>
            </w:r>
          </w:p>
        </w:tc>
      </w:tr>
      <w:tr>
        <w:trPr>
          <w:cantSplit/>
        </w:trPr>
        <w:tc>
          <w:tcPr>
            <w:tcW w:type="dxa" w:w="2880"/>
            <w:vAlign w:val="top"/>
            <w:shd w:fill="F2F5F7"/>
            <w:tcBorders>
              <w:bottom w:val="single" w:sz="2" w:color="D7DFE5"/>
            </w:tcBorders>
          </w:tcPr>
          <w:p>
            <w:pPr>
              <w:spacing w:after="20"/>
            </w:pPr>
            <w:r>
              <w:rPr>
                <w:b/>
                <w:color w:val="071827"/>
                <w:sz w:val="17"/>
              </w:rPr>
              <w:t>Recurrence</w:t>
            </w:r>
          </w:p>
        </w:tc>
        <w:tc>
          <w:tcPr>
            <w:tcW w:type="dxa" w:w="7200"/>
            <w:vAlign w:val="top"/>
            <w:shd w:fill="F2F5F7"/>
            <w:tcBorders>
              <w:bottom w:val="single" w:sz="2" w:color="D7DFE5"/>
            </w:tcBorders>
          </w:tcPr>
          <w:p>
            <w:pPr>
              <w:spacing w:after="20"/>
            </w:pPr>
            <w:r>
              <w:rPr>
                <w:color w:val="24313D"/>
                <w:sz w:val="17"/>
              </w:rPr>
              <w:t>At least 1 repeat purchase, expansion or Proof Office</w:t>
            </w:r>
          </w:p>
        </w:tc>
      </w:tr>
      <w:tr>
        <w:trPr>
          <w:cantSplit/>
        </w:trPr>
        <w:tc>
          <w:tcPr>
            <w:tcW w:type="dxa" w:w="2880"/>
            <w:vAlign w:val="top"/>
            <w:tcBorders>
              <w:bottom w:val="single" w:sz="2" w:color="D7DFE5"/>
            </w:tcBorders>
          </w:tcPr>
          <w:p>
            <w:pPr>
              <w:spacing w:after="20"/>
            </w:pPr>
            <w:r>
              <w:rPr>
                <w:b/>
                <w:color w:val="071827"/>
                <w:sz w:val="17"/>
              </w:rPr>
              <w:t>Economics</w:t>
            </w:r>
          </w:p>
        </w:tc>
        <w:tc>
          <w:tcPr>
            <w:tcW w:type="dxa" w:w="7200"/>
            <w:vAlign w:val="top"/>
            <w:tcBorders>
              <w:bottom w:val="single" w:sz="2" w:color="D7DFE5"/>
            </w:tcBorders>
          </w:tcPr>
          <w:p>
            <w:pPr>
              <w:spacing w:after="20"/>
            </w:pPr>
            <w:r>
              <w:rPr>
                <w:color w:val="24313D"/>
                <w:sz w:val="17"/>
              </w:rPr>
              <w:t>Positive attributable contribution; all founder hours costed</w:t>
            </w:r>
          </w:p>
        </w:tc>
      </w:tr>
      <w:tr>
        <w:trPr>
          <w:cantSplit/>
        </w:trPr>
        <w:tc>
          <w:tcPr>
            <w:tcW w:type="dxa" w:w="2880"/>
            <w:vAlign w:val="top"/>
            <w:shd w:fill="F2F5F7"/>
            <w:tcBorders>
              <w:bottom w:val="single" w:sz="2" w:color="D7DFE5"/>
            </w:tcBorders>
          </w:tcPr>
          <w:p>
            <w:pPr>
              <w:spacing w:after="20"/>
            </w:pPr>
            <w:r>
              <w:rPr>
                <w:b/>
                <w:color w:val="071827"/>
                <w:sz w:val="17"/>
              </w:rPr>
              <w:t>Capability</w:t>
            </w:r>
          </w:p>
        </w:tc>
        <w:tc>
          <w:tcPr>
            <w:tcW w:type="dxa" w:w="7200"/>
            <w:vAlign w:val="top"/>
            <w:shd w:fill="F2F5F7"/>
            <w:tcBorders>
              <w:bottom w:val="single" w:sz="2" w:color="D7DFE5"/>
            </w:tcBorders>
          </w:tcPr>
          <w:p>
            <w:pPr>
              <w:spacing w:after="20"/>
            </w:pPr>
            <w:r>
              <w:rPr>
                <w:color w:val="24313D"/>
                <w:sz w:val="17"/>
              </w:rPr>
              <w:t>At least 1 rights-cleared Chronicle-admitted skill</w:t>
            </w:r>
          </w:p>
        </w:tc>
      </w:tr>
      <w:tr>
        <w:trPr>
          <w:cantSplit/>
        </w:trPr>
        <w:tc>
          <w:tcPr>
            <w:tcW w:type="dxa" w:w="2880"/>
            <w:vAlign w:val="top"/>
            <w:tcBorders>
              <w:bottom w:val="single" w:sz="2" w:color="D7DFE5"/>
            </w:tcBorders>
          </w:tcPr>
          <w:p>
            <w:pPr>
              <w:spacing w:after="20"/>
            </w:pPr>
            <w:r>
              <w:rPr>
                <w:b/>
                <w:color w:val="071827"/>
                <w:sz w:val="17"/>
              </w:rPr>
              <w:t>Improvement</w:t>
            </w:r>
          </w:p>
        </w:tc>
        <w:tc>
          <w:tcPr>
            <w:tcW w:type="dxa" w:w="7200"/>
            <w:vAlign w:val="top"/>
            <w:tcBorders>
              <w:bottom w:val="single" w:sz="2" w:color="D7DFE5"/>
            </w:tcBorders>
          </w:tcPr>
          <w:p>
            <w:pPr>
              <w:spacing w:after="20"/>
            </w:pPr>
            <w:r>
              <w:rPr>
                <w:color w:val="24313D"/>
                <w:sz w:val="17"/>
              </w:rPr>
              <w:t>A fresh successor mission improves a preregistered metric</w:t>
            </w:r>
          </w:p>
        </w:tc>
      </w:tr>
      <w:tr>
        <w:trPr>
          <w:cantSplit/>
        </w:trPr>
        <w:tc>
          <w:tcPr>
            <w:tcW w:type="dxa" w:w="2880"/>
            <w:vAlign w:val="top"/>
            <w:shd w:fill="F2F5F7"/>
            <w:tcBorders>
              <w:bottom w:val="single" w:sz="2" w:color="D7DFE5"/>
            </w:tcBorders>
          </w:tcPr>
          <w:p>
            <w:pPr>
              <w:spacing w:after="20"/>
            </w:pPr>
            <w:r>
              <w:rPr>
                <w:b/>
                <w:color w:val="071827"/>
                <w:sz w:val="17"/>
              </w:rPr>
              <w:t>Trust</w:t>
            </w:r>
          </w:p>
        </w:tc>
        <w:tc>
          <w:tcPr>
            <w:tcW w:type="dxa" w:w="7200"/>
            <w:vAlign w:val="top"/>
            <w:shd w:fill="F2F5F7"/>
            <w:tcBorders>
              <w:bottom w:val="single" w:sz="2" w:color="D7DFE5"/>
            </w:tcBorders>
          </w:tcPr>
          <w:p>
            <w:pPr>
              <w:spacing w:after="20"/>
            </w:pPr>
            <w:r>
              <w:rPr>
                <w:color w:val="24313D"/>
                <w:sz w:val="17"/>
              </w:rPr>
              <w:t>0 material trust, privacy or authorization breaches</w:t>
            </w:r>
          </w:p>
        </w:tc>
      </w:tr>
    </w:tbl>
    <w:p>
      <w:pPr>
        <w:spacing w:after="0"/>
      </w:pPr>
    </w:p>
    <w:p>
      <w:pPr>
        <w:pStyle w:val="Heading1"/>
      </w:pPr>
      <w:r>
        <w:t>Board authorization requested</w:t>
      </w:r>
    </w:p>
    <w:p>
      <w:pPr>
        <w:spacing w:after="40"/>
        <w:ind w:left="259" w:hanging="259"/>
      </w:pPr>
      <w:r>
        <w:rPr>
          <w:b/>
        </w:rPr>
        <w:t xml:space="preserve">1. </w:t>
      </w:r>
      <w:r>
        <w:t>Authorize a $250,000 90-day Commercial Proof Run envelope, released through explicit evidence gates.</w:t>
      </w:r>
    </w:p>
    <w:p>
      <w:pPr>
        <w:spacing w:after="40"/>
        <w:ind w:left="259" w:hanging="259"/>
      </w:pPr>
      <w:r>
        <w:rPr>
          <w:b/>
        </w:rPr>
        <w:t xml:space="preserve">2. </w:t>
      </w:r>
      <w:r>
        <w:t>Freeze one ICP, one Proof Mission Activation, one Proof Mission, one Evidence Docket, one price and one repeat-purchase path.</w:t>
      </w:r>
    </w:p>
    <w:p>
      <w:pPr>
        <w:spacing w:after="40"/>
        <w:ind w:left="259" w:hanging="259"/>
      </w:pPr>
      <w:r>
        <w:rPr>
          <w:b/>
        </w:rPr>
        <w:t xml:space="preserve">3. </w:t>
      </w:r>
      <w:r>
        <w:t>Require 100% prepayment for Activation; milestone billing for Missions; annual prepayment preferred for Offices.</w:t>
      </w:r>
    </w:p>
    <w:p>
      <w:pPr>
        <w:spacing w:after="40"/>
        <w:ind w:left="259" w:hanging="259"/>
      </w:pPr>
      <w:r>
        <w:rPr>
          <w:b/>
        </w:rPr>
        <w:t xml:space="preserve">4. </w:t>
      </w:r>
      <w:r>
        <w:t>Separate execution from material validation and Chronicle admission.</w:t>
      </w:r>
    </w:p>
    <w:p>
      <w:pPr>
        <w:spacing w:after="40"/>
        <w:ind w:left="259" w:hanging="259"/>
      </w:pPr>
      <w:r>
        <w:rPr>
          <w:b/>
        </w:rPr>
        <w:t xml:space="preserve">5. </w:t>
      </w:r>
      <w:r>
        <w:t>Protect the private capability implementation; sell governed invocation and proof-backed outcomes.</w:t>
      </w:r>
    </w:p>
    <w:p>
      <w:pPr>
        <w:spacing w:after="40"/>
        <w:ind w:left="259" w:hanging="259"/>
      </w:pPr>
      <w:r>
        <w:rPr>
          <w:b/>
        </w:rPr>
        <w:t xml:space="preserve">6. </w:t>
      </w:r>
      <w:r>
        <w:t>Stop broad platform expansion until payment, delivery, repeat purchase and fresh-transfer evidence exist.</w:t>
      </w:r>
    </w:p>
    <w:p>
      <w:pPr>
        <w:pStyle w:val="Heading1"/>
      </w:pPr>
      <w:r>
        <w:t>Selected sources and claim boundary</w:t>
      </w:r>
    </w:p>
    <w:p>
      <w:pPr>
        <w:pStyle w:val="Small"/>
      </w:pPr>
      <w:r>
        <w:t>External sources support market timing, technical feasibility, pricing context and comparative benchmarks. All GoalOS prices, volumes, margins, ROI, financing and valuation paths are editable management hypotheses—not audited forecasts, realized results, legal advice, investment advice, security certification or guarantees. Full URLs and source-use notes are provided in the package Source Register.</w:t>
      </w:r>
    </w:p>
    <w:p>
      <w:pPr>
        <w:pStyle w:val="Small"/>
        <w:spacing w:after="20"/>
      </w:pPr>
      <w:r>
        <w:rPr>
          <w:b/>
        </w:rPr>
        <w:t>S1 · OpenAI · Introducing workspace agents in ChatGPT.</w:t>
      </w:r>
    </w:p>
    <w:p>
      <w:pPr>
        <w:pStyle w:val="Small"/>
        <w:spacing w:after="20"/>
      </w:pPr>
      <w:r>
        <w:rPr>
          <w:b/>
        </w:rPr>
        <w:t>S2 · OpenAI · ChatGPT Enterprise and Edu release notes.</w:t>
      </w:r>
    </w:p>
    <w:p>
      <w:pPr>
        <w:pStyle w:val="Small"/>
        <w:spacing w:after="20"/>
      </w:pPr>
      <w:r>
        <w:rPr>
          <w:b/>
        </w:rPr>
        <w:t>S3 · OpenAI · API pricing.</w:t>
      </w:r>
    </w:p>
    <w:p>
      <w:pPr>
        <w:pStyle w:val="Small"/>
        <w:spacing w:after="20"/>
      </w:pPr>
      <w:r>
        <w:rPr>
          <w:b/>
        </w:rPr>
        <w:t>S4 · METR · Task-Completion Time Horizons.</w:t>
      </w:r>
    </w:p>
    <w:p>
      <w:pPr>
        <w:pStyle w:val="Small"/>
        <w:spacing w:after="20"/>
      </w:pPr>
      <w:r>
        <w:rPr>
          <w:b/>
        </w:rPr>
        <w:t>S5 · Google DeepMind · AlphaEvolve.</w:t>
      </w:r>
    </w:p>
    <w:p>
      <w:pPr>
        <w:pStyle w:val="Small"/>
        <w:spacing w:after="20"/>
      </w:pPr>
      <w:r>
        <w:rPr>
          <w:b/>
        </w:rPr>
        <w:t>S6 · Gartner · Worldwide AI spending forecast for 2026.</w:t>
      </w:r>
    </w:p>
    <w:p>
      <w:pPr>
        <w:pStyle w:val="Small"/>
        <w:spacing w:after="20"/>
      </w:pPr>
      <w:r>
        <w:rPr>
          <w:b/>
        </w:rPr>
        <w:t>S7 · European Commission · Article 50 AI Act transparency obligations.</w:t>
      </w:r>
    </w:p>
    <w:p>
      <w:pPr>
        <w:pStyle w:val="Small"/>
        <w:spacing w:after="20"/>
      </w:pPr>
      <w:r>
        <w:rPr>
          <w:b/>
        </w:rPr>
        <w:t>S8 · SaaS Capital · 2026 B2B SaaS benchmarks.</w:t>
      </w:r>
    </w:p>
    <w:p>
      <w:pPr>
        <w:pStyle w:val="Small"/>
        <w:spacing w:after="20"/>
      </w:pPr>
      <w:r>
        <w:rPr>
          <w:b/>
        </w:rPr>
        <w:t>S9 · Stripe · Payment Links.</w:t>
      </w:r>
    </w:p>
    <w:p>
      <w:pPr>
        <w:pStyle w:val="Small"/>
        <w:spacing w:after="20"/>
      </w:pPr>
      <w:r>
        <w:rPr>
          <w:b/>
        </w:rPr>
        <w:t>S10 · MONTREAL.AI Research · Merkle Roots for the Validated Skill Graph.</w:t>
      </w:r>
    </w:p>
    <w:p>
      <w:pPr>
        <w:pStyle w:val="Small"/>
        <w:spacing w:after="20"/>
      </w:pPr>
      <w:r>
        <w:rPr>
          <w:b/>
        </w:rPr>
        <w:t>S11 · MONTREAL.AI Research · Private On-Chain Validated Skill Graph.</w:t>
      </w:r>
    </w:p>
    <w:sectPr w:rsidR="00FC693F" w:rsidRPr="0006063C" w:rsidSect="00034616">
      <w:pgSz w:w="12240" w:h="15840"/>
      <w:pgMar w:top="979" w:right="1037" w:bottom="92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 xml:space="preserve">GoalOS Strategy Edition · 20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MONTREAL.AI  ×  GOALOS    |    THE OPTIMAL BUSINESS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color w:val="24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Noto Serif" w:hAnsi="Noto Serif"/>
      <w:b/>
      <w:bCs/>
      <w:color w:val="071827"/>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0E2B3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b/>
      <w:bCs/>
      <w:color w:val="D6A1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Noto Serif" w:hAnsi="Noto Serif"/>
      <w:b/>
      <w:color w:val="07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pPr>
    <w:rPr>
      <w:rFonts w:ascii="Noto Serif" w:hAnsi="Noto Serif"/>
      <w:i/>
      <w:color w:val="0E2B3B"/>
      <w:sz w:val="26"/>
    </w:rPr>
  </w:style>
  <w:style w:type="paragraph" w:customStyle="1" w:styleId="Small">
    <w:name w:val="Small"/>
    <w:rPr>
      <w:rFonts w:ascii="Noto Sans" w:hAnsi="Noto Sans"/>
      <w:color w:val="5D6873"/>
      <w:sz w:val="16"/>
    </w:rPr>
  </w:style>
  <w:style w:type="paragraph" w:customStyle="1" w:styleId="QuoteGoalOS">
    <w:name w:val="Quote GoalOS"/>
    <w:pPr>
      <w:spacing w:before="160" w:after="160"/>
      <w:ind w:left="432" w:right="432"/>
    </w:pPr>
    <w:rPr>
      <w:rFonts w:ascii="Noto Serif" w:hAnsi="Noto Serif"/>
      <w:b/>
      <w:color w:val="071827"/>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GoalOS Optimal Business Model Executive Brief</dc:title>
  <dc:subject>GoalOS optimal business model</dc:subject>
  <dc:creator>MONTREAL.AI</dc:creator>
  <cp:keywords>GoalOS, Proof Mission, Proof Office, Validated Skill Graph, Chronicle, business model</cp:keywords>
  <dc:description>generated by python-docx</dc:description>
  <cp:lastModifiedBy/>
  <cp:revision>1</cp:revision>
  <dcterms:created xsi:type="dcterms:W3CDTF">2013-12-23T23:15:00Z</dcterms:created>
  <dcterms:modified xsi:type="dcterms:W3CDTF">2013-12-23T23:15:00Z</dcterms:modified>
  <cp:category/>
</cp:coreProperties>
</file>