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_memo.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720" w:footer="720" w:gutter="0"/>
          <w:cols w:space="720"/>
          <w:docGrid w:linePitch="360"/>
        </w:sectPr>
      </w:pPr>
    </w:p>
    <w:p>
      <w:pPr>
        <w:pStyle w:val="Heading1"/>
      </w:pPr>
      <w:r>
        <w:t>Memorandum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0E2B3B"/>
            <w:vAlign w:val="center"/>
            <w:tcBorders>
              <w:bottom w:val="single" w:sz="8" w:color="D6A13C"/>
            </w:tcBorders>
          </w:tcPr>
          <w:p>
            <w:pPr>
              <w:jc w:val="center"/>
            </w:pPr>
            <w:r>
              <w:rPr>
                <w:b/>
                <w:color w:val="FFFFFF"/>
                <w:sz w:val="18"/>
              </w:rPr>
              <w:t>To</w:t>
            </w:r>
          </w:p>
        </w:tc>
        <w:tc>
          <w:tcPr>
            <w:tcW w:type="dxa" w:w="2880"/>
            <w:shd w:fill="0E2B3B"/>
            <w:vAlign w:val="center"/>
            <w:tcBorders>
              <w:bottom w:val="single" w:sz="8" w:color="D6A13C"/>
            </w:tcBorders>
          </w:tcPr>
          <w:p>
            <w:pPr>
              <w:jc w:val="center"/>
            </w:pPr>
            <w:r>
              <w:rPr>
                <w:b/>
                <w:color w:val="FFFFFF"/>
                <w:sz w:val="18"/>
              </w:rPr>
              <w:t>From</w:t>
            </w:r>
          </w:p>
        </w:tc>
        <w:tc>
          <w:tcPr>
            <w:tcW w:type="dxa" w:w="1584"/>
            <w:shd w:fill="0E2B3B"/>
            <w:vAlign w:val="center"/>
            <w:tcBorders>
              <w:bottom w:val="single" w:sz="8" w:color="D6A13C"/>
            </w:tcBorders>
          </w:tcPr>
          <w:p>
            <w:pPr>
              <w:jc w:val="center"/>
            </w:pPr>
            <w:r>
              <w:rPr>
                <w:b/>
                <w:color w:val="FFFFFF"/>
                <w:sz w:val="18"/>
              </w:rPr>
              <w:t>Date</w:t>
            </w:r>
          </w:p>
        </w:tc>
        <w:tc>
          <w:tcPr>
            <w:tcW w:type="dxa" w:w="2880"/>
            <w:shd w:fill="0E2B3B"/>
            <w:vAlign w:val="center"/>
            <w:tcBorders>
              <w:bottom w:val="single" w:sz="8" w:color="D6A13C"/>
            </w:tcBorders>
          </w:tcPr>
          <w:p>
            <w:pPr>
              <w:jc w:val="center"/>
            </w:pPr>
            <w:r>
              <w:rPr>
                <w:b/>
                <w:color w:val="FFFFFF"/>
                <w:sz w:val="18"/>
              </w:rPr>
              <w:t>Subject</w:t>
            </w:r>
          </w:p>
        </w:tc>
      </w:tr>
      <w:tr>
        <w:trPr>
          <w:cantSplit/>
        </w:trPr>
        <w:tc>
          <w:tcPr>
            <w:tcW w:type="dxa" w:w="2880"/>
            <w:vAlign w:val="top"/>
            <w:tcBorders>
              <w:bottom w:val="single" w:sz="2" w:color="D7DFE5"/>
            </w:tcBorders>
          </w:tcPr>
          <w:p>
            <w:pPr>
              <w:spacing w:after="20"/>
            </w:pPr>
            <w:r>
              <w:rPr>
                <w:b/>
                <w:color w:val="071827"/>
                <w:sz w:val="17"/>
              </w:rPr>
              <w:t>MONTREAL.AI Board, leadership and strategic partners</w:t>
            </w:r>
          </w:p>
        </w:tc>
        <w:tc>
          <w:tcPr>
            <w:tcW w:type="dxa" w:w="2880"/>
            <w:vAlign w:val="top"/>
            <w:tcBorders>
              <w:bottom w:val="single" w:sz="2" w:color="D7DFE5"/>
            </w:tcBorders>
          </w:tcPr>
          <w:p>
            <w:pPr>
              <w:spacing w:after="20"/>
            </w:pPr>
            <w:r>
              <w:rPr>
                <w:color w:val="24313D"/>
                <w:sz w:val="17"/>
              </w:rPr>
              <w:t>GoalOS Strategy Office</w:t>
            </w:r>
          </w:p>
        </w:tc>
        <w:tc>
          <w:tcPr>
            <w:tcW w:type="dxa" w:w="1584"/>
            <w:vAlign w:val="top"/>
            <w:tcBorders>
              <w:bottom w:val="single" w:sz="2" w:color="D7DFE5"/>
            </w:tcBorders>
          </w:tcPr>
          <w:p>
            <w:pPr>
              <w:spacing w:after="20"/>
            </w:pPr>
            <w:r>
              <w:rPr>
                <w:color w:val="24313D"/>
                <w:sz w:val="17"/>
              </w:rPr>
              <w:t>20 July 2026</w:t>
            </w:r>
          </w:p>
        </w:tc>
        <w:tc>
          <w:tcPr>
            <w:tcW w:type="dxa" w:w="2880"/>
            <w:vAlign w:val="top"/>
            <w:tcBorders>
              <w:bottom w:val="single" w:sz="2" w:color="D7DFE5"/>
            </w:tcBorders>
          </w:tcPr>
          <w:p>
            <w:pPr>
              <w:spacing w:after="20"/>
            </w:pPr>
            <w:r>
              <w:rPr>
                <w:color w:val="24313D"/>
                <w:sz w:val="17"/>
              </w:rPr>
              <w:t>The Optimal GoalOS Business Model</w:t>
            </w:r>
          </w:p>
        </w:tc>
      </w:tr>
    </w:tbl>
    <w:p>
      <w:pPr>
        <w:spacing w:after="0"/>
      </w:pPr>
    </w:p>
    <w:p>
      <w:pPr>
        <w:pStyle w:val="Heading1"/>
      </w:pPr>
      <w:r>
        <w:t>1. Executive summary</w:t>
      </w:r>
    </w:p>
    <w:p>
      <w:pPr>
        <w:pStyle w:val="Lead"/>
      </w:pPr>
      <w:r>
        <w:t>GoalOS should operate as a Proof Utility: a vertically integrated institution that converts expensive uncertainty into bounded missions, inspectable evidence, governed decisions, recurring institutional control and protected reusable capability.</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The temporary arbitrage is the Capability–Price Lag. The enduring company is the private, rights-cleared network of capabilities that repeatedly produced verified outcomes—and can be invoked without surrendering the implementation.</w:t>
            </w:r>
          </w:p>
        </w:tc>
      </w:tr>
    </w:tbl>
    <w:p>
      <w:pPr>
        <w:spacing w:after="0"/>
      </w:pPr>
    </w:p>
    <w:p>
      <w:r>
        <w:t>The optimal starting offer is a near-zero-marginal-cost Proof Mission Activation priced by the decision value it structures. The Activation expands into a paid Proof Mission, then a recurring Proof Office. Successful mission methods become candidate skills; Chronicle admits only what passed; the Validated Skill Graph preserves scope, evidence, rights, versions, failure history and transfer performance; protected invocation creates software-like margins.</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0E2B3B"/>
          </w:tcPr>
          <w:p>
            <w:pPr>
              <w:jc w:val="center"/>
            </w:pPr>
            <w:r>
              <w:rPr>
                <w:b/>
                <w:color w:val="D6A13C"/>
                <w:sz w:val="15"/>
              </w:rPr>
              <w:t>FY1 REVENUE</w:t>
            </w:r>
          </w:p>
        </w:tc>
        <w:tc>
          <w:tcPr>
            <w:tcW w:type="dxa" w:w="2033"/>
            <w:shd w:fill="0E2B3B"/>
          </w:tcPr>
          <w:p>
            <w:pPr>
              <w:jc w:val="center"/>
            </w:pPr>
            <w:r>
              <w:rPr>
                <w:b/>
                <w:color w:val="D6A13C"/>
                <w:sz w:val="15"/>
              </w:rPr>
              <w:t>FY3 REVENUE</w:t>
            </w:r>
          </w:p>
        </w:tc>
        <w:tc>
          <w:tcPr>
            <w:tcW w:type="dxa" w:w="2033"/>
            <w:shd w:fill="0E2B3B"/>
          </w:tcPr>
          <w:p>
            <w:pPr>
              <w:jc w:val="center"/>
            </w:pPr>
            <w:r>
              <w:rPr>
                <w:b/>
                <w:color w:val="D6A13C"/>
                <w:sz w:val="15"/>
              </w:rPr>
              <w:t>FY5 REVENUE</w:t>
            </w:r>
          </w:p>
        </w:tc>
        <w:tc>
          <w:tcPr>
            <w:tcW w:type="dxa" w:w="2033"/>
            <w:shd w:fill="0E2B3B"/>
          </w:tcPr>
          <w:p>
            <w:pPr>
              <w:jc w:val="center"/>
            </w:pPr>
            <w:r>
              <w:rPr>
                <w:b/>
                <w:color w:val="D6A13C"/>
                <w:sz w:val="15"/>
              </w:rPr>
              <w:t>FY5 EBITDA</w:t>
            </w:r>
          </w:p>
        </w:tc>
        <w:tc>
          <w:tcPr>
            <w:tcW w:type="dxa" w:w="2033"/>
            <w:shd w:fill="0E2B3B"/>
          </w:tcPr>
          <w:p>
            <w:pPr>
              <w:jc w:val="center"/>
            </w:pPr>
            <w:r>
              <w:rPr>
                <w:b/>
                <w:color w:val="D6A13C"/>
                <w:sz w:val="15"/>
              </w:rPr>
              <w:t>FY5 RECURRING + USAGE</w:t>
            </w:r>
          </w:p>
        </w:tc>
      </w:tr>
      <w:tr>
        <w:tc>
          <w:tcPr>
            <w:tcW w:type="dxa" w:w="2033"/>
            <w:shd w:fill="F5EEDC"/>
          </w:tcPr>
          <w:p>
            <w:pPr>
              <w:jc w:val="center"/>
            </w:pPr>
            <w:r>
              <w:rPr>
                <w:b/>
                <w:color w:val="071827"/>
                <w:sz w:val="30"/>
              </w:rPr>
              <w:t>$1.4M</w:t>
            </w:r>
          </w:p>
        </w:tc>
        <w:tc>
          <w:tcPr>
            <w:tcW w:type="dxa" w:w="2033"/>
            <w:shd w:fill="F5EEDC"/>
          </w:tcPr>
          <w:p>
            <w:pPr>
              <w:jc w:val="center"/>
            </w:pPr>
            <w:r>
              <w:rPr>
                <w:b/>
                <w:color w:val="071827"/>
                <w:sz w:val="30"/>
              </w:rPr>
              <w:t>$16.6M</w:t>
            </w:r>
          </w:p>
        </w:tc>
        <w:tc>
          <w:tcPr>
            <w:tcW w:type="dxa" w:w="2033"/>
            <w:shd w:fill="F5EEDC"/>
          </w:tcPr>
          <w:p>
            <w:pPr>
              <w:jc w:val="center"/>
            </w:pPr>
            <w:r>
              <w:rPr>
                <w:b/>
                <w:color w:val="071827"/>
                <w:sz w:val="30"/>
              </w:rPr>
              <w:t>$94.2M</w:t>
            </w:r>
          </w:p>
        </w:tc>
        <w:tc>
          <w:tcPr>
            <w:tcW w:type="dxa" w:w="2033"/>
            <w:shd w:fill="F5EEDC"/>
          </w:tcPr>
          <w:p>
            <w:pPr>
              <w:jc w:val="center"/>
            </w:pPr>
            <w:r>
              <w:rPr>
                <w:b/>
                <w:color w:val="071827"/>
                <w:sz w:val="30"/>
              </w:rPr>
              <w:t>$45.1M</w:t>
            </w:r>
          </w:p>
        </w:tc>
        <w:tc>
          <w:tcPr>
            <w:tcW w:type="dxa" w:w="2033"/>
            <w:shd w:fill="F5EEDC"/>
          </w:tcPr>
          <w:p>
            <w:pPr>
              <w:jc w:val="center"/>
            </w:pPr>
            <w:r>
              <w:rPr>
                <w:b/>
                <w:color w:val="071827"/>
                <w:sz w:val="30"/>
              </w:rPr>
              <w:t>87%</w:t>
            </w:r>
          </w:p>
        </w:tc>
      </w:tr>
    </w:tbl>
    <w:p>
      <w:pPr>
        <w:spacing w:after="0"/>
      </w:pPr>
    </w:p>
    <w:p>
      <w:pPr>
        <w:pStyle w:val="Heading1"/>
      </w:pPr>
      <w:r>
        <w:t>2. The economic dislocation: the Capability–Price Lag</w:t>
      </w:r>
    </w:p>
    <w:p>
      <w:r>
        <w:t>AI has repriced cognitive production faster than organizations have repriced cognitive work. Candidate research, analysis, plans, proposals, presentations, code and documentation can now be produced dramatically faster and at extremely low inference cost. Yet enterprises still pay for trust, context, authority, integration, liability, evidence and outcomes. [S1–S6]</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0E2B3B"/>
            <w:vAlign w:val="center"/>
            <w:tcBorders>
              <w:bottom w:val="single" w:sz="8" w:color="D6A13C"/>
            </w:tcBorders>
          </w:tcPr>
          <w:p>
            <w:pPr>
              <w:jc w:val="center"/>
            </w:pPr>
            <w:r>
              <w:rPr>
                <w:b/>
                <w:color w:val="FFFFFF"/>
                <w:sz w:val="18"/>
              </w:rPr>
              <w:t>Old Mode</w:t>
            </w:r>
          </w:p>
        </w:tc>
        <w:tc>
          <w:tcPr>
            <w:tcW w:type="dxa" w:w="3312"/>
            <w:shd w:fill="0E2B3B"/>
            <w:vAlign w:val="center"/>
            <w:tcBorders>
              <w:bottom w:val="single" w:sz="8" w:color="D6A13C"/>
            </w:tcBorders>
          </w:tcPr>
          <w:p>
            <w:pPr>
              <w:jc w:val="center"/>
            </w:pPr>
            <w:r>
              <w:rPr>
                <w:b/>
                <w:color w:val="FFFFFF"/>
                <w:sz w:val="18"/>
              </w:rPr>
              <w:t>Early AI Mode</w:t>
            </w:r>
          </w:p>
        </w:tc>
        <w:tc>
          <w:tcPr>
            <w:tcW w:type="dxa" w:w="3456"/>
            <w:shd w:fill="0E2B3B"/>
            <w:vAlign w:val="center"/>
            <w:tcBorders>
              <w:bottom w:val="single" w:sz="8" w:color="D6A13C"/>
            </w:tcBorders>
          </w:tcPr>
          <w:p>
            <w:pPr>
              <w:jc w:val="center"/>
            </w:pPr>
            <w:r>
              <w:rPr>
                <w:b/>
                <w:color w:val="FFFFFF"/>
                <w:sz w:val="18"/>
              </w:rPr>
              <w:t>GoalOS Mode</w:t>
            </w:r>
          </w:p>
        </w:tc>
      </w:tr>
      <w:tr>
        <w:trPr>
          <w:cantSplit/>
        </w:trPr>
        <w:tc>
          <w:tcPr>
            <w:tcW w:type="dxa" w:w="3312"/>
            <w:vAlign w:val="top"/>
            <w:tcBorders>
              <w:bottom w:val="single" w:sz="2" w:color="D7DFE5"/>
            </w:tcBorders>
          </w:tcPr>
          <w:p>
            <w:pPr>
              <w:spacing w:after="20"/>
            </w:pPr>
            <w:r>
              <w:rPr>
                <w:b/>
                <w:color w:val="071827"/>
                <w:sz w:val="17"/>
              </w:rPr>
              <w:t>Human labor, meetings and static deliverables</w:t>
            </w:r>
          </w:p>
        </w:tc>
        <w:tc>
          <w:tcPr>
            <w:tcW w:type="dxa" w:w="3312"/>
            <w:vAlign w:val="top"/>
            <w:tcBorders>
              <w:bottom w:val="single" w:sz="2" w:color="D7DFE5"/>
            </w:tcBorders>
          </w:tcPr>
          <w:p>
            <w:pPr>
              <w:spacing w:after="20"/>
            </w:pPr>
            <w:r>
              <w:rPr>
                <w:color w:val="24313D"/>
                <w:sz w:val="17"/>
              </w:rPr>
              <w:t>Cheap and persuasive candidate output</w:t>
            </w:r>
          </w:p>
        </w:tc>
        <w:tc>
          <w:tcPr>
            <w:tcW w:type="dxa" w:w="3456"/>
            <w:vAlign w:val="top"/>
            <w:tcBorders>
              <w:bottom w:val="single" w:sz="2" w:color="D7DFE5"/>
            </w:tcBorders>
          </w:tcPr>
          <w:p>
            <w:pPr>
              <w:spacing w:after="20"/>
            </w:pPr>
            <w:r>
              <w:rPr>
                <w:color w:val="24313D"/>
                <w:sz w:val="17"/>
              </w:rPr>
              <w:t>Verified outcome plus a system that keeps the outcome current</w:t>
            </w:r>
          </w:p>
        </w:tc>
      </w:tr>
      <w:tr>
        <w:trPr>
          <w:cantSplit/>
        </w:trPr>
        <w:tc>
          <w:tcPr>
            <w:tcW w:type="dxa" w:w="3312"/>
            <w:vAlign w:val="top"/>
            <w:shd w:fill="F2F5F7"/>
            <w:tcBorders>
              <w:bottom w:val="single" w:sz="2" w:color="D7DFE5"/>
            </w:tcBorders>
          </w:tcPr>
          <w:p>
            <w:pPr>
              <w:spacing w:after="20"/>
            </w:pPr>
            <w:r>
              <w:rPr>
                <w:b/>
                <w:color w:val="071827"/>
                <w:sz w:val="17"/>
              </w:rPr>
              <w:t>Pricing tracks hours and team size</w:t>
            </w:r>
          </w:p>
        </w:tc>
        <w:tc>
          <w:tcPr>
            <w:tcW w:type="dxa" w:w="3312"/>
            <w:vAlign w:val="top"/>
            <w:shd w:fill="F2F5F7"/>
            <w:tcBorders>
              <w:bottom w:val="single" w:sz="2" w:color="D7DFE5"/>
            </w:tcBorders>
          </w:tcPr>
          <w:p>
            <w:pPr>
              <w:spacing w:after="20"/>
            </w:pPr>
            <w:r>
              <w:rPr>
                <w:color w:val="24313D"/>
                <w:sz w:val="17"/>
              </w:rPr>
              <w:t>Pricing collapses toward generation cost</w:t>
            </w:r>
          </w:p>
        </w:tc>
        <w:tc>
          <w:tcPr>
            <w:tcW w:type="dxa" w:w="3456"/>
            <w:vAlign w:val="top"/>
            <w:shd w:fill="F2F5F7"/>
            <w:tcBorders>
              <w:bottom w:val="single" w:sz="2" w:color="D7DFE5"/>
            </w:tcBorders>
          </w:tcPr>
          <w:p>
            <w:pPr>
              <w:spacing w:after="20"/>
            </w:pPr>
            <w:r>
              <w:rPr>
                <w:color w:val="24313D"/>
                <w:sz w:val="17"/>
              </w:rPr>
              <w:t>Pricing tracks conservative value at stake and risk retired</w:t>
            </w:r>
          </w:p>
        </w:tc>
      </w:tr>
      <w:tr>
        <w:trPr>
          <w:cantSplit/>
        </w:trPr>
        <w:tc>
          <w:tcPr>
            <w:tcW w:type="dxa" w:w="3312"/>
            <w:vAlign w:val="top"/>
            <w:tcBorders>
              <w:bottom w:val="single" w:sz="2" w:color="D7DFE5"/>
            </w:tcBorders>
          </w:tcPr>
          <w:p>
            <w:pPr>
              <w:spacing w:after="20"/>
            </w:pPr>
            <w:r>
              <w:rPr>
                <w:b/>
                <w:color w:val="071827"/>
                <w:sz w:val="17"/>
              </w:rPr>
              <w:t>Knowledge disappears into documents</w:t>
            </w:r>
          </w:p>
        </w:tc>
        <w:tc>
          <w:tcPr>
            <w:tcW w:type="dxa" w:w="3312"/>
            <w:vAlign w:val="top"/>
            <w:tcBorders>
              <w:bottom w:val="single" w:sz="2" w:color="D7DFE5"/>
            </w:tcBorders>
          </w:tcPr>
          <w:p>
            <w:pPr>
              <w:spacing w:after="20"/>
            </w:pPr>
            <w:r>
              <w:rPr>
                <w:color w:val="24313D"/>
                <w:sz w:val="17"/>
              </w:rPr>
              <w:t>Output is abundant but ungoverned</w:t>
            </w:r>
          </w:p>
        </w:tc>
        <w:tc>
          <w:tcPr>
            <w:tcW w:type="dxa" w:w="3456"/>
            <w:vAlign w:val="top"/>
            <w:tcBorders>
              <w:bottom w:val="single" w:sz="2" w:color="D7DFE5"/>
            </w:tcBorders>
          </w:tcPr>
          <w:p>
            <w:pPr>
              <w:spacing w:after="20"/>
            </w:pPr>
            <w:r>
              <w:rPr>
                <w:color w:val="24313D"/>
                <w:sz w:val="17"/>
              </w:rPr>
              <w:t>Accepted capability becomes scoped, versioned and reusable</w:t>
            </w:r>
          </w:p>
        </w:tc>
      </w:tr>
      <w:tr>
        <w:trPr>
          <w:cantSplit/>
        </w:trPr>
        <w:tc>
          <w:tcPr>
            <w:tcW w:type="dxa" w:w="3312"/>
            <w:vAlign w:val="top"/>
            <w:shd w:fill="F2F5F7"/>
            <w:tcBorders>
              <w:bottom w:val="single" w:sz="2" w:color="D7DFE5"/>
            </w:tcBorders>
          </w:tcPr>
          <w:p>
            <w:pPr>
              <w:spacing w:after="20"/>
            </w:pPr>
            <w:r>
              <w:rPr>
                <w:b/>
                <w:color w:val="071827"/>
                <w:sz w:val="17"/>
              </w:rPr>
              <w:t>One-off engagement</w:t>
            </w:r>
          </w:p>
        </w:tc>
        <w:tc>
          <w:tcPr>
            <w:tcW w:type="dxa" w:w="3312"/>
            <w:vAlign w:val="top"/>
            <w:shd w:fill="F2F5F7"/>
            <w:tcBorders>
              <w:bottom w:val="single" w:sz="2" w:color="D7DFE5"/>
            </w:tcBorders>
          </w:tcPr>
          <w:p>
            <w:pPr>
              <w:spacing w:after="20"/>
            </w:pPr>
            <w:r>
              <w:rPr>
                <w:color w:val="24313D"/>
                <w:sz w:val="17"/>
              </w:rPr>
              <w:t>Commodity generation</w:t>
            </w:r>
          </w:p>
        </w:tc>
        <w:tc>
          <w:tcPr>
            <w:tcW w:type="dxa" w:w="3456"/>
            <w:vAlign w:val="top"/>
            <w:shd w:fill="F2F5F7"/>
            <w:tcBorders>
              <w:bottom w:val="single" w:sz="2" w:color="D7DFE5"/>
            </w:tcBorders>
          </w:tcPr>
          <w:p>
            <w:pPr>
              <w:spacing w:after="20"/>
            </w:pPr>
            <w:r>
              <w:rPr>
                <w:color w:val="24313D"/>
                <w:sz w:val="17"/>
              </w:rPr>
              <w:t>Recurring Proof Office and protected capability invocation</w:t>
            </w:r>
          </w:p>
        </w:tc>
      </w:tr>
    </w:tbl>
    <w:p>
      <w:pPr>
        <w:spacing w:after="0"/>
      </w:pPr>
    </w:p>
    <w:p>
      <w:r>
        <w:t>The business must not sell a one-dollar AI artifact for two dollars. It should sell a bounded decision or institutional function whose economic value remains large—while retaining very high gross margins because most production is standardized and autonomous.</w:t>
      </w:r>
    </w:p>
    <w:p>
      <w:pPr>
        <w:pStyle w:val="Heading1"/>
      </w:pPr>
      <w:r>
        <w:t>3. The initial wedge and ideal customer</w:t>
      </w:r>
    </w:p>
    <w:p>
      <w:r>
        <w:t>The recommended beachhead is AI Trust &amp; Revenue: organizations with an important AI deployment, vendor claim, enterprise contract, procurement path, investment or compliance burden whose progress is blocked by insufficient proof.</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0E2B3B"/>
            <w:vAlign w:val="center"/>
            <w:tcBorders>
              <w:bottom w:val="single" w:sz="8" w:color="D6A13C"/>
            </w:tcBorders>
          </w:tcPr>
          <w:p>
            <w:pPr>
              <w:jc w:val="center"/>
            </w:pPr>
            <w:r>
              <w:rPr>
                <w:b/>
                <w:color w:val="FFFFFF"/>
                <w:sz w:val="18"/>
              </w:rPr>
              <w:t>Qualification dimension</w:t>
            </w:r>
          </w:p>
        </w:tc>
        <w:tc>
          <w:tcPr>
            <w:tcW w:type="dxa" w:w="6984"/>
            <w:shd w:fill="0E2B3B"/>
            <w:vAlign w:val="center"/>
            <w:tcBorders>
              <w:bottom w:val="single" w:sz="8" w:color="D6A13C"/>
            </w:tcBorders>
          </w:tcPr>
          <w:p>
            <w:pPr>
              <w:jc w:val="center"/>
            </w:pPr>
            <w:r>
              <w:rPr>
                <w:b/>
                <w:color w:val="FFFFFF"/>
                <w:sz w:val="18"/>
              </w:rPr>
              <w:t>Required state</w:t>
            </w:r>
          </w:p>
        </w:tc>
      </w:tr>
      <w:tr>
        <w:trPr>
          <w:cantSplit/>
        </w:trPr>
        <w:tc>
          <w:tcPr>
            <w:tcW w:type="dxa" w:w="3096"/>
            <w:vAlign w:val="top"/>
            <w:tcBorders>
              <w:bottom w:val="single" w:sz="2" w:color="D7DFE5"/>
            </w:tcBorders>
          </w:tcPr>
          <w:p>
            <w:pPr>
              <w:spacing w:after="20"/>
            </w:pPr>
            <w:r>
              <w:rPr>
                <w:b/>
                <w:color w:val="071827"/>
                <w:sz w:val="17"/>
              </w:rPr>
              <w:t>Consequence</w:t>
            </w:r>
          </w:p>
        </w:tc>
        <w:tc>
          <w:tcPr>
            <w:tcW w:type="dxa" w:w="6984"/>
            <w:vAlign w:val="top"/>
            <w:tcBorders>
              <w:bottom w:val="single" w:sz="2" w:color="D7DFE5"/>
            </w:tcBorders>
          </w:tcPr>
          <w:p>
            <w:pPr>
              <w:spacing w:after="20"/>
            </w:pPr>
            <w:r>
              <w:rPr>
                <w:color w:val="24313D"/>
                <w:sz w:val="17"/>
              </w:rPr>
              <w:t>At least $250K of contract, deployment, capital or risk value at stake</w:t>
            </w:r>
          </w:p>
        </w:tc>
      </w:tr>
      <w:tr>
        <w:trPr>
          <w:cantSplit/>
        </w:trPr>
        <w:tc>
          <w:tcPr>
            <w:tcW w:type="dxa" w:w="3096"/>
            <w:vAlign w:val="top"/>
            <w:shd w:fill="F2F5F7"/>
            <w:tcBorders>
              <w:bottom w:val="single" w:sz="2" w:color="D7DFE5"/>
            </w:tcBorders>
          </w:tcPr>
          <w:p>
            <w:pPr>
              <w:spacing w:after="20"/>
            </w:pPr>
            <w:r>
              <w:rPr>
                <w:b/>
                <w:color w:val="071827"/>
                <w:sz w:val="17"/>
              </w:rPr>
              <w:t>Authority</w:t>
            </w:r>
          </w:p>
        </w:tc>
        <w:tc>
          <w:tcPr>
            <w:tcW w:type="dxa" w:w="6984"/>
            <w:vAlign w:val="top"/>
            <w:shd w:fill="F2F5F7"/>
            <w:tcBorders>
              <w:bottom w:val="single" w:sz="2" w:color="D7DFE5"/>
            </w:tcBorders>
          </w:tcPr>
          <w:p>
            <w:pPr>
              <w:spacing w:after="20"/>
            </w:pPr>
            <w:r>
              <w:rPr>
                <w:color w:val="24313D"/>
                <w:sz w:val="17"/>
              </w:rPr>
              <w:t>Named sponsor with budget and decision rights</w:t>
            </w:r>
          </w:p>
        </w:tc>
      </w:tr>
      <w:tr>
        <w:trPr>
          <w:cantSplit/>
        </w:trPr>
        <w:tc>
          <w:tcPr>
            <w:tcW w:type="dxa" w:w="3096"/>
            <w:vAlign w:val="top"/>
            <w:tcBorders>
              <w:bottom w:val="single" w:sz="2" w:color="D7DFE5"/>
            </w:tcBorders>
          </w:tcPr>
          <w:p>
            <w:pPr>
              <w:spacing w:after="20"/>
            </w:pPr>
            <w:r>
              <w:rPr>
                <w:b/>
                <w:color w:val="071827"/>
                <w:sz w:val="17"/>
              </w:rPr>
              <w:t>Timing</w:t>
            </w:r>
          </w:p>
        </w:tc>
        <w:tc>
          <w:tcPr>
            <w:tcW w:type="dxa" w:w="6984"/>
            <w:vAlign w:val="top"/>
            <w:tcBorders>
              <w:bottom w:val="single" w:sz="2" w:color="D7DFE5"/>
            </w:tcBorders>
          </w:tcPr>
          <w:p>
            <w:pPr>
              <w:spacing w:after="20"/>
            </w:pPr>
            <w:r>
              <w:rPr>
                <w:color w:val="24313D"/>
                <w:sz w:val="17"/>
              </w:rPr>
              <w:t>Decision deadline within 90 days</w:t>
            </w:r>
          </w:p>
        </w:tc>
      </w:tr>
      <w:tr>
        <w:trPr>
          <w:cantSplit/>
        </w:trPr>
        <w:tc>
          <w:tcPr>
            <w:tcW w:type="dxa" w:w="3096"/>
            <w:vAlign w:val="top"/>
            <w:shd w:fill="F2F5F7"/>
            <w:tcBorders>
              <w:bottom w:val="single" w:sz="2" w:color="D7DFE5"/>
            </w:tcBorders>
          </w:tcPr>
          <w:p>
            <w:pPr>
              <w:spacing w:after="20"/>
            </w:pPr>
            <w:r>
              <w:rPr>
                <w:b/>
                <w:color w:val="071827"/>
                <w:sz w:val="17"/>
              </w:rPr>
              <w:t>Evidence</w:t>
            </w:r>
          </w:p>
        </w:tc>
        <w:tc>
          <w:tcPr>
            <w:tcW w:type="dxa" w:w="6984"/>
            <w:vAlign w:val="top"/>
            <w:shd w:fill="F2F5F7"/>
            <w:tcBorders>
              <w:bottom w:val="single" w:sz="2" w:color="D7DFE5"/>
            </w:tcBorders>
          </w:tcPr>
          <w:p>
            <w:pPr>
              <w:spacing w:after="20"/>
            </w:pPr>
            <w:r>
              <w:rPr>
                <w:color w:val="24313D"/>
                <w:sz w:val="17"/>
              </w:rPr>
              <w:t>Digital inputs can be securely supplied; acceptance criteria can be frozen</w:t>
            </w:r>
          </w:p>
        </w:tc>
      </w:tr>
      <w:tr>
        <w:trPr>
          <w:cantSplit/>
        </w:trPr>
        <w:tc>
          <w:tcPr>
            <w:tcW w:type="dxa" w:w="3096"/>
            <w:vAlign w:val="top"/>
            <w:tcBorders>
              <w:bottom w:val="single" w:sz="2" w:color="D7DFE5"/>
            </w:tcBorders>
          </w:tcPr>
          <w:p>
            <w:pPr>
              <w:spacing w:after="20"/>
            </w:pPr>
            <w:r>
              <w:rPr>
                <w:b/>
                <w:color w:val="071827"/>
                <w:sz w:val="17"/>
              </w:rPr>
              <w:t>Economics</w:t>
            </w:r>
          </w:p>
        </w:tc>
        <w:tc>
          <w:tcPr>
            <w:tcW w:type="dxa" w:w="6984"/>
            <w:vAlign w:val="top"/>
            <w:tcBorders>
              <w:bottom w:val="single" w:sz="2" w:color="D7DFE5"/>
            </w:tcBorders>
          </w:tcPr>
          <w:p>
            <w:pPr>
              <w:spacing w:after="20"/>
            </w:pPr>
            <w:r>
              <w:rPr>
                <w:color w:val="24313D"/>
                <w:sz w:val="17"/>
              </w:rPr>
              <w:t>Conservative value pool normally at least 4× first-year fee</w:t>
            </w:r>
          </w:p>
        </w:tc>
      </w:tr>
      <w:tr>
        <w:trPr>
          <w:cantSplit/>
        </w:trPr>
        <w:tc>
          <w:tcPr>
            <w:tcW w:type="dxa" w:w="3096"/>
            <w:vAlign w:val="top"/>
            <w:shd w:fill="F2F5F7"/>
            <w:tcBorders>
              <w:bottom w:val="single" w:sz="2" w:color="D7DFE5"/>
            </w:tcBorders>
          </w:tcPr>
          <w:p>
            <w:pPr>
              <w:spacing w:after="20"/>
            </w:pPr>
            <w:r>
              <w:rPr>
                <w:b/>
                <w:color w:val="071827"/>
                <w:sz w:val="17"/>
              </w:rPr>
              <w:t>Recurrence</w:t>
            </w:r>
          </w:p>
        </w:tc>
        <w:tc>
          <w:tcPr>
            <w:tcW w:type="dxa" w:w="6984"/>
            <w:vAlign w:val="top"/>
            <w:shd w:fill="F2F5F7"/>
            <w:tcBorders>
              <w:bottom w:val="single" w:sz="2" w:color="D7DFE5"/>
            </w:tcBorders>
          </w:tcPr>
          <w:p>
            <w:pPr>
              <w:spacing w:after="20"/>
            </w:pPr>
            <w:r>
              <w:rPr>
                <w:color w:val="24313D"/>
                <w:sz w:val="17"/>
              </w:rPr>
              <w:t>Ongoing monitoring, claim freshness, governance, RFP, audit or capability need</w:t>
            </w:r>
          </w:p>
        </w:tc>
      </w:tr>
      <w:tr>
        <w:trPr>
          <w:cantSplit/>
        </w:trPr>
        <w:tc>
          <w:tcPr>
            <w:tcW w:type="dxa" w:w="3096"/>
            <w:vAlign w:val="top"/>
            <w:tcBorders>
              <w:bottom w:val="single" w:sz="2" w:color="D7DFE5"/>
            </w:tcBorders>
          </w:tcPr>
          <w:p>
            <w:pPr>
              <w:spacing w:after="20"/>
            </w:pPr>
            <w:r>
              <w:rPr>
                <w:b/>
                <w:color w:val="071827"/>
                <w:sz w:val="17"/>
              </w:rPr>
              <w:t>Rights</w:t>
            </w:r>
          </w:p>
        </w:tc>
        <w:tc>
          <w:tcPr>
            <w:tcW w:type="dxa" w:w="6984"/>
            <w:vAlign w:val="top"/>
            <w:tcBorders>
              <w:bottom w:val="single" w:sz="2" w:color="D7DFE5"/>
            </w:tcBorders>
          </w:tcPr>
          <w:p>
            <w:pPr>
              <w:spacing w:after="20"/>
            </w:pPr>
            <w:r>
              <w:rPr>
                <w:color w:val="24313D"/>
                <w:sz w:val="17"/>
              </w:rPr>
              <w:t>Explicit mission-only, customer-private, network-admissible or sector-exclusive treatment</w:t>
            </w:r>
          </w:p>
        </w:tc>
      </w:tr>
    </w:tbl>
    <w:p>
      <w:pPr>
        <w:spacing w:after="0"/>
      </w:pPr>
    </w:p>
    <w:p>
      <w:pPr>
        <w:pStyle w:val="Heading1"/>
      </w:pPr>
      <w:r>
        <w:t>4. The product and revenue architecture</w:t>
      </w:r>
    </w:p>
    <w:p>
      <w:r>
        <w:drawing>
          <wp:inline xmlns:a="http://schemas.openxmlformats.org/drawingml/2006/main" xmlns:pic="http://schemas.openxmlformats.org/drawingml/2006/picture">
            <wp:extent cx="6400800" cy="2773680"/>
            <wp:docPr id="2" name="Picture 2"/>
            <wp:cNvGraphicFramePr>
              <a:graphicFrameLocks noChangeAspect="1"/>
            </wp:cNvGraphicFramePr>
            <a:graphic>
              <a:graphicData uri="http://schemas.openxmlformats.org/drawingml/2006/picture">
                <pic:pic>
                  <pic:nvPicPr>
                    <pic:cNvPr id="0" name="economic_chain.png"/>
                    <pic:cNvPicPr/>
                  </pic:nvPicPr>
                  <pic:blipFill>
                    <a:blip r:embed="rId12"/>
                    <a:stretch>
                      <a:fillRect/>
                    </a:stretch>
                  </pic:blipFill>
                  <pic:spPr>
                    <a:xfrm>
                      <a:off x="0" y="0"/>
                      <a:ext cx="6400800" cy="2773680"/>
                    </a:xfrm>
                    <a:prstGeom prst="rect"/>
                  </pic:spPr>
                </pic:pic>
              </a:graphicData>
            </a:graphic>
          </wp:inline>
        </w:drawing>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04"/>
            <w:shd w:fill="0E2B3B"/>
            <w:vAlign w:val="center"/>
            <w:tcBorders>
              <w:bottom w:val="single" w:sz="8" w:color="D6A13C"/>
            </w:tcBorders>
          </w:tcPr>
          <w:p>
            <w:pPr>
              <w:jc w:val="center"/>
            </w:pPr>
            <w:r>
              <w:rPr>
                <w:b/>
                <w:color w:val="FFFFFF"/>
                <w:sz w:val="16"/>
              </w:rPr>
              <w:t>Product</w:t>
            </w:r>
          </w:p>
        </w:tc>
        <w:tc>
          <w:tcPr>
            <w:tcW w:type="dxa" w:w="3528"/>
            <w:shd w:fill="0E2B3B"/>
            <w:vAlign w:val="center"/>
            <w:tcBorders>
              <w:bottom w:val="single" w:sz="8" w:color="D6A13C"/>
            </w:tcBorders>
          </w:tcPr>
          <w:p>
            <w:pPr>
              <w:jc w:val="center"/>
            </w:pPr>
            <w:r>
              <w:rPr>
                <w:b/>
                <w:color w:val="FFFFFF"/>
                <w:sz w:val="16"/>
              </w:rPr>
              <w:t>Customer outcome</w:t>
            </w:r>
          </w:p>
        </w:tc>
        <w:tc>
          <w:tcPr>
            <w:tcW w:type="dxa" w:w="1944"/>
            <w:shd w:fill="0E2B3B"/>
            <w:vAlign w:val="center"/>
            <w:tcBorders>
              <w:bottom w:val="single" w:sz="8" w:color="D6A13C"/>
            </w:tcBorders>
          </w:tcPr>
          <w:p>
            <w:pPr>
              <w:jc w:val="center"/>
            </w:pPr>
            <w:r>
              <w:rPr>
                <w:b/>
                <w:color w:val="FFFFFF"/>
                <w:sz w:val="16"/>
              </w:rPr>
              <w:t>Initial pricing hypothesis</w:t>
            </w:r>
          </w:p>
        </w:tc>
        <w:tc>
          <w:tcPr>
            <w:tcW w:type="dxa" w:w="2304"/>
            <w:shd w:fill="0E2B3B"/>
            <w:vAlign w:val="center"/>
            <w:tcBorders>
              <w:bottom w:val="single" w:sz="8" w:color="D6A13C"/>
            </w:tcBorders>
          </w:tcPr>
          <w:p>
            <w:pPr>
              <w:jc w:val="center"/>
            </w:pPr>
            <w:r>
              <w:rPr>
                <w:b/>
                <w:color w:val="FFFFFF"/>
                <w:sz w:val="16"/>
              </w:rPr>
              <w:t>Strategic function</w:t>
            </w:r>
          </w:p>
        </w:tc>
      </w:tr>
      <w:tr>
        <w:trPr>
          <w:cantSplit/>
        </w:trPr>
        <w:tc>
          <w:tcPr>
            <w:tcW w:type="dxa" w:w="2304"/>
            <w:vAlign w:val="top"/>
            <w:tcBorders>
              <w:bottom w:val="single" w:sz="2" w:color="D7DFE5"/>
            </w:tcBorders>
          </w:tcPr>
          <w:p>
            <w:pPr>
              <w:spacing w:after="20"/>
            </w:pPr>
            <w:r>
              <w:rPr>
                <w:b/>
                <w:color w:val="071827"/>
                <w:sz w:val="15"/>
              </w:rPr>
              <w:t>Proof Readiness Scan</w:t>
            </w:r>
          </w:p>
        </w:tc>
        <w:tc>
          <w:tcPr>
            <w:tcW w:type="dxa" w:w="3528"/>
            <w:vAlign w:val="top"/>
            <w:tcBorders>
              <w:bottom w:val="single" w:sz="2" w:color="D7DFE5"/>
            </w:tcBorders>
          </w:tcPr>
          <w:p>
            <w:pPr>
              <w:spacing w:after="20"/>
            </w:pPr>
            <w:r>
              <w:rPr>
                <w:color w:val="24313D"/>
                <w:sz w:val="15"/>
              </w:rPr>
              <w:t>Initial diagnosis, Proof Debt and value-at-stake estimate</w:t>
            </w:r>
          </w:p>
        </w:tc>
        <w:tc>
          <w:tcPr>
            <w:tcW w:type="dxa" w:w="1944"/>
            <w:vAlign w:val="top"/>
            <w:tcBorders>
              <w:bottom w:val="single" w:sz="2" w:color="D7DFE5"/>
            </w:tcBorders>
          </w:tcPr>
          <w:p>
            <w:pPr>
              <w:spacing w:after="20"/>
            </w:pPr>
            <w:r>
              <w:rPr>
                <w:color w:val="24313D"/>
                <w:sz w:val="15"/>
              </w:rPr>
              <w:t>Free–$495</w:t>
            </w:r>
          </w:p>
        </w:tc>
        <w:tc>
          <w:tcPr>
            <w:tcW w:type="dxa" w:w="2304"/>
            <w:vAlign w:val="top"/>
            <w:tcBorders>
              <w:bottom w:val="single" w:sz="2" w:color="D7DFE5"/>
            </w:tcBorders>
          </w:tcPr>
          <w:p>
            <w:pPr>
              <w:spacing w:after="20"/>
            </w:pPr>
            <w:r>
              <w:rPr>
                <w:color w:val="24313D"/>
                <w:sz w:val="15"/>
              </w:rPr>
              <w:t>Acquisition and self-selection</w:t>
            </w:r>
          </w:p>
        </w:tc>
      </w:tr>
      <w:tr>
        <w:trPr>
          <w:cantSplit/>
        </w:trPr>
        <w:tc>
          <w:tcPr>
            <w:tcW w:type="dxa" w:w="2304"/>
            <w:vAlign w:val="top"/>
            <w:shd w:fill="F2F5F7"/>
            <w:tcBorders>
              <w:bottom w:val="single" w:sz="2" w:color="D7DFE5"/>
            </w:tcBorders>
          </w:tcPr>
          <w:p>
            <w:pPr>
              <w:spacing w:after="20"/>
            </w:pPr>
            <w:r>
              <w:rPr>
                <w:b/>
                <w:color w:val="071827"/>
                <w:sz w:val="15"/>
              </w:rPr>
              <w:t>Proof Mission Activation</w:t>
            </w:r>
          </w:p>
        </w:tc>
        <w:tc>
          <w:tcPr>
            <w:tcW w:type="dxa" w:w="3528"/>
            <w:vAlign w:val="top"/>
            <w:shd w:fill="F2F5F7"/>
            <w:tcBorders>
              <w:bottom w:val="single" w:sz="2" w:color="D7DFE5"/>
            </w:tcBorders>
          </w:tcPr>
          <w:p>
            <w:pPr>
              <w:spacing w:after="20"/>
            </w:pPr>
            <w:r>
              <w:rPr>
                <w:color w:val="24313D"/>
                <w:sz w:val="15"/>
              </w:rPr>
              <w:t>Mission Contract, claims matrix, evidence plan, ROI case</w:t>
            </w:r>
          </w:p>
        </w:tc>
        <w:tc>
          <w:tcPr>
            <w:tcW w:type="dxa" w:w="1944"/>
            <w:vAlign w:val="top"/>
            <w:shd w:fill="F2F5F7"/>
            <w:tcBorders>
              <w:bottom w:val="single" w:sz="2" w:color="D7DFE5"/>
            </w:tcBorders>
          </w:tcPr>
          <w:p>
            <w:pPr>
              <w:spacing w:after="20"/>
            </w:pPr>
            <w:r>
              <w:rPr>
                <w:color w:val="24313D"/>
                <w:sz w:val="15"/>
              </w:rPr>
              <w:t>$15,000</w:t>
            </w:r>
          </w:p>
        </w:tc>
        <w:tc>
          <w:tcPr>
            <w:tcW w:type="dxa" w:w="2304"/>
            <w:vAlign w:val="top"/>
            <w:shd w:fill="F2F5F7"/>
            <w:tcBorders>
              <w:bottom w:val="single" w:sz="2" w:color="D7DFE5"/>
            </w:tcBorders>
          </w:tcPr>
          <w:p>
            <w:pPr>
              <w:spacing w:after="20"/>
            </w:pPr>
            <w:r>
              <w:rPr>
                <w:color w:val="24313D"/>
                <w:sz w:val="15"/>
              </w:rPr>
              <w:t>Near-zero-cost paid front door</w:t>
            </w:r>
          </w:p>
        </w:tc>
      </w:tr>
      <w:tr>
        <w:trPr>
          <w:cantSplit/>
        </w:trPr>
        <w:tc>
          <w:tcPr>
            <w:tcW w:type="dxa" w:w="2304"/>
            <w:vAlign w:val="top"/>
            <w:tcBorders>
              <w:bottom w:val="single" w:sz="2" w:color="D7DFE5"/>
            </w:tcBorders>
          </w:tcPr>
          <w:p>
            <w:pPr>
              <w:spacing w:after="20"/>
            </w:pPr>
            <w:r>
              <w:rPr>
                <w:b/>
                <w:color w:val="071827"/>
                <w:sz w:val="15"/>
              </w:rPr>
              <w:t>GoalOS Proof Mission</w:t>
            </w:r>
          </w:p>
        </w:tc>
        <w:tc>
          <w:tcPr>
            <w:tcW w:type="dxa" w:w="3528"/>
            <w:vAlign w:val="top"/>
            <w:tcBorders>
              <w:bottom w:val="single" w:sz="2" w:color="D7DFE5"/>
            </w:tcBorders>
          </w:tcPr>
          <w:p>
            <w:pPr>
              <w:spacing w:after="20"/>
            </w:pPr>
            <w:r>
              <w:rPr>
                <w:color w:val="24313D"/>
                <w:sz w:val="15"/>
              </w:rPr>
              <w:t>Executed, reviewed and decision-grade outcome</w:t>
            </w:r>
          </w:p>
        </w:tc>
        <w:tc>
          <w:tcPr>
            <w:tcW w:type="dxa" w:w="1944"/>
            <w:vAlign w:val="top"/>
            <w:tcBorders>
              <w:bottom w:val="single" w:sz="2" w:color="D7DFE5"/>
            </w:tcBorders>
          </w:tcPr>
          <w:p>
            <w:pPr>
              <w:spacing w:after="20"/>
            </w:pPr>
            <w:r>
              <w:rPr>
                <w:color w:val="24313D"/>
                <w:sz w:val="15"/>
              </w:rPr>
              <w:t>$50,000–$150,000</w:t>
            </w:r>
          </w:p>
        </w:tc>
        <w:tc>
          <w:tcPr>
            <w:tcW w:type="dxa" w:w="2304"/>
            <w:vAlign w:val="top"/>
            <w:tcBorders>
              <w:bottom w:val="single" w:sz="2" w:color="D7DFE5"/>
            </w:tcBorders>
          </w:tcPr>
          <w:p>
            <w:pPr>
              <w:spacing w:after="20"/>
            </w:pPr>
            <w:r>
              <w:rPr>
                <w:color w:val="24313D"/>
                <w:sz w:val="15"/>
              </w:rPr>
              <w:t>Customer proof and capability creation</w:t>
            </w:r>
          </w:p>
        </w:tc>
      </w:tr>
      <w:tr>
        <w:trPr>
          <w:cantSplit/>
        </w:trPr>
        <w:tc>
          <w:tcPr>
            <w:tcW w:type="dxa" w:w="2304"/>
            <w:vAlign w:val="top"/>
            <w:shd w:fill="F2F5F7"/>
            <w:tcBorders>
              <w:bottom w:val="single" w:sz="2" w:color="D7DFE5"/>
            </w:tcBorders>
          </w:tcPr>
          <w:p>
            <w:pPr>
              <w:spacing w:after="20"/>
            </w:pPr>
            <w:r>
              <w:rPr>
                <w:b/>
                <w:color w:val="071827"/>
                <w:sz w:val="15"/>
              </w:rPr>
              <w:t>GoalOS Proof Office</w:t>
            </w:r>
          </w:p>
        </w:tc>
        <w:tc>
          <w:tcPr>
            <w:tcW w:type="dxa" w:w="3528"/>
            <w:vAlign w:val="top"/>
            <w:shd w:fill="F2F5F7"/>
            <w:tcBorders>
              <w:bottom w:val="single" w:sz="2" w:color="D7DFE5"/>
            </w:tcBorders>
          </w:tcPr>
          <w:p>
            <w:pPr>
              <w:spacing w:after="20"/>
            </w:pPr>
            <w:r>
              <w:rPr>
                <w:color w:val="24313D"/>
                <w:sz w:val="15"/>
              </w:rPr>
              <w:t>Continuing evidence, governance, Chronicle and executive control</w:t>
            </w:r>
          </w:p>
        </w:tc>
        <w:tc>
          <w:tcPr>
            <w:tcW w:type="dxa" w:w="1944"/>
            <w:vAlign w:val="top"/>
            <w:shd w:fill="F2F5F7"/>
            <w:tcBorders>
              <w:bottom w:val="single" w:sz="2" w:color="D7DFE5"/>
            </w:tcBorders>
          </w:tcPr>
          <w:p>
            <w:pPr>
              <w:spacing w:after="20"/>
            </w:pPr>
            <w:r>
              <w:rPr>
                <w:color w:val="24313D"/>
                <w:sz w:val="15"/>
              </w:rPr>
              <w:t>$15,000–$50,000/month</w:t>
            </w:r>
          </w:p>
        </w:tc>
        <w:tc>
          <w:tcPr>
            <w:tcW w:type="dxa" w:w="2304"/>
            <w:vAlign w:val="top"/>
            <w:shd w:fill="F2F5F7"/>
            <w:tcBorders>
              <w:bottom w:val="single" w:sz="2" w:color="D7DFE5"/>
            </w:tcBorders>
          </w:tcPr>
          <w:p>
            <w:pPr>
              <w:spacing w:after="20"/>
            </w:pPr>
            <w:r>
              <w:rPr>
                <w:color w:val="24313D"/>
                <w:sz w:val="15"/>
              </w:rPr>
              <w:t>Recurring enterprise relationship</w:t>
            </w:r>
          </w:p>
        </w:tc>
      </w:tr>
      <w:tr>
        <w:trPr>
          <w:cantSplit/>
        </w:trPr>
        <w:tc>
          <w:tcPr>
            <w:tcW w:type="dxa" w:w="2304"/>
            <w:vAlign w:val="top"/>
            <w:tcBorders>
              <w:bottom w:val="single" w:sz="2" w:color="D7DFE5"/>
            </w:tcBorders>
          </w:tcPr>
          <w:p>
            <w:pPr>
              <w:spacing w:after="20"/>
            </w:pPr>
            <w:r>
              <w:rPr>
                <w:b/>
                <w:color w:val="071827"/>
                <w:sz w:val="15"/>
              </w:rPr>
              <w:t>Private Enterprise Network</w:t>
            </w:r>
          </w:p>
        </w:tc>
        <w:tc>
          <w:tcPr>
            <w:tcW w:type="dxa" w:w="3528"/>
            <w:vAlign w:val="top"/>
            <w:tcBorders>
              <w:bottom w:val="single" w:sz="2" w:color="D7DFE5"/>
            </w:tcBorders>
          </w:tcPr>
          <w:p>
            <w:pPr>
              <w:spacing w:after="20"/>
            </w:pPr>
            <w:r>
              <w:rPr>
                <w:color w:val="24313D"/>
                <w:sz w:val="15"/>
              </w:rPr>
              <w:t>Dedicated integrations, protected runtime, private graph and managed review</w:t>
            </w:r>
          </w:p>
        </w:tc>
        <w:tc>
          <w:tcPr>
            <w:tcW w:type="dxa" w:w="1944"/>
            <w:vAlign w:val="top"/>
            <w:tcBorders>
              <w:bottom w:val="single" w:sz="2" w:color="D7DFE5"/>
            </w:tcBorders>
          </w:tcPr>
          <w:p>
            <w:pPr>
              <w:spacing w:after="20"/>
            </w:pPr>
            <w:r>
              <w:rPr>
                <w:color w:val="24313D"/>
                <w:sz w:val="15"/>
              </w:rPr>
              <w:t>$250,000–$1M+/year</w:t>
            </w:r>
          </w:p>
        </w:tc>
        <w:tc>
          <w:tcPr>
            <w:tcW w:type="dxa" w:w="2304"/>
            <w:vAlign w:val="top"/>
            <w:tcBorders>
              <w:bottom w:val="single" w:sz="2" w:color="D7DFE5"/>
            </w:tcBorders>
          </w:tcPr>
          <w:p>
            <w:pPr>
              <w:spacing w:after="20"/>
            </w:pPr>
            <w:r>
              <w:rPr>
                <w:color w:val="24313D"/>
                <w:sz w:val="15"/>
              </w:rPr>
              <w:t>Platform-scale revenue and switching costs</w:t>
            </w:r>
          </w:p>
        </w:tc>
      </w:tr>
      <w:tr>
        <w:trPr>
          <w:cantSplit/>
        </w:trPr>
        <w:tc>
          <w:tcPr>
            <w:tcW w:type="dxa" w:w="2304"/>
            <w:vAlign w:val="top"/>
            <w:shd w:fill="F2F5F7"/>
            <w:tcBorders>
              <w:bottom w:val="single" w:sz="2" w:color="D7DFE5"/>
            </w:tcBorders>
          </w:tcPr>
          <w:p>
            <w:pPr>
              <w:spacing w:after="20"/>
            </w:pPr>
            <w:r>
              <w:rPr>
                <w:b/>
                <w:color w:val="071827"/>
                <w:sz w:val="15"/>
              </w:rPr>
              <w:t>Protected Capability Invocation</w:t>
            </w:r>
          </w:p>
        </w:tc>
        <w:tc>
          <w:tcPr>
            <w:tcW w:type="dxa" w:w="3528"/>
            <w:vAlign w:val="top"/>
            <w:shd w:fill="F2F5F7"/>
            <w:tcBorders>
              <w:bottom w:val="single" w:sz="2" w:color="D7DFE5"/>
            </w:tcBorders>
          </w:tcPr>
          <w:p>
            <w:pPr>
              <w:spacing w:after="20"/>
            </w:pPr>
            <w:r>
              <w:rPr>
                <w:color w:val="24313D"/>
                <w:sz w:val="15"/>
              </w:rPr>
              <w:t>Governed reuse of private Chronicle-admitted capability</w:t>
            </w:r>
          </w:p>
        </w:tc>
        <w:tc>
          <w:tcPr>
            <w:tcW w:type="dxa" w:w="1944"/>
            <w:vAlign w:val="top"/>
            <w:shd w:fill="F2F5F7"/>
            <w:tcBorders>
              <w:bottom w:val="single" w:sz="2" w:color="D7DFE5"/>
            </w:tcBorders>
          </w:tcPr>
          <w:p>
            <w:pPr>
              <w:spacing w:after="20"/>
            </w:pPr>
            <w:r>
              <w:rPr>
                <w:color w:val="24313D"/>
                <w:sz w:val="15"/>
              </w:rPr>
              <w:t>Usage based</w:t>
            </w:r>
          </w:p>
        </w:tc>
        <w:tc>
          <w:tcPr>
            <w:tcW w:type="dxa" w:w="2304"/>
            <w:vAlign w:val="top"/>
            <w:shd w:fill="F2F5F7"/>
            <w:tcBorders>
              <w:bottom w:val="single" w:sz="2" w:color="D7DFE5"/>
            </w:tcBorders>
          </w:tcPr>
          <w:p>
            <w:pPr>
              <w:spacing w:after="20"/>
            </w:pPr>
            <w:r>
              <w:rPr>
                <w:color w:val="24313D"/>
                <w:sz w:val="15"/>
              </w:rPr>
              <w:t>90%+ mature gross margin</w:t>
            </w:r>
          </w:p>
        </w:tc>
      </w:tr>
      <w:tr>
        <w:trPr>
          <w:cantSplit/>
        </w:trPr>
        <w:tc>
          <w:tcPr>
            <w:tcW w:type="dxa" w:w="2304"/>
            <w:vAlign w:val="top"/>
            <w:tcBorders>
              <w:bottom w:val="single" w:sz="2" w:color="D7DFE5"/>
            </w:tcBorders>
          </w:tcPr>
          <w:p>
            <w:pPr>
              <w:spacing w:after="20"/>
            </w:pPr>
            <w:r>
              <w:rPr>
                <w:b/>
                <w:color w:val="071827"/>
                <w:sz w:val="15"/>
              </w:rPr>
              <w:t>AGI Jobs / Validator Network</w:t>
            </w:r>
          </w:p>
        </w:tc>
        <w:tc>
          <w:tcPr>
            <w:tcW w:type="dxa" w:w="3528"/>
            <w:vAlign w:val="top"/>
            <w:tcBorders>
              <w:bottom w:val="single" w:sz="2" w:color="D7DFE5"/>
            </w:tcBorders>
          </w:tcPr>
          <w:p>
            <w:pPr>
              <w:spacing w:after="20"/>
            </w:pPr>
            <w:r>
              <w:rPr>
                <w:color w:val="24313D"/>
                <w:sz w:val="15"/>
              </w:rPr>
              <w:t>Bounded work and independent review coordination</w:t>
            </w:r>
          </w:p>
        </w:tc>
        <w:tc>
          <w:tcPr>
            <w:tcW w:type="dxa" w:w="1944"/>
            <w:vAlign w:val="top"/>
            <w:tcBorders>
              <w:bottom w:val="single" w:sz="2" w:color="D7DFE5"/>
            </w:tcBorders>
          </w:tcPr>
          <w:p>
            <w:pPr>
              <w:spacing w:after="20"/>
            </w:pPr>
            <w:r>
              <w:rPr>
                <w:color w:val="24313D"/>
                <w:sz w:val="15"/>
              </w:rPr>
              <w:t>10–20% network fee</w:t>
            </w:r>
          </w:p>
        </w:tc>
        <w:tc>
          <w:tcPr>
            <w:tcW w:type="dxa" w:w="2304"/>
            <w:vAlign w:val="top"/>
            <w:tcBorders>
              <w:bottom w:val="single" w:sz="2" w:color="D7DFE5"/>
            </w:tcBorders>
          </w:tcPr>
          <w:p>
            <w:pPr>
              <w:spacing w:after="20"/>
            </w:pPr>
            <w:r>
              <w:rPr>
                <w:color w:val="24313D"/>
                <w:sz w:val="15"/>
              </w:rPr>
              <w:t>Transaction and ecosystem economics</w:t>
            </w:r>
          </w:p>
        </w:tc>
      </w:tr>
    </w:tbl>
    <w:p>
      <w:pPr>
        <w:spacing w:after="0"/>
      </w:pPr>
    </w:p>
    <w:p>
      <w:pPr>
        <w:pStyle w:val="Heading1"/>
      </w:pPr>
      <w:r>
        <w:t>5. Pricing doctrine</w:t>
      </w:r>
    </w:p>
    <w:p>
      <w:r>
        <w:t>GoalOS should calculate two prices and use the higher one:</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Value-based price = 5–15% of conservative attributable customer value.  Margin-floor price = expected variable cost ÷ (1 − required gross margin).</w:t>
            </w:r>
          </w:p>
        </w:tc>
      </w:tr>
    </w:tbl>
    <w:p>
      <w:pPr>
        <w:spacing w:after="0"/>
      </w:pPr>
    </w:p>
    <w:p>
      <w:r>
        <w:t>Example: if a mission costs $18,750 to deliver and requires a 75% gross margin, the minimum price is $75,000. If the conservative value is $1M and the value-based target is 10%, the quoted price is $100,000—subject to scope, assurance and risk.</w:t>
      </w:r>
    </w:p>
    <w:p>
      <w:pPr>
        <w:pStyle w:val="ListBullet"/>
        <w:spacing w:after="40"/>
      </w:pPr>
      <w:r>
        <w:t>No measurable value pool, no standard offer.</w:t>
      </w:r>
    </w:p>
    <w:p>
      <w:pPr>
        <w:pStyle w:val="ListBullet"/>
        <w:spacing w:after="40"/>
      </w:pPr>
      <w:r>
        <w:t>No margin floor, no quote.</w:t>
      </w:r>
    </w:p>
    <w:p>
      <w:pPr>
        <w:pStyle w:val="ListBullet"/>
        <w:spacing w:after="40"/>
      </w:pPr>
      <w:r>
        <w:t>No approved clause path, no contract.</w:t>
      </w:r>
    </w:p>
    <w:p>
      <w:pPr>
        <w:pStyle w:val="ListBullet"/>
        <w:spacing w:after="40"/>
      </w:pPr>
      <w:r>
        <w:t>No collected payment, no capacity reservation.</w:t>
      </w:r>
    </w:p>
    <w:p>
      <w:pPr>
        <w:pStyle w:val="ListBullet"/>
        <w:spacing w:after="40"/>
      </w:pPr>
      <w:r>
        <w:t>No frozen acceptance criteria, no execution.</w:t>
      </w:r>
    </w:p>
    <w:p>
      <w:pPr>
        <w:pStyle w:val="ListBullet"/>
        <w:spacing w:after="40"/>
      </w:pPr>
      <w:r>
        <w:t>No verified continuing need, no renewal.</w:t>
      </w:r>
    </w:p>
    <w:p>
      <w:pPr>
        <w:pStyle w:val="Heading1"/>
      </w:pPr>
      <w:r>
        <w:t>6. Unit economics and customer ROI</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4032"/>
            <w:shd w:fill="0E2B3B"/>
            <w:vAlign w:val="center"/>
            <w:tcBorders>
              <w:bottom w:val="single" w:sz="8" w:color="D6A13C"/>
            </w:tcBorders>
          </w:tcPr>
          <w:p>
            <w:pPr>
              <w:jc w:val="center"/>
            </w:pPr>
            <w:r>
              <w:rPr>
                <w:b/>
                <w:color w:val="FFFFFF"/>
                <w:sz w:val="18"/>
              </w:rPr>
              <w:t>Complete first-year relationship</w:t>
            </w:r>
          </w:p>
        </w:tc>
        <w:tc>
          <w:tcPr>
            <w:tcW w:type="dxa" w:w="1872"/>
            <w:shd w:fill="0E2B3B"/>
            <w:vAlign w:val="center"/>
            <w:tcBorders>
              <w:bottom w:val="single" w:sz="8" w:color="D6A13C"/>
            </w:tcBorders>
          </w:tcPr>
          <w:p>
            <w:pPr>
              <w:jc w:val="center"/>
            </w:pPr>
            <w:r>
              <w:rPr>
                <w:b/>
                <w:color w:val="FFFFFF"/>
                <w:sz w:val="18"/>
              </w:rPr>
              <w:t>Revenue</w:t>
            </w:r>
          </w:p>
        </w:tc>
        <w:tc>
          <w:tcPr>
            <w:tcW w:type="dxa" w:w="1872"/>
            <w:shd w:fill="0E2B3B"/>
            <w:vAlign w:val="center"/>
            <w:tcBorders>
              <w:bottom w:val="single" w:sz="8" w:color="D6A13C"/>
            </w:tcBorders>
          </w:tcPr>
          <w:p>
            <w:pPr>
              <w:jc w:val="center"/>
            </w:pPr>
            <w:r>
              <w:rPr>
                <w:b/>
                <w:color w:val="FFFFFF"/>
                <w:sz w:val="18"/>
              </w:rPr>
              <w:t>Direct cost</w:t>
            </w:r>
          </w:p>
        </w:tc>
        <w:tc>
          <w:tcPr>
            <w:tcW w:type="dxa" w:w="2016"/>
            <w:shd w:fill="0E2B3B"/>
            <w:vAlign w:val="center"/>
            <w:tcBorders>
              <w:bottom w:val="single" w:sz="8" w:color="D6A13C"/>
            </w:tcBorders>
          </w:tcPr>
          <w:p>
            <w:pPr>
              <w:jc w:val="center"/>
            </w:pPr>
            <w:r>
              <w:rPr>
                <w:b/>
                <w:color w:val="FFFFFF"/>
                <w:sz w:val="18"/>
              </w:rPr>
              <w:t>Gross profit</w:t>
            </w:r>
          </w:p>
        </w:tc>
      </w:tr>
      <w:tr>
        <w:trPr>
          <w:cantSplit/>
        </w:trPr>
        <w:tc>
          <w:tcPr>
            <w:tcW w:type="dxa" w:w="4032"/>
            <w:vAlign w:val="top"/>
            <w:tcBorders>
              <w:bottom w:val="single" w:sz="2" w:color="D7DFE5"/>
            </w:tcBorders>
          </w:tcPr>
          <w:p>
            <w:pPr>
              <w:spacing w:after="20"/>
            </w:pPr>
            <w:r>
              <w:rPr>
                <w:b/>
                <w:color w:val="071827"/>
                <w:sz w:val="17"/>
              </w:rPr>
              <w:t>Proof Mission Activation</w:t>
            </w:r>
          </w:p>
        </w:tc>
        <w:tc>
          <w:tcPr>
            <w:tcW w:type="dxa" w:w="1872"/>
            <w:vAlign w:val="top"/>
            <w:tcBorders>
              <w:bottom w:val="single" w:sz="2" w:color="D7DFE5"/>
            </w:tcBorders>
          </w:tcPr>
          <w:p>
            <w:pPr>
              <w:spacing w:after="20"/>
            </w:pPr>
            <w:r>
              <w:rPr>
                <w:color w:val="24313D"/>
                <w:sz w:val="17"/>
              </w:rPr>
              <w:t>$15,000</w:t>
            </w:r>
          </w:p>
        </w:tc>
        <w:tc>
          <w:tcPr>
            <w:tcW w:type="dxa" w:w="1872"/>
            <w:vAlign w:val="top"/>
            <w:tcBorders>
              <w:bottom w:val="single" w:sz="2" w:color="D7DFE5"/>
            </w:tcBorders>
          </w:tcPr>
          <w:p>
            <w:pPr>
              <w:spacing w:after="20"/>
            </w:pPr>
            <w:r>
              <w:rPr>
                <w:color w:val="24313D"/>
                <w:sz w:val="17"/>
              </w:rPr>
              <w:t>$500</w:t>
            </w:r>
          </w:p>
        </w:tc>
        <w:tc>
          <w:tcPr>
            <w:tcW w:type="dxa" w:w="2016"/>
            <w:vAlign w:val="top"/>
            <w:tcBorders>
              <w:bottom w:val="single" w:sz="2" w:color="D7DFE5"/>
            </w:tcBorders>
          </w:tcPr>
          <w:p>
            <w:pPr>
              <w:spacing w:after="20"/>
            </w:pPr>
            <w:r>
              <w:rPr>
                <w:color w:val="24313D"/>
                <w:sz w:val="17"/>
              </w:rPr>
              <w:t>$14,500</w:t>
            </w:r>
          </w:p>
        </w:tc>
      </w:tr>
      <w:tr>
        <w:trPr>
          <w:cantSplit/>
        </w:trPr>
        <w:tc>
          <w:tcPr>
            <w:tcW w:type="dxa" w:w="4032"/>
            <w:vAlign w:val="top"/>
            <w:shd w:fill="F2F5F7"/>
            <w:tcBorders>
              <w:bottom w:val="single" w:sz="2" w:color="D7DFE5"/>
            </w:tcBorders>
          </w:tcPr>
          <w:p>
            <w:pPr>
              <w:spacing w:after="20"/>
            </w:pPr>
            <w:r>
              <w:rPr>
                <w:b/>
                <w:color w:val="071827"/>
                <w:sz w:val="17"/>
              </w:rPr>
              <w:t>Proof Mission</w:t>
            </w:r>
          </w:p>
        </w:tc>
        <w:tc>
          <w:tcPr>
            <w:tcW w:type="dxa" w:w="1872"/>
            <w:vAlign w:val="top"/>
            <w:shd w:fill="F2F5F7"/>
            <w:tcBorders>
              <w:bottom w:val="single" w:sz="2" w:color="D7DFE5"/>
            </w:tcBorders>
          </w:tcPr>
          <w:p>
            <w:pPr>
              <w:spacing w:after="20"/>
            </w:pPr>
            <w:r>
              <w:rPr>
                <w:color w:val="24313D"/>
                <w:sz w:val="17"/>
              </w:rPr>
              <w:t>$75,000</w:t>
            </w:r>
          </w:p>
        </w:tc>
        <w:tc>
          <w:tcPr>
            <w:tcW w:type="dxa" w:w="1872"/>
            <w:vAlign w:val="top"/>
            <w:shd w:fill="F2F5F7"/>
            <w:tcBorders>
              <w:bottom w:val="single" w:sz="2" w:color="D7DFE5"/>
            </w:tcBorders>
          </w:tcPr>
          <w:p>
            <w:pPr>
              <w:spacing w:after="20"/>
            </w:pPr>
            <w:r>
              <w:rPr>
                <w:color w:val="24313D"/>
                <w:sz w:val="17"/>
              </w:rPr>
              <w:t>$18,750</w:t>
            </w:r>
          </w:p>
        </w:tc>
        <w:tc>
          <w:tcPr>
            <w:tcW w:type="dxa" w:w="2016"/>
            <w:vAlign w:val="top"/>
            <w:shd w:fill="F2F5F7"/>
            <w:tcBorders>
              <w:bottom w:val="single" w:sz="2" w:color="D7DFE5"/>
            </w:tcBorders>
          </w:tcPr>
          <w:p>
            <w:pPr>
              <w:spacing w:after="20"/>
            </w:pPr>
            <w:r>
              <w:rPr>
                <w:color w:val="24313D"/>
                <w:sz w:val="17"/>
              </w:rPr>
              <w:t>$56,250</w:t>
            </w:r>
          </w:p>
        </w:tc>
      </w:tr>
      <w:tr>
        <w:trPr>
          <w:cantSplit/>
        </w:trPr>
        <w:tc>
          <w:tcPr>
            <w:tcW w:type="dxa" w:w="4032"/>
            <w:vAlign w:val="top"/>
            <w:tcBorders>
              <w:bottom w:val="single" w:sz="2" w:color="D7DFE5"/>
            </w:tcBorders>
          </w:tcPr>
          <w:p>
            <w:pPr>
              <w:spacing w:after="20"/>
            </w:pPr>
            <w:r>
              <w:rPr>
                <w:b/>
                <w:color w:val="071827"/>
                <w:sz w:val="17"/>
              </w:rPr>
              <w:t>Proof Office</w:t>
            </w:r>
          </w:p>
        </w:tc>
        <w:tc>
          <w:tcPr>
            <w:tcW w:type="dxa" w:w="1872"/>
            <w:vAlign w:val="top"/>
            <w:tcBorders>
              <w:bottom w:val="single" w:sz="2" w:color="D7DFE5"/>
            </w:tcBorders>
          </w:tcPr>
          <w:p>
            <w:pPr>
              <w:spacing w:after="20"/>
            </w:pPr>
            <w:r>
              <w:rPr>
                <w:color w:val="24313D"/>
                <w:sz w:val="17"/>
              </w:rPr>
              <w:t>$216,000</w:t>
            </w:r>
          </w:p>
        </w:tc>
        <w:tc>
          <w:tcPr>
            <w:tcW w:type="dxa" w:w="1872"/>
            <w:vAlign w:val="top"/>
            <w:tcBorders>
              <w:bottom w:val="single" w:sz="2" w:color="D7DFE5"/>
            </w:tcBorders>
          </w:tcPr>
          <w:p>
            <w:pPr>
              <w:spacing w:after="20"/>
            </w:pPr>
            <w:r>
              <w:rPr>
                <w:color w:val="24313D"/>
                <w:sz w:val="17"/>
              </w:rPr>
              <w:t>$43,200</w:t>
            </w:r>
          </w:p>
        </w:tc>
        <w:tc>
          <w:tcPr>
            <w:tcW w:type="dxa" w:w="2016"/>
            <w:vAlign w:val="top"/>
            <w:tcBorders>
              <w:bottom w:val="single" w:sz="2" w:color="D7DFE5"/>
            </w:tcBorders>
          </w:tcPr>
          <w:p>
            <w:pPr>
              <w:spacing w:after="20"/>
            </w:pPr>
            <w:r>
              <w:rPr>
                <w:color w:val="24313D"/>
                <w:sz w:val="17"/>
              </w:rPr>
              <w:t>$172,800</w:t>
            </w:r>
          </w:p>
        </w:tc>
      </w:tr>
      <w:tr>
        <w:trPr>
          <w:cantSplit/>
        </w:trPr>
        <w:tc>
          <w:tcPr>
            <w:tcW w:type="dxa" w:w="4032"/>
            <w:vAlign w:val="top"/>
            <w:shd w:fill="F2F5F7"/>
            <w:tcBorders>
              <w:bottom w:val="single" w:sz="2" w:color="D7DFE5"/>
            </w:tcBorders>
          </w:tcPr>
          <w:p>
            <w:pPr>
              <w:spacing w:after="20"/>
            </w:pPr>
            <w:r>
              <w:rPr>
                <w:b/>
                <w:color w:val="071827"/>
                <w:sz w:val="17"/>
              </w:rPr>
              <w:t>Protected capability usage / validation</w:t>
            </w:r>
          </w:p>
        </w:tc>
        <w:tc>
          <w:tcPr>
            <w:tcW w:type="dxa" w:w="1872"/>
            <w:vAlign w:val="top"/>
            <w:shd w:fill="F2F5F7"/>
            <w:tcBorders>
              <w:bottom w:val="single" w:sz="2" w:color="D7DFE5"/>
            </w:tcBorders>
          </w:tcPr>
          <w:p>
            <w:pPr>
              <w:spacing w:after="20"/>
            </w:pPr>
            <w:r>
              <w:rPr>
                <w:color w:val="24313D"/>
                <w:sz w:val="17"/>
              </w:rPr>
              <w:t>$25,000</w:t>
            </w:r>
          </w:p>
        </w:tc>
        <w:tc>
          <w:tcPr>
            <w:tcW w:type="dxa" w:w="1872"/>
            <w:vAlign w:val="top"/>
            <w:shd w:fill="F2F5F7"/>
            <w:tcBorders>
              <w:bottom w:val="single" w:sz="2" w:color="D7DFE5"/>
            </w:tcBorders>
          </w:tcPr>
          <w:p>
            <w:pPr>
              <w:spacing w:after="20"/>
            </w:pPr>
            <w:r>
              <w:rPr>
                <w:color w:val="24313D"/>
                <w:sz w:val="17"/>
              </w:rPr>
              <w:t>$2,500</w:t>
            </w:r>
          </w:p>
        </w:tc>
        <w:tc>
          <w:tcPr>
            <w:tcW w:type="dxa" w:w="2016"/>
            <w:vAlign w:val="top"/>
            <w:shd w:fill="F2F5F7"/>
            <w:tcBorders>
              <w:bottom w:val="single" w:sz="2" w:color="D7DFE5"/>
            </w:tcBorders>
          </w:tcPr>
          <w:p>
            <w:pPr>
              <w:spacing w:after="20"/>
            </w:pPr>
            <w:r>
              <w:rPr>
                <w:color w:val="24313D"/>
                <w:sz w:val="17"/>
              </w:rPr>
              <w:t>$22,500</w:t>
            </w:r>
          </w:p>
        </w:tc>
      </w:tr>
      <w:tr>
        <w:trPr>
          <w:cantSplit/>
        </w:trPr>
        <w:tc>
          <w:tcPr>
            <w:tcW w:type="dxa" w:w="4032"/>
            <w:vAlign w:val="top"/>
            <w:tcBorders>
              <w:bottom w:val="single" w:sz="2" w:color="D7DFE5"/>
            </w:tcBorders>
          </w:tcPr>
          <w:p>
            <w:pPr>
              <w:spacing w:after="20"/>
            </w:pPr>
            <w:r>
              <w:rPr>
                <w:b/>
                <w:color w:val="071827"/>
                <w:sz w:val="17"/>
              </w:rPr>
              <w:t>Total</w:t>
            </w:r>
          </w:p>
        </w:tc>
        <w:tc>
          <w:tcPr>
            <w:tcW w:type="dxa" w:w="1872"/>
            <w:vAlign w:val="top"/>
            <w:tcBorders>
              <w:bottom w:val="single" w:sz="2" w:color="D7DFE5"/>
            </w:tcBorders>
          </w:tcPr>
          <w:p>
            <w:pPr>
              <w:spacing w:after="20"/>
            </w:pPr>
            <w:r>
              <w:rPr>
                <w:color w:val="24313D"/>
                <w:sz w:val="17"/>
              </w:rPr>
              <w:t>$331,000</w:t>
            </w:r>
          </w:p>
        </w:tc>
        <w:tc>
          <w:tcPr>
            <w:tcW w:type="dxa" w:w="1872"/>
            <w:vAlign w:val="top"/>
            <w:tcBorders>
              <w:bottom w:val="single" w:sz="2" w:color="D7DFE5"/>
            </w:tcBorders>
          </w:tcPr>
          <w:p>
            <w:pPr>
              <w:spacing w:after="20"/>
            </w:pPr>
            <w:r>
              <w:rPr>
                <w:color w:val="24313D"/>
                <w:sz w:val="17"/>
              </w:rPr>
              <w:t>$64,950</w:t>
            </w:r>
          </w:p>
        </w:tc>
        <w:tc>
          <w:tcPr>
            <w:tcW w:type="dxa" w:w="2016"/>
            <w:vAlign w:val="top"/>
            <w:tcBorders>
              <w:bottom w:val="single" w:sz="2" w:color="D7DFE5"/>
            </w:tcBorders>
          </w:tcPr>
          <w:p>
            <w:pPr>
              <w:spacing w:after="20"/>
            </w:pPr>
            <w:r>
              <w:rPr>
                <w:color w:val="24313D"/>
                <w:sz w:val="17"/>
              </w:rPr>
              <w:t>$266,050</w:t>
            </w:r>
          </w:p>
        </w:tc>
      </w:tr>
    </w:tbl>
    <w:p>
      <w:pPr>
        <w:spacing w:after="0"/>
      </w:pPr>
    </w:p>
    <w:p>
      <w:r>
        <w:t>Illustrative gross margin is 80.4%. At $1.2M of attributable customer value, illustrative customer ROI is 262.5%. GoalOS must separately track forecast value, independently supported value and realized cash value; projections may never be presented as outcomes.</w:t>
      </w:r>
    </w:p>
    <w:p>
      <w:pPr>
        <w:pStyle w:val="Heading1"/>
      </w:pPr>
      <w:r>
        <w:t>7. The autonomous commercial institution</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meta_flywheel.png"/>
                    <pic:cNvPicPr/>
                  </pic:nvPicPr>
                  <pic:blipFill>
                    <a:blip r:embed="rId13"/>
                    <a:stretch>
                      <a:fillRect/>
                    </a:stretch>
                  </pic:blipFill>
                  <pic:spPr>
                    <a:xfrm>
                      <a:off x="0" y="0"/>
                      <a:ext cx="5486400" cy="5486400"/>
                    </a:xfrm>
                    <a:prstGeom prst="rect"/>
                  </pic:spPr>
                </pic:pic>
              </a:graphicData>
            </a:graphic>
          </wp:inline>
        </w:drawing>
      </w:r>
    </w:p>
    <w:p>
      <w:r>
        <w:t>The standard commercial lane should remove seller-side human intervention. The customer still chooses, consents, signs, pays, supplies inputs and accepts or disputes the result. GoalOS operates inside a counsel-approved, security-reviewed commercial constitution.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E2B3B"/>
            <w:vAlign w:val="center"/>
            <w:tcBorders>
              <w:bottom w:val="single" w:sz="8" w:color="D6A13C"/>
            </w:tcBorders>
          </w:tcPr>
          <w:p>
            <w:pPr>
              <w:jc w:val="center"/>
            </w:pPr>
            <w:r>
              <w:rPr>
                <w:b/>
                <w:color w:val="FFFFFF"/>
                <w:sz w:val="16"/>
              </w:rPr>
              <w:t>Commercial state</w:t>
            </w:r>
          </w:p>
        </w:tc>
        <w:tc>
          <w:tcPr>
            <w:tcW w:type="dxa" w:w="4968"/>
            <w:shd w:fill="0E2B3B"/>
            <w:vAlign w:val="center"/>
            <w:tcBorders>
              <w:bottom w:val="single" w:sz="8" w:color="D6A13C"/>
            </w:tcBorders>
          </w:tcPr>
          <w:p>
            <w:pPr>
              <w:jc w:val="center"/>
            </w:pPr>
            <w:r>
              <w:rPr>
                <w:b/>
                <w:color w:val="FFFFFF"/>
                <w:sz w:val="16"/>
              </w:rPr>
              <w:t>Autonomous action</w:t>
            </w:r>
          </w:p>
        </w:tc>
        <w:tc>
          <w:tcPr>
            <w:tcW w:type="dxa" w:w="3312"/>
            <w:shd w:fill="0E2B3B"/>
            <w:vAlign w:val="center"/>
            <w:tcBorders>
              <w:bottom w:val="single" w:sz="8" w:color="D6A13C"/>
            </w:tcBorders>
          </w:tcPr>
          <w:p>
            <w:pPr>
              <w:jc w:val="center"/>
            </w:pPr>
            <w:r>
              <w:rPr>
                <w:b/>
                <w:color w:val="FFFFFF"/>
                <w:sz w:val="16"/>
              </w:rPr>
              <w:t>Hard gate</w:t>
            </w:r>
          </w:p>
        </w:tc>
      </w:tr>
      <w:tr>
        <w:trPr>
          <w:cantSplit/>
        </w:trPr>
        <w:tc>
          <w:tcPr>
            <w:tcW w:type="dxa" w:w="1800"/>
            <w:vAlign w:val="top"/>
            <w:tcBorders>
              <w:bottom w:val="single" w:sz="2" w:color="D7DFE5"/>
            </w:tcBorders>
          </w:tcPr>
          <w:p>
            <w:pPr>
              <w:spacing w:after="20"/>
            </w:pPr>
            <w:r>
              <w:rPr>
                <w:b/>
                <w:color w:val="071827"/>
                <w:sz w:val="15"/>
              </w:rPr>
              <w:t>Intent detected</w:t>
            </w:r>
          </w:p>
        </w:tc>
        <w:tc>
          <w:tcPr>
            <w:tcW w:type="dxa" w:w="4968"/>
            <w:vAlign w:val="top"/>
            <w:tcBorders>
              <w:bottom w:val="single" w:sz="2" w:color="D7DFE5"/>
            </w:tcBorders>
          </w:tcPr>
          <w:p>
            <w:pPr>
              <w:spacing w:after="20"/>
            </w:pPr>
            <w:r>
              <w:rPr>
                <w:color w:val="24313D"/>
                <w:sz w:val="15"/>
              </w:rPr>
              <w:t>Permissioned demand and Readiness Scan</w:t>
            </w:r>
          </w:p>
        </w:tc>
        <w:tc>
          <w:tcPr>
            <w:tcW w:type="dxa" w:w="3312"/>
            <w:vAlign w:val="top"/>
            <w:tcBorders>
              <w:bottom w:val="single" w:sz="2" w:color="D7DFE5"/>
            </w:tcBorders>
          </w:tcPr>
          <w:p>
            <w:pPr>
              <w:spacing w:after="20"/>
            </w:pPr>
            <w:r>
              <w:rPr>
                <w:color w:val="24313D"/>
                <w:sz w:val="15"/>
              </w:rPr>
              <w:t>No provable permission, no outreach</w:t>
            </w:r>
          </w:p>
        </w:tc>
      </w:tr>
      <w:tr>
        <w:trPr>
          <w:cantSplit/>
        </w:trPr>
        <w:tc>
          <w:tcPr>
            <w:tcW w:type="dxa" w:w="1800"/>
            <w:vAlign w:val="top"/>
            <w:shd w:fill="F2F5F7"/>
            <w:tcBorders>
              <w:bottom w:val="single" w:sz="2" w:color="D7DFE5"/>
            </w:tcBorders>
          </w:tcPr>
          <w:p>
            <w:pPr>
              <w:spacing w:after="20"/>
            </w:pPr>
            <w:r>
              <w:rPr>
                <w:b/>
                <w:color w:val="071827"/>
                <w:sz w:val="15"/>
              </w:rPr>
              <w:t>Qualified</w:t>
            </w:r>
          </w:p>
        </w:tc>
        <w:tc>
          <w:tcPr>
            <w:tcW w:type="dxa" w:w="4968"/>
            <w:vAlign w:val="top"/>
            <w:shd w:fill="F2F5F7"/>
            <w:tcBorders>
              <w:bottom w:val="single" w:sz="2" w:color="D7DFE5"/>
            </w:tcBorders>
          </w:tcPr>
          <w:p>
            <w:pPr>
              <w:spacing w:after="20"/>
            </w:pPr>
            <w:r>
              <w:rPr>
                <w:color w:val="24313D"/>
                <w:sz w:val="15"/>
              </w:rPr>
              <w:t>Validate sponsor, deadline, value, risk and data readiness</w:t>
            </w:r>
          </w:p>
        </w:tc>
        <w:tc>
          <w:tcPr>
            <w:tcW w:type="dxa" w:w="3312"/>
            <w:vAlign w:val="top"/>
            <w:shd w:fill="F2F5F7"/>
            <w:tcBorders>
              <w:bottom w:val="single" w:sz="2" w:color="D7DFE5"/>
            </w:tcBorders>
          </w:tcPr>
          <w:p>
            <w:pPr>
              <w:spacing w:after="20"/>
            </w:pPr>
            <w:r>
              <w:rPr>
                <w:color w:val="24313D"/>
                <w:sz w:val="15"/>
              </w:rPr>
              <w:t>No consequential objective, no offer</w:t>
            </w:r>
          </w:p>
        </w:tc>
      </w:tr>
      <w:tr>
        <w:trPr>
          <w:cantSplit/>
        </w:trPr>
        <w:tc>
          <w:tcPr>
            <w:tcW w:type="dxa" w:w="1800"/>
            <w:vAlign w:val="top"/>
            <w:tcBorders>
              <w:bottom w:val="single" w:sz="2" w:color="D7DFE5"/>
            </w:tcBorders>
          </w:tcPr>
          <w:p>
            <w:pPr>
              <w:spacing w:after="20"/>
            </w:pPr>
            <w:r>
              <w:rPr>
                <w:b/>
                <w:color w:val="071827"/>
                <w:sz w:val="15"/>
              </w:rPr>
              <w:t>Priced</w:t>
            </w:r>
          </w:p>
        </w:tc>
        <w:tc>
          <w:tcPr>
            <w:tcW w:type="dxa" w:w="4968"/>
            <w:vAlign w:val="top"/>
            <w:tcBorders>
              <w:bottom w:val="single" w:sz="2" w:color="D7DFE5"/>
            </w:tcBorders>
          </w:tcPr>
          <w:p>
            <w:pPr>
              <w:spacing w:after="20"/>
            </w:pPr>
            <w:r>
              <w:rPr>
                <w:color w:val="24313D"/>
                <w:sz w:val="15"/>
              </w:rPr>
              <w:t>Select fixed product, scope, assurance and delivery window</w:t>
            </w:r>
          </w:p>
        </w:tc>
        <w:tc>
          <w:tcPr>
            <w:tcW w:type="dxa" w:w="3312"/>
            <w:vAlign w:val="top"/>
            <w:tcBorders>
              <w:bottom w:val="single" w:sz="2" w:color="D7DFE5"/>
            </w:tcBorders>
          </w:tcPr>
          <w:p>
            <w:pPr>
              <w:spacing w:after="20"/>
            </w:pPr>
            <w:r>
              <w:rPr>
                <w:color w:val="24313D"/>
                <w:sz w:val="15"/>
              </w:rPr>
              <w:t>No margin floor, no quote</w:t>
            </w:r>
          </w:p>
        </w:tc>
      </w:tr>
      <w:tr>
        <w:trPr>
          <w:cantSplit/>
        </w:trPr>
        <w:tc>
          <w:tcPr>
            <w:tcW w:type="dxa" w:w="1800"/>
            <w:vAlign w:val="top"/>
            <w:shd w:fill="F2F5F7"/>
            <w:tcBorders>
              <w:bottom w:val="single" w:sz="2" w:color="D7DFE5"/>
            </w:tcBorders>
          </w:tcPr>
          <w:p>
            <w:pPr>
              <w:spacing w:after="20"/>
            </w:pPr>
            <w:r>
              <w:rPr>
                <w:b/>
                <w:color w:val="071827"/>
                <w:sz w:val="15"/>
              </w:rPr>
              <w:t>Contracted</w:t>
            </w:r>
          </w:p>
        </w:tc>
        <w:tc>
          <w:tcPr>
            <w:tcW w:type="dxa" w:w="4968"/>
            <w:vAlign w:val="top"/>
            <w:shd w:fill="F2F5F7"/>
            <w:tcBorders>
              <w:bottom w:val="single" w:sz="2" w:color="D7DFE5"/>
            </w:tcBorders>
          </w:tcPr>
          <w:p>
            <w:pPr>
              <w:spacing w:after="20"/>
            </w:pPr>
            <w:r>
              <w:rPr>
                <w:color w:val="24313D"/>
                <w:sz w:val="15"/>
              </w:rPr>
              <w:t>Generate approved SOW, DPA, terms, payment and capacity reservation</w:t>
            </w:r>
          </w:p>
        </w:tc>
        <w:tc>
          <w:tcPr>
            <w:tcW w:type="dxa" w:w="3312"/>
            <w:vAlign w:val="top"/>
            <w:shd w:fill="F2F5F7"/>
            <w:tcBorders>
              <w:bottom w:val="single" w:sz="2" w:color="D7DFE5"/>
            </w:tcBorders>
          </w:tcPr>
          <w:p>
            <w:pPr>
              <w:spacing w:after="20"/>
            </w:pPr>
            <w:r>
              <w:rPr>
                <w:color w:val="24313D"/>
                <w:sz w:val="15"/>
              </w:rPr>
              <w:t>Outside clause matrix → reprice, reduce or decline</w:t>
            </w:r>
          </w:p>
        </w:tc>
      </w:tr>
      <w:tr>
        <w:trPr>
          <w:cantSplit/>
        </w:trPr>
        <w:tc>
          <w:tcPr>
            <w:tcW w:type="dxa" w:w="1800"/>
            <w:vAlign w:val="top"/>
            <w:tcBorders>
              <w:bottom w:val="single" w:sz="2" w:color="D7DFE5"/>
            </w:tcBorders>
          </w:tcPr>
          <w:p>
            <w:pPr>
              <w:spacing w:after="20"/>
            </w:pPr>
            <w:r>
              <w:rPr>
                <w:b/>
                <w:color w:val="071827"/>
                <w:sz w:val="15"/>
              </w:rPr>
              <w:t>Funded</w:t>
            </w:r>
          </w:p>
        </w:tc>
        <w:tc>
          <w:tcPr>
            <w:tcW w:type="dxa" w:w="4968"/>
            <w:vAlign w:val="top"/>
            <w:tcBorders>
              <w:bottom w:val="single" w:sz="2" w:color="D7DFE5"/>
            </w:tcBorders>
          </w:tcPr>
          <w:p>
            <w:pPr>
              <w:spacing w:after="20"/>
            </w:pPr>
            <w:r>
              <w:rPr>
                <w:color w:val="24313D"/>
                <w:sz w:val="15"/>
              </w:rPr>
              <w:t>Instantiate Mission Contract and Evidence Docket</w:t>
            </w:r>
          </w:p>
        </w:tc>
        <w:tc>
          <w:tcPr>
            <w:tcW w:type="dxa" w:w="3312"/>
            <w:vAlign w:val="top"/>
            <w:tcBorders>
              <w:bottom w:val="single" w:sz="2" w:color="D7DFE5"/>
            </w:tcBorders>
          </w:tcPr>
          <w:p>
            <w:pPr>
              <w:spacing w:after="20"/>
            </w:pPr>
            <w:r>
              <w:rPr>
                <w:color w:val="24313D"/>
                <w:sz w:val="15"/>
              </w:rPr>
              <w:t>No cleared payment, no execution</w:t>
            </w:r>
          </w:p>
        </w:tc>
      </w:tr>
      <w:tr>
        <w:trPr>
          <w:cantSplit/>
        </w:trPr>
        <w:tc>
          <w:tcPr>
            <w:tcW w:type="dxa" w:w="1800"/>
            <w:vAlign w:val="top"/>
            <w:shd w:fill="F2F5F7"/>
            <w:tcBorders>
              <w:bottom w:val="single" w:sz="2" w:color="D7DFE5"/>
            </w:tcBorders>
          </w:tcPr>
          <w:p>
            <w:pPr>
              <w:spacing w:after="20"/>
            </w:pPr>
            <w:r>
              <w:rPr>
                <w:b/>
                <w:color w:val="071827"/>
                <w:sz w:val="15"/>
              </w:rPr>
              <w:t>Delivered</w:t>
            </w:r>
          </w:p>
        </w:tc>
        <w:tc>
          <w:tcPr>
            <w:tcW w:type="dxa" w:w="4968"/>
            <w:vAlign w:val="top"/>
            <w:shd w:fill="F2F5F7"/>
            <w:tcBorders>
              <w:bottom w:val="single" w:sz="2" w:color="D7DFE5"/>
            </w:tcBorders>
          </w:tcPr>
          <w:p>
            <w:pPr>
              <w:spacing w:after="20"/>
            </w:pPr>
            <w:r>
              <w:rPr>
                <w:color w:val="24313D"/>
                <w:sz w:val="15"/>
              </w:rPr>
              <w:t>Evidence, independent review and acceptance</w:t>
            </w:r>
          </w:p>
        </w:tc>
        <w:tc>
          <w:tcPr>
            <w:tcW w:type="dxa" w:w="3312"/>
            <w:vAlign w:val="top"/>
            <w:shd w:fill="F2F5F7"/>
            <w:tcBorders>
              <w:bottom w:val="single" w:sz="2" w:color="D7DFE5"/>
            </w:tcBorders>
          </w:tcPr>
          <w:p>
            <w:pPr>
              <w:spacing w:after="20"/>
            </w:pPr>
            <w:r>
              <w:rPr>
                <w:color w:val="24313D"/>
                <w:sz w:val="15"/>
              </w:rPr>
              <w:t>No Docket, no value claim</w:t>
            </w:r>
          </w:p>
        </w:tc>
      </w:tr>
      <w:tr>
        <w:trPr>
          <w:cantSplit/>
        </w:trPr>
        <w:tc>
          <w:tcPr>
            <w:tcW w:type="dxa" w:w="1800"/>
            <w:vAlign w:val="top"/>
            <w:tcBorders>
              <w:bottom w:val="single" w:sz="2" w:color="D7DFE5"/>
            </w:tcBorders>
          </w:tcPr>
          <w:p>
            <w:pPr>
              <w:spacing w:after="20"/>
            </w:pPr>
            <w:r>
              <w:rPr>
                <w:b/>
                <w:color w:val="071827"/>
                <w:sz w:val="15"/>
              </w:rPr>
              <w:t>Recurring</w:t>
            </w:r>
          </w:p>
        </w:tc>
        <w:tc>
          <w:tcPr>
            <w:tcW w:type="dxa" w:w="4968"/>
            <w:vAlign w:val="top"/>
            <w:tcBorders>
              <w:bottom w:val="single" w:sz="2" w:color="D7DFE5"/>
            </w:tcBorders>
          </w:tcPr>
          <w:p>
            <w:pPr>
              <w:spacing w:after="20"/>
            </w:pPr>
            <w:r>
              <w:rPr>
                <w:color w:val="24313D"/>
                <w:sz w:val="15"/>
              </w:rPr>
              <w:t>Activate Proof Office and evidence-based renewal</w:t>
            </w:r>
          </w:p>
        </w:tc>
        <w:tc>
          <w:tcPr>
            <w:tcW w:type="dxa" w:w="3312"/>
            <w:vAlign w:val="top"/>
            <w:tcBorders>
              <w:bottom w:val="single" w:sz="2" w:color="D7DFE5"/>
            </w:tcBorders>
          </w:tcPr>
          <w:p>
            <w:pPr>
              <w:spacing w:after="20"/>
            </w:pPr>
            <w:r>
              <w:rPr>
                <w:color w:val="24313D"/>
                <w:sz w:val="15"/>
              </w:rPr>
              <w:t>No verified need, no renewal</w:t>
            </w:r>
          </w:p>
        </w:tc>
      </w:tr>
      <w:tr>
        <w:trPr>
          <w:cantSplit/>
        </w:trPr>
        <w:tc>
          <w:tcPr>
            <w:tcW w:type="dxa" w:w="1800"/>
            <w:vAlign w:val="top"/>
            <w:shd w:fill="F2F5F7"/>
            <w:tcBorders>
              <w:bottom w:val="single" w:sz="2" w:color="D7DFE5"/>
            </w:tcBorders>
          </w:tcPr>
          <w:p>
            <w:pPr>
              <w:spacing w:after="20"/>
            </w:pPr>
            <w:r>
              <w:rPr>
                <w:b/>
                <w:color w:val="071827"/>
                <w:sz w:val="15"/>
              </w:rPr>
              <w:t>Improved</w:t>
            </w:r>
          </w:p>
        </w:tc>
        <w:tc>
          <w:tcPr>
            <w:tcW w:type="dxa" w:w="4968"/>
            <w:vAlign w:val="top"/>
            <w:shd w:fill="F2F5F7"/>
            <w:tcBorders>
              <w:bottom w:val="single" w:sz="2" w:color="D7DFE5"/>
            </w:tcBorders>
          </w:tcPr>
          <w:p>
            <w:pPr>
              <w:spacing w:after="20"/>
            </w:pPr>
            <w:r>
              <w:rPr>
                <w:color w:val="24313D"/>
                <w:sz w:val="15"/>
              </w:rPr>
              <w:t>Test commercial methods on held-out cohorts</w:t>
            </w:r>
          </w:p>
        </w:tc>
        <w:tc>
          <w:tcPr>
            <w:tcW w:type="dxa" w:w="3312"/>
            <w:vAlign w:val="top"/>
            <w:shd w:fill="F2F5F7"/>
            <w:tcBorders>
              <w:bottom w:val="single" w:sz="2" w:color="D7DFE5"/>
            </w:tcBorders>
          </w:tcPr>
          <w:p>
            <w:pPr>
              <w:spacing w:after="20"/>
            </w:pPr>
            <w:r>
              <w:rPr>
                <w:color w:val="24313D"/>
                <w:sz w:val="15"/>
              </w:rPr>
              <w:t>No positive contribution and retention, no skill admission</w:t>
            </w:r>
          </w:p>
        </w:tc>
      </w:tr>
    </w:tbl>
    <w:p>
      <w:pPr>
        <w:spacing w:after="0"/>
      </w:pPr>
    </w:p>
    <w:p>
      <w:pPr>
        <w:pStyle w:val="Heading1"/>
      </w:pPr>
      <w:r>
        <w:t>8. Proof Mission delivery system</w:t>
      </w:r>
    </w:p>
    <w:p>
      <w:pPr>
        <w:spacing w:after="40"/>
        <w:ind w:left="259" w:hanging="259"/>
      </w:pPr>
      <w:r>
        <w:rPr>
          <w:b/>
        </w:rPr>
        <w:t xml:space="preserve">1. </w:t>
      </w:r>
      <w:r>
        <w:t>Freeze the objective, scope, authority, budget, evidence standard, rights and rollback conditions.</w:t>
      </w:r>
    </w:p>
    <w:p>
      <w:pPr>
        <w:spacing w:after="40"/>
        <w:ind w:left="259" w:hanging="259"/>
      </w:pPr>
      <w:r>
        <w:rPr>
          <w:b/>
        </w:rPr>
        <w:t xml:space="preserve">2. </w:t>
      </w:r>
      <w:r>
        <w:t>Convert unsupported claims and uncertainty into a Proof Debt Register.</w:t>
      </w:r>
    </w:p>
    <w:p>
      <w:pPr>
        <w:spacing w:after="40"/>
        <w:ind w:left="259" w:hanging="259"/>
      </w:pPr>
      <w:r>
        <w:rPr>
          <w:b/>
        </w:rPr>
        <w:t xml:space="preserve">3. </w:t>
      </w:r>
      <w:r>
        <w:t>Decompose the mission into bounded AGI Jobs with workers, validators, budgets, tests and terminal states.</w:t>
      </w:r>
    </w:p>
    <w:p>
      <w:pPr>
        <w:spacing w:after="40"/>
        <w:ind w:left="259" w:hanging="259"/>
      </w:pPr>
      <w:r>
        <w:rPr>
          <w:b/>
        </w:rPr>
        <w:t xml:space="preserve">4. </w:t>
      </w:r>
      <w:r>
        <w:t>Capture sources, actions, costs, failures, retries, interventions and contradictions by construction.</w:t>
      </w:r>
    </w:p>
    <w:p>
      <w:pPr>
        <w:spacing w:after="40"/>
        <w:ind w:left="259" w:hanging="259"/>
      </w:pPr>
      <w:r>
        <w:rPr>
          <w:b/>
        </w:rPr>
        <w:t xml:space="preserve">5. </w:t>
      </w:r>
      <w:r>
        <w:t>Route material claims through deterministic tests, separated evaluators and customer acceptance.</w:t>
      </w:r>
    </w:p>
    <w:p>
      <w:pPr>
        <w:spacing w:after="40"/>
        <w:ind w:left="259" w:hanging="259"/>
      </w:pPr>
      <w:r>
        <w:rPr>
          <w:b/>
        </w:rPr>
        <w:t xml:space="preserve">6. </w:t>
      </w:r>
      <w:r>
        <w:t>Issue a governed decision: accept, condition, repair, reject, quarantine, supersede or stop.</w:t>
      </w:r>
    </w:p>
    <w:p>
      <w:pPr>
        <w:spacing w:after="40"/>
        <w:ind w:left="259" w:hanging="259"/>
      </w:pPr>
      <w:r>
        <w:rPr>
          <w:b/>
        </w:rPr>
        <w:t xml:space="preserve">7. </w:t>
      </w:r>
      <w:r>
        <w:t>Propose candidate skills only from accepted work; preserve no raw output as canonical capability.</w:t>
      </w:r>
    </w:p>
    <w:p>
      <w:pPr>
        <w:spacing w:after="40"/>
        <w:ind w:left="259" w:hanging="259"/>
      </w:pPr>
      <w:r>
        <w:rPr>
          <w:b/>
        </w:rPr>
        <w:t xml:space="preserve">8. </w:t>
      </w:r>
      <w:r>
        <w:t>Convert ongoing obligations and unresolved Proof Debt into the recurring Proof Office plan.</w:t>
      </w:r>
    </w:p>
    <w:p>
      <w:pPr>
        <w:pStyle w:val="Heading1"/>
      </w:pPr>
      <w:r>
        <w:t>9. Chronicle, the Validated Skill Graph and protected invocation</w:t>
      </w:r>
    </w:p>
    <w:p>
      <w:r>
        <w:t>The durable moat is not the model, prompt or graph database. It is the accumulated, rights-controlled history of customers, sponsors, missions, evidence, evaluators, failures, repairs, Chronicle decisions, successful reuse, renewals and economic performance. [S10–S11]</w:t>
      </w:r>
    </w:p>
    <w:tbl>
      <w:tblPr>
        <w:tblW w:type="auto" w:w="0"/>
        <w:jc w:val="center"/>
        <w:tblLayout w:type="fixed"/>
        <w:tblLook w:firstColumn="1" w:firstRow="1" w:lastColumn="0" w:lastRow="0" w:noHBand="0" w:noVBand="1" w:val="04A0"/>
      </w:tblPr>
      <w:tblGrid>
        <w:gridCol w:w="9936"/>
      </w:tblGrid>
      <w:tr>
        <w:tc>
          <w:tcPr>
            <w:tcW w:type="dxa" w:w="10166"/>
            <w:shd w:fill="E8EEF2"/>
            <w:tcBorders>
              <w:top w:val="single" w:sz="4" w:color="2CB6A6"/>
              <w:left w:val="single" w:sz="18" w:color="2CB6A6"/>
              <w:bottom w:val="single" w:sz="4" w:color="2CB6A6"/>
              <w:right w:val="single" w:sz="4" w:color="2CB6A6"/>
            </w:tcBorders>
          </w:tcPr>
          <w:p>
            <w:pPr>
              <w:pStyle w:val="QuoteGoalOS"/>
              <w:jc w:val="left"/>
            </w:pPr>
            <w:r>
              <w:t>Only current direct GoalOS agent identities with valid, scoped, revocable entitlements may invoke Chronicle-admitted, root-verifiable private capabilities—and the implementation never has to leave MONTREAL.AI’s protected execution boundary.</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0E2B3B"/>
            <w:vAlign w:val="center"/>
            <w:tcBorders>
              <w:bottom w:val="single" w:sz="8" w:color="D6A13C"/>
            </w:tcBorders>
          </w:tcPr>
          <w:p>
            <w:pPr>
              <w:jc w:val="center"/>
            </w:pPr>
            <w:r>
              <w:rPr>
                <w:b/>
                <w:color w:val="FFFFFF"/>
                <w:sz w:val="18"/>
              </w:rPr>
              <w:t>Rights class</w:t>
            </w:r>
          </w:p>
        </w:tc>
        <w:tc>
          <w:tcPr>
            <w:tcW w:type="dxa" w:w="5472"/>
            <w:shd w:fill="0E2B3B"/>
            <w:vAlign w:val="center"/>
            <w:tcBorders>
              <w:bottom w:val="single" w:sz="8" w:color="D6A13C"/>
            </w:tcBorders>
          </w:tcPr>
          <w:p>
            <w:pPr>
              <w:jc w:val="center"/>
            </w:pPr>
            <w:r>
              <w:rPr>
                <w:b/>
                <w:color w:val="FFFFFF"/>
                <w:sz w:val="18"/>
              </w:rPr>
              <w:t>Learning / reuse right</w:t>
            </w:r>
          </w:p>
        </w:tc>
        <w:tc>
          <w:tcPr>
            <w:tcW w:type="dxa" w:w="2160"/>
            <w:shd w:fill="0E2B3B"/>
            <w:vAlign w:val="center"/>
            <w:tcBorders>
              <w:bottom w:val="single" w:sz="8" w:color="D6A13C"/>
            </w:tcBorders>
          </w:tcPr>
          <w:p>
            <w:pPr>
              <w:jc w:val="center"/>
            </w:pPr>
            <w:r>
              <w:rPr>
                <w:b/>
                <w:color w:val="FFFFFF"/>
                <w:sz w:val="18"/>
              </w:rPr>
              <w:t>Price treatment</w:t>
            </w:r>
          </w:p>
        </w:tc>
      </w:tr>
      <w:tr>
        <w:trPr>
          <w:cantSplit/>
        </w:trPr>
        <w:tc>
          <w:tcPr>
            <w:tcW w:type="dxa" w:w="2448"/>
            <w:vAlign w:val="top"/>
            <w:tcBorders>
              <w:bottom w:val="single" w:sz="2" w:color="D7DFE5"/>
            </w:tcBorders>
          </w:tcPr>
          <w:p>
            <w:pPr>
              <w:spacing w:after="20"/>
            </w:pPr>
            <w:r>
              <w:rPr>
                <w:b/>
                <w:color w:val="071827"/>
                <w:sz w:val="17"/>
              </w:rPr>
              <w:t>Network-admissible</w:t>
            </w:r>
          </w:p>
        </w:tc>
        <w:tc>
          <w:tcPr>
            <w:tcW w:type="dxa" w:w="5472"/>
            <w:vAlign w:val="top"/>
            <w:tcBorders>
              <w:bottom w:val="single" w:sz="2" w:color="D7DFE5"/>
            </w:tcBorders>
          </w:tcPr>
          <w:p>
            <w:pPr>
              <w:spacing w:after="20"/>
            </w:pPr>
            <w:r>
              <w:rPr>
                <w:color w:val="24313D"/>
                <w:sz w:val="17"/>
              </w:rPr>
              <w:t>Anonymized, generalized capability may be admitted after proof and rights review</w:t>
            </w:r>
          </w:p>
        </w:tc>
        <w:tc>
          <w:tcPr>
            <w:tcW w:type="dxa" w:w="2160"/>
            <w:vAlign w:val="top"/>
            <w:tcBorders>
              <w:bottom w:val="single" w:sz="2" w:color="D7DFE5"/>
            </w:tcBorders>
          </w:tcPr>
          <w:p>
            <w:pPr>
              <w:spacing w:after="20"/>
            </w:pPr>
            <w:r>
              <w:rPr>
                <w:color w:val="24313D"/>
                <w:sz w:val="17"/>
              </w:rPr>
              <w:t>Base price</w:t>
            </w:r>
          </w:p>
        </w:tc>
      </w:tr>
      <w:tr>
        <w:trPr>
          <w:cantSplit/>
        </w:trPr>
        <w:tc>
          <w:tcPr>
            <w:tcW w:type="dxa" w:w="2448"/>
            <w:vAlign w:val="top"/>
            <w:shd w:fill="F2F5F7"/>
            <w:tcBorders>
              <w:bottom w:val="single" w:sz="2" w:color="D7DFE5"/>
            </w:tcBorders>
          </w:tcPr>
          <w:p>
            <w:pPr>
              <w:spacing w:after="20"/>
            </w:pPr>
            <w:r>
              <w:rPr>
                <w:b/>
                <w:color w:val="071827"/>
                <w:sz w:val="17"/>
              </w:rPr>
              <w:t>Customer-private</w:t>
            </w:r>
          </w:p>
        </w:tc>
        <w:tc>
          <w:tcPr>
            <w:tcW w:type="dxa" w:w="5472"/>
            <w:vAlign w:val="top"/>
            <w:shd w:fill="F2F5F7"/>
            <w:tcBorders>
              <w:bottom w:val="single" w:sz="2" w:color="D7DFE5"/>
            </w:tcBorders>
          </w:tcPr>
          <w:p>
            <w:pPr>
              <w:spacing w:after="20"/>
            </w:pPr>
            <w:r>
              <w:rPr>
                <w:color w:val="24313D"/>
                <w:sz w:val="17"/>
              </w:rPr>
              <w:t>Reusable only for the originating customer</w:t>
            </w:r>
          </w:p>
        </w:tc>
        <w:tc>
          <w:tcPr>
            <w:tcW w:type="dxa" w:w="2160"/>
            <w:vAlign w:val="top"/>
            <w:shd w:fill="F2F5F7"/>
            <w:tcBorders>
              <w:bottom w:val="single" w:sz="2" w:color="D7DFE5"/>
            </w:tcBorders>
          </w:tcPr>
          <w:p>
            <w:pPr>
              <w:spacing w:after="20"/>
            </w:pPr>
            <w:r>
              <w:rPr>
                <w:color w:val="24313D"/>
                <w:sz w:val="17"/>
              </w:rPr>
              <w:t>+25–50%</w:t>
            </w:r>
          </w:p>
        </w:tc>
      </w:tr>
      <w:tr>
        <w:trPr>
          <w:cantSplit/>
        </w:trPr>
        <w:tc>
          <w:tcPr>
            <w:tcW w:type="dxa" w:w="2448"/>
            <w:vAlign w:val="top"/>
            <w:tcBorders>
              <w:bottom w:val="single" w:sz="2" w:color="D7DFE5"/>
            </w:tcBorders>
          </w:tcPr>
          <w:p>
            <w:pPr>
              <w:spacing w:after="20"/>
            </w:pPr>
            <w:r>
              <w:rPr>
                <w:b/>
                <w:color w:val="071827"/>
                <w:sz w:val="17"/>
              </w:rPr>
              <w:t>Sector-exclusive</w:t>
            </w:r>
          </w:p>
        </w:tc>
        <w:tc>
          <w:tcPr>
            <w:tcW w:type="dxa" w:w="5472"/>
            <w:vAlign w:val="top"/>
            <w:tcBorders>
              <w:bottom w:val="single" w:sz="2" w:color="D7DFE5"/>
            </w:tcBorders>
          </w:tcPr>
          <w:p>
            <w:pPr>
              <w:spacing w:after="20"/>
            </w:pPr>
            <w:r>
              <w:rPr>
                <w:color w:val="24313D"/>
                <w:sz w:val="17"/>
              </w:rPr>
              <w:t>Defined field or time-limited exclusivity</w:t>
            </w:r>
          </w:p>
        </w:tc>
        <w:tc>
          <w:tcPr>
            <w:tcW w:type="dxa" w:w="2160"/>
            <w:vAlign w:val="top"/>
            <w:tcBorders>
              <w:bottom w:val="single" w:sz="2" w:color="D7DFE5"/>
            </w:tcBorders>
          </w:tcPr>
          <w:p>
            <w:pPr>
              <w:spacing w:after="20"/>
            </w:pPr>
            <w:r>
              <w:rPr>
                <w:color w:val="24313D"/>
                <w:sz w:val="17"/>
              </w:rPr>
              <w:t>+100–300%</w:t>
            </w:r>
          </w:p>
        </w:tc>
      </w:tr>
      <w:tr>
        <w:trPr>
          <w:cantSplit/>
        </w:trPr>
        <w:tc>
          <w:tcPr>
            <w:tcW w:type="dxa" w:w="2448"/>
            <w:vAlign w:val="top"/>
            <w:shd w:fill="F2F5F7"/>
            <w:tcBorders>
              <w:bottom w:val="single" w:sz="2" w:color="D7DFE5"/>
            </w:tcBorders>
          </w:tcPr>
          <w:p>
            <w:pPr>
              <w:spacing w:after="20"/>
            </w:pPr>
            <w:r>
              <w:rPr>
                <w:b/>
                <w:color w:val="071827"/>
                <w:sz w:val="17"/>
              </w:rPr>
              <w:t>Mission-only</w:t>
            </w:r>
          </w:p>
        </w:tc>
        <w:tc>
          <w:tcPr>
            <w:tcW w:type="dxa" w:w="5472"/>
            <w:vAlign w:val="top"/>
            <w:shd w:fill="F2F5F7"/>
            <w:tcBorders>
              <w:bottom w:val="single" w:sz="2" w:color="D7DFE5"/>
            </w:tcBorders>
          </w:tcPr>
          <w:p>
            <w:pPr>
              <w:spacing w:after="20"/>
            </w:pPr>
            <w:r>
              <w:rPr>
                <w:color w:val="24313D"/>
                <w:sz w:val="17"/>
              </w:rPr>
              <w:t>No capability extraction or reuse</w:t>
            </w:r>
          </w:p>
        </w:tc>
        <w:tc>
          <w:tcPr>
            <w:tcW w:type="dxa" w:w="2160"/>
            <w:vAlign w:val="top"/>
            <w:shd w:fill="F2F5F7"/>
            <w:tcBorders>
              <w:bottom w:val="single" w:sz="2" w:color="D7DFE5"/>
            </w:tcBorders>
          </w:tcPr>
          <w:p>
            <w:pPr>
              <w:spacing w:after="20"/>
            </w:pPr>
            <w:r>
              <w:rPr>
                <w:color w:val="24313D"/>
                <w:sz w:val="17"/>
              </w:rPr>
              <w:t>Highest delivery price</w:t>
            </w:r>
          </w:p>
        </w:tc>
      </w:tr>
    </w:tbl>
    <w:p>
      <w:pPr>
        <w:spacing w:after="0"/>
      </w:pPr>
    </w:p>
    <w:p>
      <w:r>
        <w:br w:type="page"/>
      </w:r>
    </w:p>
    <w:p>
      <w:pPr>
        <w:pStyle w:val="Heading1"/>
      </w:pPr>
      <w:r>
        <w:t>10. Five-year management case</w:t>
      </w:r>
    </w:p>
    <w:p>
      <w:r>
        <w:t>The workbook accompanying this memorandum is fully editable. The base case intentionally moves revenue from missions toward Proof Offices, private networks, protected invocation and network fees.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880"/>
            <w:shd w:fill="0E2B3B"/>
            <w:vAlign w:val="center"/>
            <w:tcBorders>
              <w:bottom w:val="single" w:sz="8" w:color="D6A13C"/>
            </w:tcBorders>
          </w:tcPr>
          <w:p>
            <w:pPr>
              <w:jc w:val="center"/>
            </w:pPr>
            <w:r>
              <w:rPr>
                <w:b/>
                <w:color w:val="FFFFFF"/>
                <w:sz w:val="18"/>
              </w:rPr>
              <w:t>$ millions</w:t>
            </w:r>
          </w:p>
        </w:tc>
        <w:tc>
          <w:tcPr>
            <w:tcW w:type="dxa" w:w="1440"/>
            <w:shd w:fill="0E2B3B"/>
            <w:vAlign w:val="center"/>
            <w:tcBorders>
              <w:bottom w:val="single" w:sz="8" w:color="D6A13C"/>
            </w:tcBorders>
          </w:tcPr>
          <w:p>
            <w:pPr>
              <w:jc w:val="center"/>
            </w:pPr>
            <w:r>
              <w:rPr>
                <w:b/>
                <w:color w:val="FFFFFF"/>
                <w:sz w:val="18"/>
              </w:rPr>
              <w:t>FY1</w:t>
            </w:r>
          </w:p>
        </w:tc>
        <w:tc>
          <w:tcPr>
            <w:tcW w:type="dxa" w:w="1440"/>
            <w:shd w:fill="0E2B3B"/>
            <w:vAlign w:val="center"/>
            <w:tcBorders>
              <w:bottom w:val="single" w:sz="8" w:color="D6A13C"/>
            </w:tcBorders>
          </w:tcPr>
          <w:p>
            <w:pPr>
              <w:jc w:val="center"/>
            </w:pPr>
            <w:r>
              <w:rPr>
                <w:b/>
                <w:color w:val="FFFFFF"/>
                <w:sz w:val="18"/>
              </w:rPr>
              <w:t>FY2</w:t>
            </w:r>
          </w:p>
        </w:tc>
        <w:tc>
          <w:tcPr>
            <w:tcW w:type="dxa" w:w="1440"/>
            <w:shd w:fill="0E2B3B"/>
            <w:vAlign w:val="center"/>
            <w:tcBorders>
              <w:bottom w:val="single" w:sz="8" w:color="D6A13C"/>
            </w:tcBorders>
          </w:tcPr>
          <w:p>
            <w:pPr>
              <w:jc w:val="center"/>
            </w:pPr>
            <w:r>
              <w:rPr>
                <w:b/>
                <w:color w:val="FFFFFF"/>
                <w:sz w:val="18"/>
              </w:rPr>
              <w:t>FY3</w:t>
            </w:r>
          </w:p>
        </w:tc>
        <w:tc>
          <w:tcPr>
            <w:tcW w:type="dxa" w:w="1440"/>
            <w:shd w:fill="0E2B3B"/>
            <w:vAlign w:val="center"/>
            <w:tcBorders>
              <w:bottom w:val="single" w:sz="8" w:color="D6A13C"/>
            </w:tcBorders>
          </w:tcPr>
          <w:p>
            <w:pPr>
              <w:jc w:val="center"/>
            </w:pPr>
            <w:r>
              <w:rPr>
                <w:b/>
                <w:color w:val="FFFFFF"/>
                <w:sz w:val="18"/>
              </w:rPr>
              <w:t>FY4</w:t>
            </w:r>
          </w:p>
        </w:tc>
        <w:tc>
          <w:tcPr>
            <w:tcW w:type="dxa" w:w="1440"/>
            <w:shd w:fill="0E2B3B"/>
            <w:vAlign w:val="center"/>
            <w:tcBorders>
              <w:bottom w:val="single" w:sz="8" w:color="D6A13C"/>
            </w:tcBorders>
          </w:tcPr>
          <w:p>
            <w:pPr>
              <w:jc w:val="center"/>
            </w:pPr>
            <w:r>
              <w:rPr>
                <w:b/>
                <w:color w:val="FFFFFF"/>
                <w:sz w:val="18"/>
              </w:rPr>
              <w:t>FY5</w:t>
            </w:r>
          </w:p>
        </w:tc>
      </w:tr>
      <w:tr>
        <w:trPr>
          <w:cantSplit/>
        </w:trPr>
        <w:tc>
          <w:tcPr>
            <w:tcW w:type="dxa" w:w="2880"/>
            <w:vAlign w:val="top"/>
            <w:tcBorders>
              <w:bottom w:val="single" w:sz="2" w:color="D7DFE5"/>
            </w:tcBorders>
          </w:tcPr>
          <w:p>
            <w:pPr>
              <w:spacing w:after="20"/>
            </w:pPr>
            <w:r>
              <w:rPr>
                <w:b/>
                <w:color w:val="071827"/>
                <w:sz w:val="17"/>
              </w:rPr>
              <w:t>Revenue</w:t>
            </w:r>
          </w:p>
        </w:tc>
        <w:tc>
          <w:tcPr>
            <w:tcW w:type="dxa" w:w="1440"/>
            <w:vAlign w:val="top"/>
            <w:tcBorders>
              <w:bottom w:val="single" w:sz="2" w:color="D7DFE5"/>
            </w:tcBorders>
          </w:tcPr>
          <w:p>
            <w:pPr>
              <w:spacing w:after="20"/>
            </w:pPr>
            <w:r>
              <w:rPr>
                <w:color w:val="24313D"/>
                <w:sz w:val="17"/>
              </w:rPr>
              <w:t>1.4</w:t>
            </w:r>
          </w:p>
        </w:tc>
        <w:tc>
          <w:tcPr>
            <w:tcW w:type="dxa" w:w="1440"/>
            <w:vAlign w:val="top"/>
            <w:tcBorders>
              <w:bottom w:val="single" w:sz="2" w:color="D7DFE5"/>
            </w:tcBorders>
          </w:tcPr>
          <w:p>
            <w:pPr>
              <w:spacing w:after="20"/>
            </w:pPr>
            <w:r>
              <w:rPr>
                <w:color w:val="24313D"/>
                <w:sz w:val="17"/>
              </w:rPr>
              <w:t>5.8</w:t>
            </w:r>
          </w:p>
        </w:tc>
        <w:tc>
          <w:tcPr>
            <w:tcW w:type="dxa" w:w="1440"/>
            <w:vAlign w:val="top"/>
            <w:tcBorders>
              <w:bottom w:val="single" w:sz="2" w:color="D7DFE5"/>
            </w:tcBorders>
          </w:tcPr>
          <w:p>
            <w:pPr>
              <w:spacing w:after="20"/>
            </w:pPr>
            <w:r>
              <w:rPr>
                <w:color w:val="24313D"/>
                <w:sz w:val="17"/>
              </w:rPr>
              <w:t>16.6</w:t>
            </w:r>
          </w:p>
        </w:tc>
        <w:tc>
          <w:tcPr>
            <w:tcW w:type="dxa" w:w="1440"/>
            <w:vAlign w:val="top"/>
            <w:tcBorders>
              <w:bottom w:val="single" w:sz="2" w:color="D7DFE5"/>
            </w:tcBorders>
          </w:tcPr>
          <w:p>
            <w:pPr>
              <w:spacing w:after="20"/>
            </w:pPr>
            <w:r>
              <w:rPr>
                <w:color w:val="24313D"/>
                <w:sz w:val="17"/>
              </w:rPr>
              <w:t>40.6</w:t>
            </w:r>
          </w:p>
        </w:tc>
        <w:tc>
          <w:tcPr>
            <w:tcW w:type="dxa" w:w="1440"/>
            <w:vAlign w:val="top"/>
            <w:tcBorders>
              <w:bottom w:val="single" w:sz="2" w:color="D7DFE5"/>
            </w:tcBorders>
          </w:tcPr>
          <w:p>
            <w:pPr>
              <w:spacing w:after="20"/>
            </w:pPr>
            <w:r>
              <w:rPr>
                <w:color w:val="24313D"/>
                <w:sz w:val="17"/>
              </w:rPr>
              <w:t>94.2</w:t>
            </w:r>
          </w:p>
        </w:tc>
      </w:tr>
      <w:tr>
        <w:trPr>
          <w:cantSplit/>
        </w:trPr>
        <w:tc>
          <w:tcPr>
            <w:tcW w:type="dxa" w:w="2880"/>
            <w:vAlign w:val="top"/>
            <w:shd w:fill="F2F5F7"/>
            <w:tcBorders>
              <w:bottom w:val="single" w:sz="2" w:color="D7DFE5"/>
            </w:tcBorders>
          </w:tcPr>
          <w:p>
            <w:pPr>
              <w:spacing w:after="20"/>
            </w:pPr>
            <w:r>
              <w:rPr>
                <w:b/>
                <w:color w:val="071827"/>
                <w:sz w:val="17"/>
              </w:rPr>
              <w:t>Gross profit</w:t>
            </w:r>
          </w:p>
        </w:tc>
        <w:tc>
          <w:tcPr>
            <w:tcW w:type="dxa" w:w="1440"/>
            <w:vAlign w:val="top"/>
            <w:shd w:fill="F2F5F7"/>
            <w:tcBorders>
              <w:bottom w:val="single" w:sz="2" w:color="D7DFE5"/>
            </w:tcBorders>
          </w:tcPr>
          <w:p>
            <w:pPr>
              <w:spacing w:after="20"/>
            </w:pPr>
            <w:r>
              <w:rPr>
                <w:color w:val="24313D"/>
                <w:sz w:val="17"/>
              </w:rPr>
              <w:t>1.1</w:t>
            </w:r>
          </w:p>
        </w:tc>
        <w:tc>
          <w:tcPr>
            <w:tcW w:type="dxa" w:w="1440"/>
            <w:vAlign w:val="top"/>
            <w:shd w:fill="F2F5F7"/>
            <w:tcBorders>
              <w:bottom w:val="single" w:sz="2" w:color="D7DFE5"/>
            </w:tcBorders>
          </w:tcPr>
          <w:p>
            <w:pPr>
              <w:spacing w:after="20"/>
            </w:pPr>
            <w:r>
              <w:rPr>
                <w:color w:val="24313D"/>
                <w:sz w:val="17"/>
              </w:rPr>
              <w:t>4.6</w:t>
            </w:r>
          </w:p>
        </w:tc>
        <w:tc>
          <w:tcPr>
            <w:tcW w:type="dxa" w:w="1440"/>
            <w:vAlign w:val="top"/>
            <w:shd w:fill="F2F5F7"/>
            <w:tcBorders>
              <w:bottom w:val="single" w:sz="2" w:color="D7DFE5"/>
            </w:tcBorders>
          </w:tcPr>
          <w:p>
            <w:pPr>
              <w:spacing w:after="20"/>
            </w:pPr>
            <w:r>
              <w:rPr>
                <w:color w:val="24313D"/>
                <w:sz w:val="17"/>
              </w:rPr>
              <w:t>13.6</w:t>
            </w:r>
          </w:p>
        </w:tc>
        <w:tc>
          <w:tcPr>
            <w:tcW w:type="dxa" w:w="1440"/>
            <w:vAlign w:val="top"/>
            <w:shd w:fill="F2F5F7"/>
            <w:tcBorders>
              <w:bottom w:val="single" w:sz="2" w:color="D7DFE5"/>
            </w:tcBorders>
          </w:tcPr>
          <w:p>
            <w:pPr>
              <w:spacing w:after="20"/>
            </w:pPr>
            <w:r>
              <w:rPr>
                <w:color w:val="24313D"/>
                <w:sz w:val="17"/>
              </w:rPr>
              <w:t>34.1</w:t>
            </w:r>
          </w:p>
        </w:tc>
        <w:tc>
          <w:tcPr>
            <w:tcW w:type="dxa" w:w="1440"/>
            <w:vAlign w:val="top"/>
            <w:shd w:fill="F2F5F7"/>
            <w:tcBorders>
              <w:bottom w:val="single" w:sz="2" w:color="D7DFE5"/>
            </w:tcBorders>
          </w:tcPr>
          <w:p>
            <w:pPr>
              <w:spacing w:after="20"/>
            </w:pPr>
            <w:r>
              <w:rPr>
                <w:color w:val="24313D"/>
                <w:sz w:val="17"/>
              </w:rPr>
              <w:t>80.1</w:t>
            </w:r>
          </w:p>
        </w:tc>
      </w:tr>
      <w:tr>
        <w:trPr>
          <w:cantSplit/>
        </w:trPr>
        <w:tc>
          <w:tcPr>
            <w:tcW w:type="dxa" w:w="2880"/>
            <w:vAlign w:val="top"/>
            <w:tcBorders>
              <w:bottom w:val="single" w:sz="2" w:color="D7DFE5"/>
            </w:tcBorders>
          </w:tcPr>
          <w:p>
            <w:pPr>
              <w:spacing w:after="20"/>
            </w:pPr>
            <w:r>
              <w:rPr>
                <w:b/>
                <w:color w:val="071827"/>
                <w:sz w:val="17"/>
              </w:rPr>
              <w:t>Gross margin</w:t>
            </w:r>
          </w:p>
        </w:tc>
        <w:tc>
          <w:tcPr>
            <w:tcW w:type="dxa" w:w="1440"/>
            <w:vAlign w:val="top"/>
            <w:tcBorders>
              <w:bottom w:val="single" w:sz="2" w:color="D7DFE5"/>
            </w:tcBorders>
          </w:tcPr>
          <w:p>
            <w:pPr>
              <w:spacing w:after="20"/>
            </w:pPr>
            <w:r>
              <w:rPr>
                <w:color w:val="24313D"/>
                <w:sz w:val="17"/>
              </w:rPr>
              <w:t>79%</w:t>
            </w:r>
          </w:p>
        </w:tc>
        <w:tc>
          <w:tcPr>
            <w:tcW w:type="dxa" w:w="1440"/>
            <w:vAlign w:val="top"/>
            <w:tcBorders>
              <w:bottom w:val="single" w:sz="2" w:color="D7DFE5"/>
            </w:tcBorders>
          </w:tcPr>
          <w:p>
            <w:pPr>
              <w:spacing w:after="20"/>
            </w:pPr>
            <w:r>
              <w:rPr>
                <w:color w:val="24313D"/>
                <w:sz w:val="17"/>
              </w:rPr>
              <w:t>80%</w:t>
            </w:r>
          </w:p>
        </w:tc>
        <w:tc>
          <w:tcPr>
            <w:tcW w:type="dxa" w:w="1440"/>
            <w:vAlign w:val="top"/>
            <w:tcBorders>
              <w:bottom w:val="single" w:sz="2" w:color="D7DFE5"/>
            </w:tcBorders>
          </w:tcPr>
          <w:p>
            <w:pPr>
              <w:spacing w:after="20"/>
            </w:pPr>
            <w:r>
              <w:rPr>
                <w:color w:val="24313D"/>
                <w:sz w:val="17"/>
              </w:rPr>
              <w:t>82%</w:t>
            </w:r>
          </w:p>
        </w:tc>
        <w:tc>
          <w:tcPr>
            <w:tcW w:type="dxa" w:w="1440"/>
            <w:vAlign w:val="top"/>
            <w:tcBorders>
              <w:bottom w:val="single" w:sz="2" w:color="D7DFE5"/>
            </w:tcBorders>
          </w:tcPr>
          <w:p>
            <w:pPr>
              <w:spacing w:after="20"/>
            </w:pPr>
            <w:r>
              <w:rPr>
                <w:color w:val="24313D"/>
                <w:sz w:val="17"/>
              </w:rPr>
              <w:t>84%</w:t>
            </w:r>
          </w:p>
        </w:tc>
        <w:tc>
          <w:tcPr>
            <w:tcW w:type="dxa" w:w="1440"/>
            <w:vAlign w:val="top"/>
            <w:tcBorders>
              <w:bottom w:val="single" w:sz="2" w:color="D7DFE5"/>
            </w:tcBorders>
          </w:tcPr>
          <w:p>
            <w:pPr>
              <w:spacing w:after="20"/>
            </w:pPr>
            <w:r>
              <w:rPr>
                <w:color w:val="24313D"/>
                <w:sz w:val="17"/>
              </w:rPr>
              <w:t>85%</w:t>
            </w:r>
          </w:p>
        </w:tc>
      </w:tr>
      <w:tr>
        <w:trPr>
          <w:cantSplit/>
        </w:trPr>
        <w:tc>
          <w:tcPr>
            <w:tcW w:type="dxa" w:w="2880"/>
            <w:vAlign w:val="top"/>
            <w:shd w:fill="F2F5F7"/>
            <w:tcBorders>
              <w:bottom w:val="single" w:sz="2" w:color="D7DFE5"/>
            </w:tcBorders>
          </w:tcPr>
          <w:p>
            <w:pPr>
              <w:spacing w:after="20"/>
            </w:pPr>
            <w:r>
              <w:rPr>
                <w:b/>
                <w:color w:val="071827"/>
                <w:sz w:val="17"/>
              </w:rPr>
              <w:t>EBITDA</w:t>
            </w:r>
          </w:p>
        </w:tc>
        <w:tc>
          <w:tcPr>
            <w:tcW w:type="dxa" w:w="1440"/>
            <w:vAlign w:val="top"/>
            <w:shd w:fill="F2F5F7"/>
            <w:tcBorders>
              <w:bottom w:val="single" w:sz="2" w:color="D7DFE5"/>
            </w:tcBorders>
          </w:tcPr>
          <w:p>
            <w:pPr>
              <w:spacing w:after="20"/>
            </w:pPr>
            <w:r>
              <w:rPr>
                <w:color w:val="24313D"/>
                <w:sz w:val="17"/>
              </w:rPr>
              <w:t>(1.3)</w:t>
            </w:r>
          </w:p>
        </w:tc>
        <w:tc>
          <w:tcPr>
            <w:tcW w:type="dxa" w:w="1440"/>
            <w:vAlign w:val="top"/>
            <w:shd w:fill="F2F5F7"/>
            <w:tcBorders>
              <w:bottom w:val="single" w:sz="2" w:color="D7DFE5"/>
            </w:tcBorders>
          </w:tcPr>
          <w:p>
            <w:pPr>
              <w:spacing w:after="20"/>
            </w:pPr>
            <w:r>
              <w:rPr>
                <w:color w:val="24313D"/>
                <w:sz w:val="17"/>
              </w:rPr>
              <w:t>0.1</w:t>
            </w:r>
          </w:p>
        </w:tc>
        <w:tc>
          <w:tcPr>
            <w:tcW w:type="dxa" w:w="1440"/>
            <w:vAlign w:val="top"/>
            <w:shd w:fill="F2F5F7"/>
            <w:tcBorders>
              <w:bottom w:val="single" w:sz="2" w:color="D7DFE5"/>
            </w:tcBorders>
          </w:tcPr>
          <w:p>
            <w:pPr>
              <w:spacing w:after="20"/>
            </w:pPr>
            <w:r>
              <w:rPr>
                <w:color w:val="24313D"/>
                <w:sz w:val="17"/>
              </w:rPr>
              <w:t>4.9</w:t>
            </w:r>
          </w:p>
        </w:tc>
        <w:tc>
          <w:tcPr>
            <w:tcW w:type="dxa" w:w="1440"/>
            <w:vAlign w:val="top"/>
            <w:shd w:fill="F2F5F7"/>
            <w:tcBorders>
              <w:bottom w:val="single" w:sz="2" w:color="D7DFE5"/>
            </w:tcBorders>
          </w:tcPr>
          <w:p>
            <w:pPr>
              <w:spacing w:after="20"/>
            </w:pPr>
            <w:r>
              <w:rPr>
                <w:color w:val="24313D"/>
                <w:sz w:val="17"/>
              </w:rPr>
              <w:t>15.6</w:t>
            </w:r>
          </w:p>
        </w:tc>
        <w:tc>
          <w:tcPr>
            <w:tcW w:type="dxa" w:w="1440"/>
            <w:vAlign w:val="top"/>
            <w:shd w:fill="F2F5F7"/>
            <w:tcBorders>
              <w:bottom w:val="single" w:sz="2" w:color="D7DFE5"/>
            </w:tcBorders>
          </w:tcPr>
          <w:p>
            <w:pPr>
              <w:spacing w:after="20"/>
            </w:pPr>
            <w:r>
              <w:rPr>
                <w:color w:val="24313D"/>
                <w:sz w:val="17"/>
              </w:rPr>
              <w:t>45.1</w:t>
            </w:r>
          </w:p>
        </w:tc>
      </w:tr>
      <w:tr>
        <w:trPr>
          <w:cantSplit/>
        </w:trPr>
        <w:tc>
          <w:tcPr>
            <w:tcW w:type="dxa" w:w="2880"/>
            <w:vAlign w:val="top"/>
            <w:tcBorders>
              <w:bottom w:val="single" w:sz="2" w:color="D7DFE5"/>
            </w:tcBorders>
          </w:tcPr>
          <w:p>
            <w:pPr>
              <w:spacing w:after="20"/>
            </w:pPr>
            <w:r>
              <w:rPr>
                <w:b/>
                <w:color w:val="071827"/>
                <w:sz w:val="17"/>
              </w:rPr>
              <w:t>Ending cash</w:t>
            </w:r>
          </w:p>
        </w:tc>
        <w:tc>
          <w:tcPr>
            <w:tcW w:type="dxa" w:w="1440"/>
            <w:vAlign w:val="top"/>
            <w:tcBorders>
              <w:bottom w:val="single" w:sz="2" w:color="D7DFE5"/>
            </w:tcBorders>
          </w:tcPr>
          <w:p>
            <w:pPr>
              <w:spacing w:after="20"/>
            </w:pPr>
            <w:r>
              <w:rPr>
                <w:color w:val="24313D"/>
                <w:sz w:val="17"/>
              </w:rPr>
              <w:t>0.6</w:t>
            </w:r>
          </w:p>
        </w:tc>
        <w:tc>
          <w:tcPr>
            <w:tcW w:type="dxa" w:w="1440"/>
            <w:vAlign w:val="top"/>
            <w:tcBorders>
              <w:bottom w:val="single" w:sz="2" w:color="D7DFE5"/>
            </w:tcBorders>
          </w:tcPr>
          <w:p>
            <w:pPr>
              <w:spacing w:after="20"/>
            </w:pPr>
            <w:r>
              <w:rPr>
                <w:color w:val="24313D"/>
                <w:sz w:val="17"/>
              </w:rPr>
              <w:t>1.3</w:t>
            </w:r>
          </w:p>
        </w:tc>
        <w:tc>
          <w:tcPr>
            <w:tcW w:type="dxa" w:w="1440"/>
            <w:vAlign w:val="top"/>
            <w:tcBorders>
              <w:bottom w:val="single" w:sz="2" w:color="D7DFE5"/>
            </w:tcBorders>
          </w:tcPr>
          <w:p>
            <w:pPr>
              <w:spacing w:after="20"/>
            </w:pPr>
            <w:r>
              <w:rPr>
                <w:color w:val="24313D"/>
                <w:sz w:val="17"/>
              </w:rPr>
              <w:t>7.0</w:t>
            </w:r>
          </w:p>
        </w:tc>
        <w:tc>
          <w:tcPr>
            <w:tcW w:type="dxa" w:w="1440"/>
            <w:vAlign w:val="top"/>
            <w:tcBorders>
              <w:bottom w:val="single" w:sz="2" w:color="D7DFE5"/>
            </w:tcBorders>
          </w:tcPr>
          <w:p>
            <w:pPr>
              <w:spacing w:after="20"/>
            </w:pPr>
            <w:r>
              <w:rPr>
                <w:color w:val="24313D"/>
                <w:sz w:val="17"/>
              </w:rPr>
              <w:t>15.8</w:t>
            </w:r>
          </w:p>
        </w:tc>
        <w:tc>
          <w:tcPr>
            <w:tcW w:type="dxa" w:w="1440"/>
            <w:vAlign w:val="top"/>
            <w:tcBorders>
              <w:bottom w:val="single" w:sz="2" w:color="D7DFE5"/>
            </w:tcBorders>
          </w:tcPr>
          <w:p>
            <w:pPr>
              <w:spacing w:after="20"/>
            </w:pPr>
            <w:r>
              <w:rPr>
                <w:color w:val="24313D"/>
                <w:sz w:val="17"/>
              </w:rPr>
              <w:t>43.1</w:t>
            </w:r>
          </w:p>
        </w:tc>
      </w:tr>
      <w:tr>
        <w:trPr>
          <w:cantSplit/>
        </w:trPr>
        <w:tc>
          <w:tcPr>
            <w:tcW w:type="dxa" w:w="2880"/>
            <w:vAlign w:val="top"/>
            <w:shd w:fill="F2F5F7"/>
            <w:tcBorders>
              <w:bottom w:val="single" w:sz="2" w:color="D7DFE5"/>
            </w:tcBorders>
          </w:tcPr>
          <w:p>
            <w:pPr>
              <w:spacing w:after="20"/>
            </w:pPr>
            <w:r>
              <w:rPr>
                <w:b/>
                <w:color w:val="071827"/>
                <w:sz w:val="17"/>
              </w:rPr>
              <w:t>Recurring + usage mix</w:t>
            </w:r>
          </w:p>
        </w:tc>
        <w:tc>
          <w:tcPr>
            <w:tcW w:type="dxa" w:w="1440"/>
            <w:vAlign w:val="top"/>
            <w:shd w:fill="F2F5F7"/>
            <w:tcBorders>
              <w:bottom w:val="single" w:sz="2" w:color="D7DFE5"/>
            </w:tcBorders>
          </w:tcPr>
          <w:p>
            <w:pPr>
              <w:spacing w:after="20"/>
            </w:pPr>
            <w:r>
              <w:rPr>
                <w:color w:val="24313D"/>
                <w:sz w:val="17"/>
              </w:rPr>
              <w:t>38%</w:t>
            </w:r>
          </w:p>
        </w:tc>
        <w:tc>
          <w:tcPr>
            <w:tcW w:type="dxa" w:w="1440"/>
            <w:vAlign w:val="top"/>
            <w:shd w:fill="F2F5F7"/>
            <w:tcBorders>
              <w:bottom w:val="single" w:sz="2" w:color="D7DFE5"/>
            </w:tcBorders>
          </w:tcPr>
          <w:p>
            <w:pPr>
              <w:spacing w:after="20"/>
            </w:pPr>
            <w:r>
              <w:rPr>
                <w:color w:val="24313D"/>
                <w:sz w:val="17"/>
              </w:rPr>
              <w:t>56%</w:t>
            </w:r>
          </w:p>
        </w:tc>
        <w:tc>
          <w:tcPr>
            <w:tcW w:type="dxa" w:w="1440"/>
            <w:vAlign w:val="top"/>
            <w:shd w:fill="F2F5F7"/>
            <w:tcBorders>
              <w:bottom w:val="single" w:sz="2" w:color="D7DFE5"/>
            </w:tcBorders>
          </w:tcPr>
          <w:p>
            <w:pPr>
              <w:spacing w:after="20"/>
            </w:pPr>
            <w:r>
              <w:rPr>
                <w:color w:val="24313D"/>
                <w:sz w:val="17"/>
              </w:rPr>
              <w:t>72%</w:t>
            </w:r>
          </w:p>
        </w:tc>
        <w:tc>
          <w:tcPr>
            <w:tcW w:type="dxa" w:w="1440"/>
            <w:vAlign w:val="top"/>
            <w:shd w:fill="F2F5F7"/>
            <w:tcBorders>
              <w:bottom w:val="single" w:sz="2" w:color="D7DFE5"/>
            </w:tcBorders>
          </w:tcPr>
          <w:p>
            <w:pPr>
              <w:spacing w:after="20"/>
            </w:pPr>
            <w:r>
              <w:rPr>
                <w:color w:val="24313D"/>
                <w:sz w:val="17"/>
              </w:rPr>
              <w:t>81%</w:t>
            </w:r>
          </w:p>
        </w:tc>
        <w:tc>
          <w:tcPr>
            <w:tcW w:type="dxa" w:w="1440"/>
            <w:vAlign w:val="top"/>
            <w:shd w:fill="F2F5F7"/>
            <w:tcBorders>
              <w:bottom w:val="single" w:sz="2" w:color="D7DFE5"/>
            </w:tcBorders>
          </w:tcPr>
          <w:p>
            <w:pPr>
              <w:spacing w:after="20"/>
            </w:pPr>
            <w:r>
              <w:rPr>
                <w:color w:val="24313D"/>
                <w:sz w:val="17"/>
              </w:rPr>
              <w:t>87%</w:t>
            </w:r>
          </w:p>
        </w:tc>
      </w:tr>
    </w:tbl>
    <w:p>
      <w:pPr>
        <w:spacing w:after="0"/>
      </w:pPr>
    </w:p>
    <w:p>
      <w:r>
        <w:t>This is not a forecast. It is an explicit hypothesis whose assumptions must be updated from commercial receipts, actual costs, conversion, retention, independent-review burden and protected-invocation economics.</w:t>
      </w:r>
    </w:p>
    <w:p>
      <w:r>
        <w:drawing>
          <wp:inline xmlns:a="http://schemas.openxmlformats.org/drawingml/2006/main" xmlns:pic="http://schemas.openxmlformats.org/drawingml/2006/picture">
            <wp:extent cx="6400800" cy="2704626"/>
            <wp:docPr id="4" name="Picture 4"/>
            <wp:cNvGraphicFramePr>
              <a:graphicFrameLocks noChangeAspect="1"/>
            </wp:cNvGraphicFramePr>
            <a:graphic>
              <a:graphicData uri="http://schemas.openxmlformats.org/drawingml/2006/picture">
                <pic:pic>
                  <pic:nvPicPr>
                    <pic:cNvPr id="0" name="GoalOS_Optimal_Business_Model_Financial_Dashboard.png"/>
                    <pic:cNvPicPr/>
                  </pic:nvPicPr>
                  <pic:blipFill>
                    <a:blip r:embed="rId14"/>
                    <a:stretch>
                      <a:fillRect/>
                    </a:stretch>
                  </pic:blipFill>
                  <pic:spPr>
                    <a:xfrm>
                      <a:off x="0" y="0"/>
                      <a:ext cx="6400800" cy="2704626"/>
                    </a:xfrm>
                    <a:prstGeom prst="rect"/>
                  </pic:spPr>
                </pic:pic>
              </a:graphicData>
            </a:graphic>
          </wp:inline>
        </w:drawing>
      </w:r>
    </w:p>
    <w:p>
      <w:pPr>
        <w:pStyle w:val="Heading1"/>
      </w:pPr>
      <w:r>
        <w:t>11. Capital plan and evidence gates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E2B3B"/>
            <w:vAlign w:val="center"/>
            <w:tcBorders>
              <w:bottom w:val="single" w:sz="8" w:color="D6A13C"/>
            </w:tcBorders>
          </w:tcPr>
          <w:p>
            <w:pPr>
              <w:jc w:val="center"/>
            </w:pPr>
            <w:r>
              <w:rPr>
                <w:b/>
                <w:color w:val="FFFFFF"/>
                <w:sz w:val="16"/>
              </w:rPr>
              <w:t>Gate</w:t>
            </w:r>
          </w:p>
        </w:tc>
        <w:tc>
          <w:tcPr>
            <w:tcW w:type="dxa" w:w="2520"/>
            <w:shd w:fill="0E2B3B"/>
            <w:vAlign w:val="center"/>
            <w:tcBorders>
              <w:bottom w:val="single" w:sz="8" w:color="D6A13C"/>
            </w:tcBorders>
          </w:tcPr>
          <w:p>
            <w:pPr>
              <w:jc w:val="center"/>
            </w:pPr>
            <w:r>
              <w:rPr>
                <w:b/>
                <w:color w:val="FFFFFF"/>
                <w:sz w:val="16"/>
              </w:rPr>
              <w:t>Capital use</w:t>
            </w:r>
          </w:p>
        </w:tc>
        <w:tc>
          <w:tcPr>
            <w:tcW w:type="dxa" w:w="5616"/>
            <w:shd w:fill="0E2B3B"/>
            <w:vAlign w:val="center"/>
            <w:tcBorders>
              <w:bottom w:val="single" w:sz="8" w:color="D6A13C"/>
            </w:tcBorders>
          </w:tcPr>
          <w:p>
            <w:pPr>
              <w:jc w:val="center"/>
            </w:pPr>
            <w:r>
              <w:rPr>
                <w:b/>
                <w:color w:val="FFFFFF"/>
                <w:sz w:val="16"/>
              </w:rPr>
              <w:t>Evidence required</w:t>
            </w:r>
          </w:p>
        </w:tc>
      </w:tr>
      <w:tr>
        <w:trPr>
          <w:cantSplit/>
        </w:trPr>
        <w:tc>
          <w:tcPr>
            <w:tcW w:type="dxa" w:w="1944"/>
            <w:vAlign w:val="top"/>
            <w:tcBorders>
              <w:bottom w:val="single" w:sz="2" w:color="D7DFE5"/>
            </w:tcBorders>
          </w:tcPr>
          <w:p>
            <w:pPr>
              <w:spacing w:after="20"/>
            </w:pPr>
            <w:r>
              <w:rPr>
                <w:b/>
                <w:color w:val="071827"/>
                <w:sz w:val="15"/>
              </w:rPr>
              <w:t>Commercial Proof Run</w:t>
            </w:r>
          </w:p>
        </w:tc>
        <w:tc>
          <w:tcPr>
            <w:tcW w:type="dxa" w:w="2520"/>
            <w:vAlign w:val="top"/>
            <w:tcBorders>
              <w:bottom w:val="single" w:sz="2" w:color="D7DFE5"/>
            </w:tcBorders>
          </w:tcPr>
          <w:p>
            <w:pPr>
              <w:spacing w:after="20"/>
            </w:pPr>
            <w:r>
              <w:rPr>
                <w:color w:val="24313D"/>
                <w:sz w:val="15"/>
              </w:rPr>
              <w:t>$250K initial envelope</w:t>
            </w:r>
          </w:p>
        </w:tc>
        <w:tc>
          <w:tcPr>
            <w:tcW w:type="dxa" w:w="5616"/>
            <w:vAlign w:val="top"/>
            <w:tcBorders>
              <w:bottom w:val="single" w:sz="2" w:color="D7DFE5"/>
            </w:tcBorders>
          </w:tcPr>
          <w:p>
            <w:pPr>
              <w:spacing w:after="20"/>
            </w:pPr>
            <w:r>
              <w:rPr>
                <w:color w:val="24313D"/>
                <w:sz w:val="15"/>
              </w:rPr>
              <w:t>3 paying customers; 1 reviewed outcome; 1 repeat; positive contribution; 1 capability</w:t>
            </w:r>
          </w:p>
        </w:tc>
      </w:tr>
      <w:tr>
        <w:trPr>
          <w:cantSplit/>
        </w:trPr>
        <w:tc>
          <w:tcPr>
            <w:tcW w:type="dxa" w:w="1944"/>
            <w:vAlign w:val="top"/>
            <w:shd w:fill="F2F5F7"/>
            <w:tcBorders>
              <w:bottom w:val="single" w:sz="2" w:color="D7DFE5"/>
            </w:tcBorders>
          </w:tcPr>
          <w:p>
            <w:pPr>
              <w:spacing w:after="20"/>
            </w:pPr>
            <w:r>
              <w:rPr>
                <w:b/>
                <w:color w:val="071827"/>
                <w:sz w:val="15"/>
              </w:rPr>
              <w:t>Productization</w:t>
            </w:r>
          </w:p>
        </w:tc>
        <w:tc>
          <w:tcPr>
            <w:tcW w:type="dxa" w:w="2520"/>
            <w:vAlign w:val="top"/>
            <w:shd w:fill="F2F5F7"/>
            <w:tcBorders>
              <w:bottom w:val="single" w:sz="2" w:color="D7DFE5"/>
            </w:tcBorders>
          </w:tcPr>
          <w:p>
            <w:pPr>
              <w:spacing w:after="20"/>
            </w:pPr>
            <w:r>
              <w:rPr>
                <w:color w:val="24313D"/>
                <w:sz w:val="15"/>
              </w:rPr>
              <w:t>$0.75M–$1.5M cumulative</w:t>
            </w:r>
          </w:p>
        </w:tc>
        <w:tc>
          <w:tcPr>
            <w:tcW w:type="dxa" w:w="5616"/>
            <w:vAlign w:val="top"/>
            <w:shd w:fill="F2F5F7"/>
            <w:tcBorders>
              <w:bottom w:val="single" w:sz="2" w:color="D7DFE5"/>
            </w:tcBorders>
          </w:tcPr>
          <w:p>
            <w:pPr>
              <w:spacing w:after="20"/>
            </w:pPr>
            <w:r>
              <w:rPr>
                <w:color w:val="24313D"/>
                <w:sz w:val="15"/>
              </w:rPr>
              <w:t>Repeatable lane; several Offices; declining founder hours; security plan</w:t>
            </w:r>
          </w:p>
        </w:tc>
      </w:tr>
      <w:tr>
        <w:trPr>
          <w:cantSplit/>
        </w:trPr>
        <w:tc>
          <w:tcPr>
            <w:tcW w:type="dxa" w:w="1944"/>
            <w:vAlign w:val="top"/>
            <w:tcBorders>
              <w:bottom w:val="single" w:sz="2" w:color="D7DFE5"/>
            </w:tcBorders>
          </w:tcPr>
          <w:p>
            <w:pPr>
              <w:spacing w:after="20"/>
            </w:pPr>
            <w:r>
              <w:rPr>
                <w:b/>
                <w:color w:val="071827"/>
                <w:sz w:val="15"/>
              </w:rPr>
              <w:t>Enterprise platform</w:t>
            </w:r>
          </w:p>
        </w:tc>
        <w:tc>
          <w:tcPr>
            <w:tcW w:type="dxa" w:w="2520"/>
            <w:vAlign w:val="top"/>
            <w:tcBorders>
              <w:bottom w:val="single" w:sz="2" w:color="D7DFE5"/>
            </w:tcBorders>
          </w:tcPr>
          <w:p>
            <w:pPr>
              <w:spacing w:after="20"/>
            </w:pPr>
            <w:r>
              <w:rPr>
                <w:color w:val="24313D"/>
                <w:sz w:val="15"/>
              </w:rPr>
              <w:t>$3M–$5M cumulative</w:t>
            </w:r>
          </w:p>
        </w:tc>
        <w:tc>
          <w:tcPr>
            <w:tcW w:type="dxa" w:w="5616"/>
            <w:vAlign w:val="top"/>
            <w:tcBorders>
              <w:bottom w:val="single" w:sz="2" w:color="D7DFE5"/>
            </w:tcBorders>
          </w:tcPr>
          <w:p>
            <w:pPr>
              <w:spacing w:after="20"/>
            </w:pPr>
            <w:r>
              <w:rPr>
                <w:color w:val="24313D"/>
                <w:sz w:val="15"/>
              </w:rPr>
              <w:t>10–20 customers; recurring contracts; private execution; transfer evidence</w:t>
            </w:r>
          </w:p>
        </w:tc>
      </w:tr>
      <w:tr>
        <w:trPr>
          <w:cantSplit/>
        </w:trPr>
        <w:tc>
          <w:tcPr>
            <w:tcW w:type="dxa" w:w="1944"/>
            <w:vAlign w:val="top"/>
            <w:shd w:fill="F2F5F7"/>
            <w:tcBorders>
              <w:bottom w:val="single" w:sz="2" w:color="D7DFE5"/>
            </w:tcBorders>
          </w:tcPr>
          <w:p>
            <w:pPr>
              <w:spacing w:after="20"/>
            </w:pPr>
            <w:r>
              <w:rPr>
                <w:b/>
                <w:color w:val="071827"/>
                <w:sz w:val="15"/>
              </w:rPr>
              <w:t>Network scale</w:t>
            </w:r>
          </w:p>
        </w:tc>
        <w:tc>
          <w:tcPr>
            <w:tcW w:type="dxa" w:w="2520"/>
            <w:vAlign w:val="top"/>
            <w:shd w:fill="F2F5F7"/>
            <w:tcBorders>
              <w:bottom w:val="single" w:sz="2" w:color="D7DFE5"/>
            </w:tcBorders>
          </w:tcPr>
          <w:p>
            <w:pPr>
              <w:spacing w:after="20"/>
            </w:pPr>
            <w:r>
              <w:rPr>
                <w:color w:val="24313D"/>
                <w:sz w:val="15"/>
              </w:rPr>
              <w:t>Growth capital tied to adoption</w:t>
            </w:r>
          </w:p>
        </w:tc>
        <w:tc>
          <w:tcPr>
            <w:tcW w:type="dxa" w:w="5616"/>
            <w:vAlign w:val="top"/>
            <w:shd w:fill="F2F5F7"/>
            <w:tcBorders>
              <w:bottom w:val="single" w:sz="2" w:color="D7DFE5"/>
            </w:tcBorders>
          </w:tcPr>
          <w:p>
            <w:pPr>
              <w:spacing w:after="20"/>
            </w:pPr>
            <w:r>
              <w:rPr>
                <w:color w:val="24313D"/>
                <w:sz w:val="15"/>
              </w:rPr>
              <w:t>External agents/evaluators; substantial usage; strong retention; category leadership</w:t>
            </w:r>
          </w:p>
        </w:tc>
      </w:tr>
      <w:tr>
        <w:trPr>
          <w:cantSplit/>
        </w:trPr>
        <w:tc>
          <w:tcPr>
            <w:tcW w:type="dxa" w:w="1944"/>
            <w:vAlign w:val="top"/>
            <w:tcBorders>
              <w:bottom w:val="single" w:sz="2" w:color="D7DFE5"/>
            </w:tcBorders>
          </w:tcPr>
          <w:p>
            <w:pPr>
              <w:spacing w:after="20"/>
            </w:pPr>
            <w:r>
              <w:rPr>
                <w:b/>
                <w:color w:val="071827"/>
                <w:sz w:val="15"/>
              </w:rPr>
              <w:t>Productive infrastructure</w:t>
            </w:r>
          </w:p>
        </w:tc>
        <w:tc>
          <w:tcPr>
            <w:tcW w:type="dxa" w:w="2520"/>
            <w:vAlign w:val="top"/>
            <w:tcBorders>
              <w:bottom w:val="single" w:sz="2" w:color="D7DFE5"/>
            </w:tcBorders>
          </w:tcPr>
          <w:p>
            <w:pPr>
              <w:spacing w:after="20"/>
            </w:pPr>
            <w:r>
              <w:rPr>
                <w:color w:val="24313D"/>
                <w:sz w:val="15"/>
              </w:rPr>
              <w:t>Ring-fenced project / strategic finance</w:t>
            </w:r>
          </w:p>
        </w:tc>
        <w:tc>
          <w:tcPr>
            <w:tcW w:type="dxa" w:w="5616"/>
            <w:vAlign w:val="top"/>
            <w:tcBorders>
              <w:bottom w:val="single" w:sz="2" w:color="D7DFE5"/>
            </w:tcBorders>
          </w:tcPr>
          <w:p>
            <w:pPr>
              <w:spacing w:after="20"/>
            </w:pPr>
            <w:r>
              <w:rPr>
                <w:color w:val="24313D"/>
                <w:sz w:val="15"/>
              </w:rPr>
              <w:t>Verified free cash flow; independently measured capacity gain; explicit stop conditions</w:t>
            </w:r>
          </w:p>
        </w:tc>
      </w:tr>
    </w:tbl>
    <w:p>
      <w:pPr>
        <w:spacing w:after="0"/>
      </w:pPr>
    </w:p>
    <w:p>
      <w:pPr>
        <w:pStyle w:val="Heading1"/>
      </w:pPr>
      <w:r>
        <w:t>12. Go-to-market sequence</w:t>
      </w:r>
    </w:p>
    <w:p>
      <w:pPr>
        <w:spacing w:after="40"/>
        <w:ind w:left="259" w:hanging="259"/>
      </w:pPr>
      <w:r>
        <w:rPr>
          <w:b/>
        </w:rPr>
        <w:t xml:space="preserve">1. </w:t>
      </w:r>
      <w:r>
        <w:t>Use the Frontier MasterClass and founder distribution to create category understanding and permissioned demand.</w:t>
      </w:r>
    </w:p>
    <w:p>
      <w:pPr>
        <w:spacing w:after="40"/>
        <w:ind w:left="259" w:hanging="259"/>
      </w:pPr>
      <w:r>
        <w:rPr>
          <w:b/>
        </w:rPr>
        <w:t xml:space="preserve">2. </w:t>
      </w:r>
      <w:r>
        <w:t>Let the Proof Readiness Scan expose the buyer’s Proof Debt and value at stake before asking for a transaction.</w:t>
      </w:r>
    </w:p>
    <w:p>
      <w:pPr>
        <w:spacing w:after="40"/>
        <w:ind w:left="259" w:hanging="259"/>
      </w:pPr>
      <w:r>
        <w:rPr>
          <w:b/>
        </w:rPr>
        <w:t xml:space="preserve">3. </w:t>
      </w:r>
      <w:r>
        <w:t>Sell a fixed Activation with 100% prepayment and 24–72-hour delivery.</w:t>
      </w:r>
    </w:p>
    <w:p>
      <w:pPr>
        <w:spacing w:after="40"/>
        <w:ind w:left="259" w:hanging="259"/>
      </w:pPr>
      <w:r>
        <w:rPr>
          <w:b/>
        </w:rPr>
        <w:t xml:space="preserve">4. </w:t>
      </w:r>
      <w:r>
        <w:t>Convert qualified Activations into one standard Proof Mission with fixed scope and milestone billing.</w:t>
      </w:r>
    </w:p>
    <w:p>
      <w:pPr>
        <w:spacing w:after="40"/>
        <w:ind w:left="259" w:hanging="259"/>
      </w:pPr>
      <w:r>
        <w:rPr>
          <w:b/>
        </w:rPr>
        <w:t xml:space="preserve">5. </w:t>
      </w:r>
      <w:r>
        <w:t>Convert successful missions into annual Proof Offices with evidence-based renewal.</w:t>
      </w:r>
    </w:p>
    <w:p>
      <w:pPr>
        <w:spacing w:after="40"/>
        <w:ind w:left="259" w:hanging="259"/>
      </w:pPr>
      <w:r>
        <w:rPr>
          <w:b/>
        </w:rPr>
        <w:t xml:space="preserve">6. </w:t>
      </w:r>
      <w:r>
        <w:t>After repeated transfer, expose selected capabilities through protected invocation and private enterprise networks.</w:t>
      </w:r>
    </w:p>
    <w:p>
      <w:pPr>
        <w:spacing w:after="40"/>
        <w:ind w:left="259" w:hanging="259"/>
      </w:pPr>
      <w:r>
        <w:rPr>
          <w:b/>
        </w:rPr>
        <w:t xml:space="preserve">7. </w:t>
      </w:r>
      <w:r>
        <w:t>Only after network proof, open AGI Jobs, validator and entitlement economics more broadly.</w:t>
      </w:r>
    </w:p>
    <w:p>
      <w:pPr>
        <w:pStyle w:val="Heading1"/>
      </w:pPr>
      <w:r>
        <w:t>13. Operating team and separation of powers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456"/>
            <w:shd w:fill="0E2B3B"/>
            <w:vAlign w:val="center"/>
            <w:tcBorders>
              <w:bottom w:val="single" w:sz="8" w:color="D6A13C"/>
            </w:tcBorders>
          </w:tcPr>
          <w:p>
            <w:pPr>
              <w:jc w:val="center"/>
            </w:pPr>
            <w:r>
              <w:rPr>
                <w:b/>
                <w:color w:val="FFFFFF"/>
                <w:sz w:val="18"/>
              </w:rPr>
              <w:t>Role</w:t>
            </w:r>
          </w:p>
        </w:tc>
        <w:tc>
          <w:tcPr>
            <w:tcW w:type="dxa" w:w="6624"/>
            <w:shd w:fill="0E2B3B"/>
            <w:vAlign w:val="center"/>
            <w:tcBorders>
              <w:bottom w:val="single" w:sz="8" w:color="D6A13C"/>
            </w:tcBorders>
          </w:tcPr>
          <w:p>
            <w:pPr>
              <w:jc w:val="center"/>
            </w:pPr>
            <w:r>
              <w:rPr>
                <w:b/>
                <w:color w:val="FFFFFF"/>
                <w:sz w:val="18"/>
              </w:rPr>
              <w:t>Primary mandate</w:t>
            </w:r>
          </w:p>
        </w:tc>
      </w:tr>
      <w:tr>
        <w:trPr>
          <w:cantSplit/>
        </w:trPr>
        <w:tc>
          <w:tcPr>
            <w:tcW w:type="dxa" w:w="3456"/>
            <w:vAlign w:val="top"/>
            <w:tcBorders>
              <w:bottom w:val="single" w:sz="2" w:color="D7DFE5"/>
            </w:tcBorders>
          </w:tcPr>
          <w:p>
            <w:pPr>
              <w:spacing w:after="20"/>
            </w:pPr>
            <w:r>
              <w:rPr>
                <w:b/>
                <w:color w:val="071827"/>
                <w:sz w:val="17"/>
              </w:rPr>
              <w:t>Founder / Category Architect</w:t>
            </w:r>
          </w:p>
        </w:tc>
        <w:tc>
          <w:tcPr>
            <w:tcW w:type="dxa" w:w="6624"/>
            <w:vAlign w:val="top"/>
            <w:tcBorders>
              <w:bottom w:val="single" w:sz="2" w:color="D7DFE5"/>
            </w:tcBorders>
          </w:tcPr>
          <w:p>
            <w:pPr>
              <w:spacing w:after="20"/>
            </w:pPr>
            <w:r>
              <w:rPr>
                <w:color w:val="24313D"/>
                <w:sz w:val="17"/>
              </w:rPr>
              <w:t>Category, capital, strategic partners and constitutional doctrine</w:t>
            </w:r>
          </w:p>
        </w:tc>
      </w:tr>
      <w:tr>
        <w:trPr>
          <w:cantSplit/>
        </w:trPr>
        <w:tc>
          <w:tcPr>
            <w:tcW w:type="dxa" w:w="3456"/>
            <w:vAlign w:val="top"/>
            <w:shd w:fill="F2F5F7"/>
            <w:tcBorders>
              <w:bottom w:val="single" w:sz="2" w:color="D7DFE5"/>
            </w:tcBorders>
          </w:tcPr>
          <w:p>
            <w:pPr>
              <w:spacing w:after="20"/>
            </w:pPr>
            <w:r>
              <w:rPr>
                <w:b/>
                <w:color w:val="071827"/>
                <w:sz w:val="17"/>
              </w:rPr>
              <w:t>Commercial Institution Lead</w:t>
            </w:r>
          </w:p>
        </w:tc>
        <w:tc>
          <w:tcPr>
            <w:tcW w:type="dxa" w:w="6624"/>
            <w:vAlign w:val="top"/>
            <w:shd w:fill="F2F5F7"/>
            <w:tcBorders>
              <w:bottom w:val="single" w:sz="2" w:color="D7DFE5"/>
            </w:tcBorders>
          </w:tcPr>
          <w:p>
            <w:pPr>
              <w:spacing w:after="20"/>
            </w:pPr>
            <w:r>
              <w:rPr>
                <w:color w:val="24313D"/>
                <w:sz w:val="17"/>
              </w:rPr>
              <w:t>Autonomous demand, transaction, unit economics and expansion</w:t>
            </w:r>
          </w:p>
        </w:tc>
      </w:tr>
      <w:tr>
        <w:trPr>
          <w:cantSplit/>
        </w:trPr>
        <w:tc>
          <w:tcPr>
            <w:tcW w:type="dxa" w:w="3456"/>
            <w:vAlign w:val="top"/>
            <w:tcBorders>
              <w:bottom w:val="single" w:sz="2" w:color="D7DFE5"/>
            </w:tcBorders>
          </w:tcPr>
          <w:p>
            <w:pPr>
              <w:spacing w:after="20"/>
            </w:pPr>
            <w:r>
              <w:rPr>
                <w:b/>
                <w:color w:val="071827"/>
                <w:sz w:val="17"/>
              </w:rPr>
              <w:t>CTO / Runtime Lead</w:t>
            </w:r>
          </w:p>
        </w:tc>
        <w:tc>
          <w:tcPr>
            <w:tcW w:type="dxa" w:w="6624"/>
            <w:vAlign w:val="top"/>
            <w:tcBorders>
              <w:bottom w:val="single" w:sz="2" w:color="D7DFE5"/>
            </w:tcBorders>
          </w:tcPr>
          <w:p>
            <w:pPr>
              <w:spacing w:after="20"/>
            </w:pPr>
            <w:r>
              <w:rPr>
                <w:color w:val="24313D"/>
                <w:sz w:val="17"/>
              </w:rPr>
              <w:t>Models, tools, environments, protected execution and integrations</w:t>
            </w:r>
          </w:p>
        </w:tc>
      </w:tr>
      <w:tr>
        <w:trPr>
          <w:cantSplit/>
        </w:trPr>
        <w:tc>
          <w:tcPr>
            <w:tcW w:type="dxa" w:w="3456"/>
            <w:vAlign w:val="top"/>
            <w:shd w:fill="F2F5F7"/>
            <w:tcBorders>
              <w:bottom w:val="single" w:sz="2" w:color="D7DFE5"/>
            </w:tcBorders>
          </w:tcPr>
          <w:p>
            <w:pPr>
              <w:spacing w:after="20"/>
            </w:pPr>
            <w:r>
              <w:rPr>
                <w:b/>
                <w:color w:val="071827"/>
                <w:sz w:val="17"/>
              </w:rPr>
              <w:t>Chief Evidence Officer</w:t>
            </w:r>
          </w:p>
        </w:tc>
        <w:tc>
          <w:tcPr>
            <w:tcW w:type="dxa" w:w="6624"/>
            <w:vAlign w:val="top"/>
            <w:shd w:fill="F2F5F7"/>
            <w:tcBorders>
              <w:bottom w:val="single" w:sz="2" w:color="D7DFE5"/>
            </w:tcBorders>
          </w:tcPr>
          <w:p>
            <w:pPr>
              <w:spacing w:after="20"/>
            </w:pPr>
            <w:r>
              <w:rPr>
                <w:color w:val="24313D"/>
                <w:sz w:val="17"/>
              </w:rPr>
              <w:t>Evidence Dockets, evaluators, replay and outcome measurement</w:t>
            </w:r>
          </w:p>
        </w:tc>
      </w:tr>
      <w:tr>
        <w:trPr>
          <w:cantSplit/>
        </w:trPr>
        <w:tc>
          <w:tcPr>
            <w:tcW w:type="dxa" w:w="3456"/>
            <w:vAlign w:val="top"/>
            <w:tcBorders>
              <w:bottom w:val="single" w:sz="2" w:color="D7DFE5"/>
            </w:tcBorders>
          </w:tcPr>
          <w:p>
            <w:pPr>
              <w:spacing w:after="20"/>
            </w:pPr>
            <w:r>
              <w:rPr>
                <w:b/>
                <w:color w:val="071827"/>
                <w:sz w:val="17"/>
              </w:rPr>
              <w:t>Security &amp; Identity Lead</w:t>
            </w:r>
          </w:p>
        </w:tc>
        <w:tc>
          <w:tcPr>
            <w:tcW w:type="dxa" w:w="6624"/>
            <w:vAlign w:val="top"/>
            <w:tcBorders>
              <w:bottom w:val="single" w:sz="2" w:color="D7DFE5"/>
            </w:tcBorders>
          </w:tcPr>
          <w:p>
            <w:pPr>
              <w:spacing w:after="20"/>
            </w:pPr>
            <w:r>
              <w:rPr>
                <w:color w:val="24313D"/>
                <w:sz w:val="17"/>
              </w:rPr>
              <w:t>Entitlements, keys, isolation, root verification and incident response</w:t>
            </w:r>
          </w:p>
        </w:tc>
      </w:tr>
      <w:tr>
        <w:trPr>
          <w:cantSplit/>
        </w:trPr>
        <w:tc>
          <w:tcPr>
            <w:tcW w:type="dxa" w:w="3456"/>
            <w:vAlign w:val="top"/>
            <w:shd w:fill="F2F5F7"/>
            <w:tcBorders>
              <w:bottom w:val="single" w:sz="2" w:color="D7DFE5"/>
            </w:tcBorders>
          </w:tcPr>
          <w:p>
            <w:pPr>
              <w:spacing w:after="20"/>
            </w:pPr>
            <w:r>
              <w:rPr>
                <w:b/>
                <w:color w:val="071827"/>
                <w:sz w:val="17"/>
              </w:rPr>
              <w:t>Customer Mission Lead</w:t>
            </w:r>
          </w:p>
        </w:tc>
        <w:tc>
          <w:tcPr>
            <w:tcW w:type="dxa" w:w="6624"/>
            <w:vAlign w:val="top"/>
            <w:shd w:fill="F2F5F7"/>
            <w:tcBorders>
              <w:bottom w:val="single" w:sz="2" w:color="D7DFE5"/>
            </w:tcBorders>
          </w:tcPr>
          <w:p>
            <w:pPr>
              <w:spacing w:after="20"/>
            </w:pPr>
            <w:r>
              <w:rPr>
                <w:color w:val="24313D"/>
                <w:sz w:val="17"/>
              </w:rPr>
              <w:t>Mission quality, acceptance, recurring conversion and rights</w:t>
            </w:r>
          </w:p>
        </w:tc>
      </w:tr>
      <w:tr>
        <w:trPr>
          <w:cantSplit/>
        </w:trPr>
        <w:tc>
          <w:tcPr>
            <w:tcW w:type="dxa" w:w="3456"/>
            <w:vAlign w:val="top"/>
            <w:tcBorders>
              <w:bottom w:val="single" w:sz="2" w:color="D7DFE5"/>
            </w:tcBorders>
          </w:tcPr>
          <w:p>
            <w:pPr>
              <w:spacing w:after="20"/>
            </w:pPr>
            <w:r>
              <w:rPr>
                <w:b/>
                <w:color w:val="071827"/>
                <w:sz w:val="17"/>
              </w:rPr>
              <w:t>Independent Review Council</w:t>
            </w:r>
          </w:p>
        </w:tc>
        <w:tc>
          <w:tcPr>
            <w:tcW w:type="dxa" w:w="6624"/>
            <w:vAlign w:val="top"/>
            <w:tcBorders>
              <w:bottom w:val="single" w:sz="2" w:color="D7DFE5"/>
            </w:tcBorders>
          </w:tcPr>
          <w:p>
            <w:pPr>
              <w:spacing w:after="20"/>
            </w:pPr>
            <w:r>
              <w:rPr>
                <w:color w:val="24313D"/>
                <w:sz w:val="17"/>
              </w:rPr>
              <w:t>Separated authority for material claims, admission and falsification</w:t>
            </w:r>
          </w:p>
        </w:tc>
      </w:tr>
    </w:tbl>
    <w:p>
      <w:pPr>
        <w:spacing w:after="0"/>
      </w:pPr>
    </w:p>
    <w:p>
      <w:pPr>
        <w:pStyle w:val="Heading1"/>
      </w:pPr>
      <w:r>
        <w:t>14. Governing scorecard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912"/>
            <w:shd w:fill="0E2B3B"/>
            <w:vAlign w:val="center"/>
            <w:tcBorders>
              <w:bottom w:val="single" w:sz="8" w:color="D6A13C"/>
            </w:tcBorders>
          </w:tcPr>
          <w:p>
            <w:pPr>
              <w:jc w:val="center"/>
            </w:pPr>
            <w:r>
              <w:rPr>
                <w:b/>
                <w:color w:val="FFFFFF"/>
                <w:sz w:val="18"/>
              </w:rPr>
              <w:t>Metric</w:t>
            </w:r>
          </w:p>
        </w:tc>
        <w:tc>
          <w:tcPr>
            <w:tcW w:type="dxa" w:w="3168"/>
            <w:shd w:fill="0E2B3B"/>
            <w:vAlign w:val="center"/>
            <w:tcBorders>
              <w:bottom w:val="single" w:sz="8" w:color="D6A13C"/>
            </w:tcBorders>
          </w:tcPr>
          <w:p>
            <w:pPr>
              <w:jc w:val="center"/>
            </w:pPr>
            <w:r>
              <w:rPr>
                <w:b/>
                <w:color w:val="FFFFFF"/>
                <w:sz w:val="18"/>
              </w:rPr>
              <w:t>Target gate</w:t>
            </w:r>
          </w:p>
        </w:tc>
      </w:tr>
      <w:tr>
        <w:trPr>
          <w:cantSplit/>
        </w:trPr>
        <w:tc>
          <w:tcPr>
            <w:tcW w:type="dxa" w:w="6912"/>
            <w:vAlign w:val="top"/>
            <w:tcBorders>
              <w:bottom w:val="single" w:sz="2" w:color="D7DFE5"/>
            </w:tcBorders>
          </w:tcPr>
          <w:p>
            <w:pPr>
              <w:spacing w:after="20"/>
            </w:pPr>
            <w:r>
              <w:rPr>
                <w:b/>
                <w:color w:val="071827"/>
                <w:sz w:val="17"/>
              </w:rPr>
              <w:t>Conservative customer value / first-year fee</w:t>
            </w:r>
          </w:p>
        </w:tc>
        <w:tc>
          <w:tcPr>
            <w:tcW w:type="dxa" w:w="3168"/>
            <w:vAlign w:val="top"/>
            <w:tcBorders>
              <w:bottom w:val="single" w:sz="2" w:color="D7DFE5"/>
            </w:tcBorders>
          </w:tcPr>
          <w:p>
            <w:pPr>
              <w:spacing w:after="20"/>
            </w:pPr>
            <w:r>
              <w:rPr>
                <w:color w:val="24313D"/>
                <w:sz w:val="17"/>
              </w:rPr>
              <w:t>≥4.0×</w:t>
            </w:r>
          </w:p>
        </w:tc>
      </w:tr>
      <w:tr>
        <w:trPr>
          <w:cantSplit/>
        </w:trPr>
        <w:tc>
          <w:tcPr>
            <w:tcW w:type="dxa" w:w="6912"/>
            <w:vAlign w:val="top"/>
            <w:shd w:fill="F2F5F7"/>
            <w:tcBorders>
              <w:bottom w:val="single" w:sz="2" w:color="D7DFE5"/>
            </w:tcBorders>
          </w:tcPr>
          <w:p>
            <w:pPr>
              <w:spacing w:after="20"/>
            </w:pPr>
            <w:r>
              <w:rPr>
                <w:b/>
                <w:color w:val="071827"/>
                <w:sz w:val="17"/>
              </w:rPr>
              <w:t>Activation gross margin</w:t>
            </w:r>
          </w:p>
        </w:tc>
        <w:tc>
          <w:tcPr>
            <w:tcW w:type="dxa" w:w="3168"/>
            <w:vAlign w:val="top"/>
            <w:shd w:fill="F2F5F7"/>
            <w:tcBorders>
              <w:bottom w:val="single" w:sz="2" w:color="D7DFE5"/>
            </w:tcBorders>
          </w:tcPr>
          <w:p>
            <w:pPr>
              <w:spacing w:after="20"/>
            </w:pPr>
            <w:r>
              <w:rPr>
                <w:color w:val="24313D"/>
                <w:sz w:val="17"/>
              </w:rPr>
              <w:t>≥95%</w:t>
            </w:r>
          </w:p>
        </w:tc>
      </w:tr>
      <w:tr>
        <w:trPr>
          <w:cantSplit/>
        </w:trPr>
        <w:tc>
          <w:tcPr>
            <w:tcW w:type="dxa" w:w="6912"/>
            <w:vAlign w:val="top"/>
            <w:tcBorders>
              <w:bottom w:val="single" w:sz="2" w:color="D7DFE5"/>
            </w:tcBorders>
          </w:tcPr>
          <w:p>
            <w:pPr>
              <w:spacing w:after="20"/>
            </w:pPr>
            <w:r>
              <w:rPr>
                <w:b/>
                <w:color w:val="071827"/>
                <w:sz w:val="17"/>
              </w:rPr>
              <w:t>Proof Mission gross margin</w:t>
            </w:r>
          </w:p>
        </w:tc>
        <w:tc>
          <w:tcPr>
            <w:tcW w:type="dxa" w:w="3168"/>
            <w:vAlign w:val="top"/>
            <w:tcBorders>
              <w:bottom w:val="single" w:sz="2" w:color="D7DFE5"/>
            </w:tcBorders>
          </w:tcPr>
          <w:p>
            <w:pPr>
              <w:spacing w:after="20"/>
            </w:pPr>
            <w:r>
              <w:rPr>
                <w:color w:val="24313D"/>
                <w:sz w:val="17"/>
              </w:rPr>
              <w:t>70–80%</w:t>
            </w:r>
          </w:p>
        </w:tc>
      </w:tr>
      <w:tr>
        <w:trPr>
          <w:cantSplit/>
        </w:trPr>
        <w:tc>
          <w:tcPr>
            <w:tcW w:type="dxa" w:w="6912"/>
            <w:vAlign w:val="top"/>
            <w:shd w:fill="F2F5F7"/>
            <w:tcBorders>
              <w:bottom w:val="single" w:sz="2" w:color="D7DFE5"/>
            </w:tcBorders>
          </w:tcPr>
          <w:p>
            <w:pPr>
              <w:spacing w:after="20"/>
            </w:pPr>
            <w:r>
              <w:rPr>
                <w:b/>
                <w:color w:val="071827"/>
                <w:sz w:val="17"/>
              </w:rPr>
              <w:t>Proof Office gross margin</w:t>
            </w:r>
          </w:p>
        </w:tc>
        <w:tc>
          <w:tcPr>
            <w:tcW w:type="dxa" w:w="3168"/>
            <w:vAlign w:val="top"/>
            <w:shd w:fill="F2F5F7"/>
            <w:tcBorders>
              <w:bottom w:val="single" w:sz="2" w:color="D7DFE5"/>
            </w:tcBorders>
          </w:tcPr>
          <w:p>
            <w:pPr>
              <w:spacing w:after="20"/>
            </w:pPr>
            <w:r>
              <w:rPr>
                <w:color w:val="24313D"/>
                <w:sz w:val="17"/>
              </w:rPr>
              <w:t>≥80%</w:t>
            </w:r>
          </w:p>
        </w:tc>
      </w:tr>
      <w:tr>
        <w:trPr>
          <w:cantSplit/>
        </w:trPr>
        <w:tc>
          <w:tcPr>
            <w:tcW w:type="dxa" w:w="6912"/>
            <w:vAlign w:val="top"/>
            <w:tcBorders>
              <w:bottom w:val="single" w:sz="2" w:color="D7DFE5"/>
            </w:tcBorders>
          </w:tcPr>
          <w:p>
            <w:pPr>
              <w:spacing w:after="20"/>
            </w:pPr>
            <w:r>
              <w:rPr>
                <w:b/>
                <w:color w:val="071827"/>
                <w:sz w:val="17"/>
              </w:rPr>
              <w:t>Protected invocation gross margin</w:t>
            </w:r>
          </w:p>
        </w:tc>
        <w:tc>
          <w:tcPr>
            <w:tcW w:type="dxa" w:w="3168"/>
            <w:vAlign w:val="top"/>
            <w:tcBorders>
              <w:bottom w:val="single" w:sz="2" w:color="D7DFE5"/>
            </w:tcBorders>
          </w:tcPr>
          <w:p>
            <w:pPr>
              <w:spacing w:after="20"/>
            </w:pPr>
            <w:r>
              <w:rPr>
                <w:color w:val="24313D"/>
                <w:sz w:val="17"/>
              </w:rPr>
              <w:t>≥90%</w:t>
            </w:r>
          </w:p>
        </w:tc>
      </w:tr>
      <w:tr>
        <w:trPr>
          <w:cantSplit/>
        </w:trPr>
        <w:tc>
          <w:tcPr>
            <w:tcW w:type="dxa" w:w="6912"/>
            <w:vAlign w:val="top"/>
            <w:shd w:fill="F2F5F7"/>
            <w:tcBorders>
              <w:bottom w:val="single" w:sz="2" w:color="D7DFE5"/>
            </w:tcBorders>
          </w:tcPr>
          <w:p>
            <w:pPr>
              <w:spacing w:after="20"/>
            </w:pPr>
            <w:r>
              <w:rPr>
                <w:b/>
                <w:color w:val="071827"/>
                <w:sz w:val="17"/>
              </w:rPr>
              <w:t>Mission-to-Office conversion</w:t>
            </w:r>
          </w:p>
        </w:tc>
        <w:tc>
          <w:tcPr>
            <w:tcW w:type="dxa" w:w="3168"/>
            <w:vAlign w:val="top"/>
            <w:shd w:fill="F2F5F7"/>
            <w:tcBorders>
              <w:bottom w:val="single" w:sz="2" w:color="D7DFE5"/>
            </w:tcBorders>
          </w:tcPr>
          <w:p>
            <w:pPr>
              <w:spacing w:after="20"/>
            </w:pPr>
            <w:r>
              <w:rPr>
                <w:color w:val="24313D"/>
                <w:sz w:val="17"/>
              </w:rPr>
              <w:t>≥40%</w:t>
            </w:r>
          </w:p>
        </w:tc>
      </w:tr>
      <w:tr>
        <w:trPr>
          <w:cantSplit/>
        </w:trPr>
        <w:tc>
          <w:tcPr>
            <w:tcW w:type="dxa" w:w="6912"/>
            <w:vAlign w:val="top"/>
            <w:tcBorders>
              <w:bottom w:val="single" w:sz="2" w:color="D7DFE5"/>
            </w:tcBorders>
          </w:tcPr>
          <w:p>
            <w:pPr>
              <w:spacing w:after="20"/>
            </w:pPr>
            <w:r>
              <w:rPr>
                <w:b/>
                <w:color w:val="071827"/>
                <w:sz w:val="17"/>
              </w:rPr>
              <w:t>CAC payback</w:t>
            </w:r>
          </w:p>
        </w:tc>
        <w:tc>
          <w:tcPr>
            <w:tcW w:type="dxa" w:w="3168"/>
            <w:vAlign w:val="top"/>
            <w:tcBorders>
              <w:bottom w:val="single" w:sz="2" w:color="D7DFE5"/>
            </w:tcBorders>
          </w:tcPr>
          <w:p>
            <w:pPr>
              <w:spacing w:after="20"/>
            </w:pPr>
            <w:r>
              <w:rPr>
                <w:color w:val="24313D"/>
                <w:sz w:val="17"/>
              </w:rPr>
              <w:t>&lt;6 months</w:t>
            </w:r>
          </w:p>
        </w:tc>
      </w:tr>
      <w:tr>
        <w:trPr>
          <w:cantSplit/>
        </w:trPr>
        <w:tc>
          <w:tcPr>
            <w:tcW w:type="dxa" w:w="6912"/>
            <w:vAlign w:val="top"/>
            <w:shd w:fill="F2F5F7"/>
            <w:tcBorders>
              <w:bottom w:val="single" w:sz="2" w:color="D7DFE5"/>
            </w:tcBorders>
          </w:tcPr>
          <w:p>
            <w:pPr>
              <w:spacing w:after="20"/>
            </w:pPr>
            <w:r>
              <w:rPr>
                <w:b/>
                <w:color w:val="071827"/>
                <w:sz w:val="17"/>
              </w:rPr>
              <w:t>Mature net revenue retention</w:t>
            </w:r>
          </w:p>
        </w:tc>
        <w:tc>
          <w:tcPr>
            <w:tcW w:type="dxa" w:w="3168"/>
            <w:vAlign w:val="top"/>
            <w:shd w:fill="F2F5F7"/>
            <w:tcBorders>
              <w:bottom w:val="single" w:sz="2" w:color="D7DFE5"/>
            </w:tcBorders>
          </w:tcPr>
          <w:p>
            <w:pPr>
              <w:spacing w:after="20"/>
            </w:pPr>
            <w:r>
              <w:rPr>
                <w:color w:val="24313D"/>
                <w:sz w:val="17"/>
              </w:rPr>
              <w:t>≥120% target</w:t>
            </w:r>
          </w:p>
        </w:tc>
      </w:tr>
      <w:tr>
        <w:trPr>
          <w:cantSplit/>
        </w:trPr>
        <w:tc>
          <w:tcPr>
            <w:tcW w:type="dxa" w:w="6912"/>
            <w:vAlign w:val="top"/>
            <w:tcBorders>
              <w:bottom w:val="single" w:sz="2" w:color="D7DFE5"/>
            </w:tcBorders>
          </w:tcPr>
          <w:p>
            <w:pPr>
              <w:spacing w:after="20"/>
            </w:pPr>
            <w:r>
              <w:rPr>
                <w:b/>
                <w:color w:val="071827"/>
                <w:sz w:val="17"/>
              </w:rPr>
              <w:t>Unsupported material commercial claims</w:t>
            </w:r>
          </w:p>
        </w:tc>
        <w:tc>
          <w:tcPr>
            <w:tcW w:type="dxa" w:w="3168"/>
            <w:vAlign w:val="top"/>
            <w:tcBorders>
              <w:bottom w:val="single" w:sz="2" w:color="D7DFE5"/>
            </w:tcBorders>
          </w:tcPr>
          <w:p>
            <w:pPr>
              <w:spacing w:after="20"/>
            </w:pPr>
            <w:r>
              <w:rPr>
                <w:color w:val="24313D"/>
                <w:sz w:val="17"/>
              </w:rPr>
              <w:t>0</w:t>
            </w:r>
          </w:p>
        </w:tc>
      </w:tr>
      <w:tr>
        <w:trPr>
          <w:cantSplit/>
        </w:trPr>
        <w:tc>
          <w:tcPr>
            <w:tcW w:type="dxa" w:w="6912"/>
            <w:vAlign w:val="top"/>
            <w:shd w:fill="F2F5F7"/>
            <w:tcBorders>
              <w:bottom w:val="single" w:sz="2" w:color="D7DFE5"/>
            </w:tcBorders>
          </w:tcPr>
          <w:p>
            <w:pPr>
              <w:spacing w:after="20"/>
            </w:pPr>
            <w:r>
              <w:rPr>
                <w:b/>
                <w:color w:val="071827"/>
                <w:sz w:val="17"/>
              </w:rPr>
              <w:t>Founder seller minutes / standard transaction</w:t>
            </w:r>
          </w:p>
        </w:tc>
        <w:tc>
          <w:tcPr>
            <w:tcW w:type="dxa" w:w="3168"/>
            <w:vAlign w:val="top"/>
            <w:shd w:fill="F2F5F7"/>
            <w:tcBorders>
              <w:bottom w:val="single" w:sz="2" w:color="D7DFE5"/>
            </w:tcBorders>
          </w:tcPr>
          <w:p>
            <w:pPr>
              <w:spacing w:after="20"/>
            </w:pPr>
            <w:r>
              <w:rPr>
                <w:color w:val="24313D"/>
                <w:sz w:val="17"/>
              </w:rPr>
              <w:t>0</w:t>
            </w:r>
          </w:p>
        </w:tc>
      </w:tr>
      <w:tr>
        <w:trPr>
          <w:cantSplit/>
        </w:trPr>
        <w:tc>
          <w:tcPr>
            <w:tcW w:type="dxa" w:w="6912"/>
            <w:vAlign w:val="top"/>
            <w:tcBorders>
              <w:bottom w:val="single" w:sz="2" w:color="D7DFE5"/>
            </w:tcBorders>
          </w:tcPr>
          <w:p>
            <w:pPr>
              <w:spacing w:after="20"/>
            </w:pPr>
            <w:r>
              <w:rPr>
                <w:b/>
                <w:color w:val="071827"/>
                <w:sz w:val="17"/>
              </w:rPr>
              <w:t>Revenue powered by reused capability</w:t>
            </w:r>
          </w:p>
        </w:tc>
        <w:tc>
          <w:tcPr>
            <w:tcW w:type="dxa" w:w="3168"/>
            <w:vAlign w:val="top"/>
            <w:tcBorders>
              <w:bottom w:val="single" w:sz="2" w:color="D7DFE5"/>
            </w:tcBorders>
          </w:tcPr>
          <w:p>
            <w:pPr>
              <w:spacing w:after="20"/>
            </w:pPr>
            <w:r>
              <w:rPr>
                <w:color w:val="24313D"/>
                <w:sz w:val="17"/>
              </w:rPr>
              <w:t>≥30% by Year 2 target</w:t>
            </w:r>
          </w:p>
        </w:tc>
      </w:tr>
      <w:tr>
        <w:trPr>
          <w:cantSplit/>
        </w:trPr>
        <w:tc>
          <w:tcPr>
            <w:tcW w:type="dxa" w:w="6912"/>
            <w:vAlign w:val="top"/>
            <w:shd w:fill="F2F5F7"/>
            <w:tcBorders>
              <w:bottom w:val="single" w:sz="2" w:color="D7DFE5"/>
            </w:tcBorders>
          </w:tcPr>
          <w:p>
            <w:pPr>
              <w:spacing w:after="20"/>
            </w:pPr>
            <w:r>
              <w:rPr>
                <w:b/>
                <w:color w:val="071827"/>
                <w:sz w:val="17"/>
              </w:rPr>
              <w:t>Successor promotion without fresh testing</w:t>
            </w:r>
          </w:p>
        </w:tc>
        <w:tc>
          <w:tcPr>
            <w:tcW w:type="dxa" w:w="3168"/>
            <w:vAlign w:val="top"/>
            <w:shd w:fill="F2F5F7"/>
            <w:tcBorders>
              <w:bottom w:val="single" w:sz="2" w:color="D7DFE5"/>
            </w:tcBorders>
          </w:tcPr>
          <w:p>
            <w:pPr>
              <w:spacing w:after="20"/>
            </w:pPr>
            <w:r>
              <w:rPr>
                <w:color w:val="24313D"/>
                <w:sz w:val="17"/>
              </w:rPr>
              <w:t>0</w:t>
            </w:r>
          </w:p>
        </w:tc>
      </w:tr>
    </w:tbl>
    <w:p>
      <w:pPr>
        <w:spacing w:after="0"/>
      </w:pPr>
    </w:p>
    <w:p>
      <w:pPr>
        <w:pStyle w:val="Heading1"/>
      </w:pPr>
      <w:r>
        <w:t>15. Falsification and stop conditions</w:t>
      </w:r>
    </w:p>
    <w:p>
      <w:pPr>
        <w:pStyle w:val="ListBullet"/>
        <w:spacing w:after="40"/>
      </w:pPr>
      <w:r>
        <w:t>Fewer than three paid Activations from thirty highly qualified prospects: repair the wedge before broad build.</w:t>
      </w:r>
    </w:p>
    <w:p>
      <w:pPr>
        <w:pStyle w:val="ListBullet"/>
        <w:spacing w:after="40"/>
      </w:pPr>
      <w:r>
        <w:t>Fewer than 30% of successful Proof Missions convert to continuing control: treat the business as services and redesign recurrence.</w:t>
      </w:r>
    </w:p>
    <w:p>
      <w:pPr>
        <w:pStyle w:val="ListBullet"/>
        <w:spacing w:after="40"/>
      </w:pPr>
      <w:r>
        <w:t>Reused capabilities fail to improve cost, time, risk, evidence or reviewer burden by at least 15–20%: do not claim compounding capability.</w:t>
      </w:r>
    </w:p>
    <w:p>
      <w:pPr>
        <w:pStyle w:val="ListBullet"/>
        <w:spacing w:after="40"/>
      </w:pPr>
      <w:r>
        <w:t>Human labor remains most of direct cost after repeated delivery: the process is not yet productized.</w:t>
      </w:r>
    </w:p>
    <w:p>
      <w:pPr>
        <w:pStyle w:val="ListBullet"/>
        <w:spacing w:after="40"/>
      </w:pPr>
      <w:r>
        <w:t>The system cannot separate execution, evaluation and Chronicle authority: block high-consequence autonomy.</w:t>
      </w:r>
    </w:p>
    <w:p>
      <w:pPr>
        <w:pStyle w:val="ListBullet"/>
        <w:spacing w:after="40"/>
      </w:pPr>
      <w:r>
        <w:t>A material privacy, evidence, authorization or trust breach occurs: pause expansion and enter incident Proof Mission.</w:t>
      </w:r>
    </w:p>
    <w:p>
      <w:pPr>
        <w:pStyle w:val="Heading1"/>
      </w:pPr>
      <w:r>
        <w:t>16. Definitive recommendation</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Diagnose almost for free. Price according to value. Prove one consequential outcome. Turn the outcome into recurring control. Turn accepted experience into protected capability. Charge repeatedly for governed reuse. Reinvest only verified free cash flow.</w:t>
            </w:r>
          </w:p>
        </w:tc>
      </w:tr>
    </w:tbl>
    <w:p>
      <w:pPr>
        <w:spacing w:after="0"/>
      </w:pPr>
    </w:p>
    <w:p>
      <w:r>
        <w:t>The first commercial atom is not a universal platform. It is one purchased mission architecture, one paid execution, one Evidence Docket, one independent review, one recurring relationship and one fresh mission that improves because an admitted capability exists. Repeat that sequence, and the business progresses from service to software, from software to protected capability network, and from network to institutional infrastructure.</w:t>
      </w:r>
    </w:p>
    <w:p>
      <w:pPr>
        <w:pStyle w:val="Heading1"/>
      </w:pPr>
      <w:r>
        <w:t>Selected sources and claim boundary</w:t>
      </w:r>
    </w:p>
    <w:p>
      <w:pPr>
        <w:pStyle w:val="Small"/>
      </w:pPr>
      <w:r>
        <w:t>External sources support market timing, technical feasibility, pricing context and comparative benchmarks. All GoalOS prices, volumes, margins, ROI, financing and valuation paths are editable management hypotheses—not audited forecasts, realized results, legal advice, investment advice, security certification or guarantees. Full URLs and source-use notes are provided in the package Source Register.</w:t>
      </w:r>
    </w:p>
    <w:p>
      <w:pPr>
        <w:pStyle w:val="Small"/>
        <w:spacing w:after="20"/>
      </w:pPr>
      <w:r>
        <w:rPr>
          <w:b/>
        </w:rPr>
        <w:t>S1 · OpenAI · Introducing workspace agents in ChatGPT.</w:t>
      </w:r>
    </w:p>
    <w:p>
      <w:pPr>
        <w:pStyle w:val="Small"/>
        <w:spacing w:after="20"/>
      </w:pPr>
      <w:r>
        <w:rPr>
          <w:b/>
        </w:rPr>
        <w:t>S2 · OpenAI · ChatGPT Enterprise and Edu release notes.</w:t>
      </w:r>
    </w:p>
    <w:p>
      <w:pPr>
        <w:pStyle w:val="Small"/>
        <w:spacing w:after="20"/>
      </w:pPr>
      <w:r>
        <w:rPr>
          <w:b/>
        </w:rPr>
        <w:t>S3 · OpenAI · API pricing.</w:t>
      </w:r>
    </w:p>
    <w:p>
      <w:pPr>
        <w:pStyle w:val="Small"/>
        <w:spacing w:after="20"/>
      </w:pPr>
      <w:r>
        <w:rPr>
          <w:b/>
        </w:rPr>
        <w:t>S4 · METR · Task-Completion Time Horizons.</w:t>
      </w:r>
    </w:p>
    <w:p>
      <w:pPr>
        <w:pStyle w:val="Small"/>
        <w:spacing w:after="20"/>
      </w:pPr>
      <w:r>
        <w:rPr>
          <w:b/>
        </w:rPr>
        <w:t>S5 · Google DeepMind · AlphaEvolve.</w:t>
      </w:r>
    </w:p>
    <w:p>
      <w:pPr>
        <w:pStyle w:val="Small"/>
        <w:spacing w:after="20"/>
      </w:pPr>
      <w:r>
        <w:rPr>
          <w:b/>
        </w:rPr>
        <w:t>S6 · Gartner · Worldwide AI spending forecast for 2026.</w:t>
      </w:r>
    </w:p>
    <w:p>
      <w:pPr>
        <w:pStyle w:val="Small"/>
        <w:spacing w:after="20"/>
      </w:pPr>
      <w:r>
        <w:rPr>
          <w:b/>
        </w:rPr>
        <w:t>S7 · European Commission · Article 50 AI Act transparency obligations.</w:t>
      </w:r>
    </w:p>
    <w:p>
      <w:pPr>
        <w:pStyle w:val="Small"/>
        <w:spacing w:after="20"/>
      </w:pPr>
      <w:r>
        <w:rPr>
          <w:b/>
        </w:rPr>
        <w:t>S8 · SaaS Capital · 2026 B2B SaaS benchmarks.</w:t>
      </w:r>
    </w:p>
    <w:p>
      <w:pPr>
        <w:pStyle w:val="Small"/>
        <w:spacing w:after="20"/>
      </w:pPr>
      <w:r>
        <w:rPr>
          <w:b/>
        </w:rPr>
        <w:t>S9 · Stripe · Payment Links.</w:t>
      </w:r>
    </w:p>
    <w:p>
      <w:pPr>
        <w:pStyle w:val="Small"/>
        <w:spacing w:after="20"/>
      </w:pPr>
      <w:r>
        <w:rPr>
          <w:b/>
        </w:rPr>
        <w:t>S10 · MONTREAL.AI Research · Merkle Roots for the Validated Skill Graph.</w:t>
      </w:r>
    </w:p>
    <w:p>
      <w:pPr>
        <w:pStyle w:val="Small"/>
        <w:spacing w:after="20"/>
      </w:pPr>
      <w:r>
        <w:rPr>
          <w:b/>
        </w:rPr>
        <w:t>S11 · MONTREAL.AI Research · Private On-Chain Validated Skill Graph.</w:t>
      </w:r>
    </w:p>
    <w:sectPr w:rsidR="00FC693F" w:rsidRPr="0006063C" w:rsidSect="00034616">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GoalOS Strategy Edition · 20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MONTREAL.AI  ×  GOALOS    |    THE OPTIMAL BUSINESS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Noto Serif" w:hAnsi="Noto Serif"/>
      <w:b/>
      <w:bCs/>
      <w:color w:val="07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0E2B3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D6A1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erif" w:hAnsi="Noto Serif"/>
      <w:b/>
      <w:color w:val="07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pPr>
    <w:rPr>
      <w:rFonts w:ascii="Noto Serif" w:hAnsi="Noto Serif"/>
      <w:i/>
      <w:color w:val="0E2B3B"/>
      <w:sz w:val="26"/>
    </w:rPr>
  </w:style>
  <w:style w:type="paragraph" w:customStyle="1" w:styleId="Small">
    <w:name w:val="Small"/>
    <w:rPr>
      <w:rFonts w:ascii="Noto Sans" w:hAnsi="Noto Sans"/>
      <w:color w:val="5D6873"/>
      <w:sz w:val="16"/>
    </w:rPr>
  </w:style>
  <w:style w:type="paragraph" w:customStyle="1" w:styleId="QuoteGoalOS">
    <w:name w:val="Quote GoalOS"/>
    <w:pPr>
      <w:spacing w:before="160" w:after="160"/>
      <w:ind w:left="432" w:right="432"/>
    </w:pPr>
    <w:rPr>
      <w:rFonts w:ascii="Noto Serif" w:hAnsi="Noto Serif"/>
      <w:b/>
      <w:color w:val="07182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Optimal Business Model Strategy Memorandum</dc:title>
  <dc:subject>GoalOS optimal business model</dc:subject>
  <dc:creator>MONTREAL.AI</dc:creator>
  <cp:keywords>GoalOS, Proof Mission, Proof Office, Validated Skill Graph, Chronicle, business model</cp:keywords>
  <dc:description>generated by python-docx</dc:description>
  <cp:lastModifiedBy/>
  <cp:revision>1</cp:revision>
  <dcterms:created xsi:type="dcterms:W3CDTF">2013-12-23T23:15:00Z</dcterms:created>
  <dcterms:modified xsi:type="dcterms:W3CDTF">2013-12-23T23:15:00Z</dcterms:modified>
  <cp:category/>
</cp:coreProperties>
</file>