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cover_playbook.png"/>
                    <pic:cNvPicPr/>
                  </pic:nvPicPr>
                  <pic:blipFill>
                    <a:blip r:embed="rId9"/>
                    <a:stretch>
                      <a:fillRect/>
                    </a:stretch>
                  </pic:blipFill>
                  <pic:spPr>
                    <a:xfrm>
                      <a:off x="0" y="0"/>
                      <a:ext cx="7772400" cy="10058400"/>
                    </a:xfrm>
                    <a:prstGeom prst="rect"/>
                  </pic:spPr>
                </pic:pic>
              </a:graphicData>
            </a:graphic>
          </wp:inline>
        </w:drawing>
      </w:r>
    </w:p>
    <w:p>
      <w:pPr>
        <w:sectPr>
          <w:headerReference w:type="default" r:id="rId10"/>
          <w:footerReference w:type="default" r:id="rId11"/>
          <w:pgSz w:w="12240" w:h="15840"/>
          <w:pgMar w:top="0" w:right="0" w:bottom="0" w:left="0" w:header="720" w:footer="720" w:gutter="0"/>
          <w:cols w:space="720"/>
          <w:docGrid w:linePitch="360"/>
        </w:sectPr>
      </w:pPr>
    </w:p>
    <w:p>
      <w:pPr>
        <w:pStyle w:val="Heading1"/>
      </w:pPr>
      <w:r>
        <w:t>Commercial operating mandate</w:t>
      </w:r>
    </w:p>
    <w:p>
      <w:pPr>
        <w:pStyle w:val="Lead"/>
      </w:pPr>
      <w:r>
        <w:t>The Autonomous Money Machine Ω must become the system through which GoalOS is purchased—not a copilot helping someone sell it.</w:t>
      </w:r>
    </w:p>
    <w:tbl>
      <w:tblPr>
        <w:tblW w:type="auto" w:w="0"/>
        <w:jc w:val="center"/>
        <w:tblLayout w:type="fixed"/>
        <w:tblLook w:firstColumn="1" w:firstRow="1" w:lastColumn="0" w:lastRow="0" w:noHBand="0" w:noVBand="1" w:val="04A0"/>
      </w:tblPr>
      <w:tblGrid>
        <w:gridCol w:w="9936"/>
      </w:tblGrid>
      <w:tr>
        <w:tc>
          <w:tcPr>
            <w:tcW w:type="dxa" w:w="10166"/>
            <w:shd w:fill="F5EEDC"/>
            <w:tcBorders>
              <w:top w:val="single" w:sz="4" w:color="D6A13C"/>
              <w:left w:val="single" w:sz="18" w:color="D6A13C"/>
              <w:bottom w:val="single" w:sz="4" w:color="D6A13C"/>
              <w:right w:val="single" w:sz="4" w:color="D6A13C"/>
            </w:tcBorders>
          </w:tcPr>
          <w:p>
            <w:pPr>
              <w:pStyle w:val="QuoteGoalOS"/>
              <w:jc w:val="left"/>
            </w:pPr>
            <w:r>
              <w:t>Zero-touch in the standard commercial lane. Human-sovereign at the constitutional boundary. Fail closed outside approved scope, price, rights, claims or contract paths.</w:t>
            </w:r>
          </w:p>
        </w:tc>
      </w:tr>
    </w:tbl>
    <w:p>
      <w:pPr>
        <w:spacing w:after="0"/>
      </w:pPr>
    </w:p>
    <w:p>
      <w:pPr>
        <w:pStyle w:val="Heading1"/>
      </w:pPr>
      <w:r>
        <w:t>1. The standard lane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96"/>
            <w:shd w:fill="0E2B3B"/>
            <w:vAlign w:val="center"/>
            <w:tcBorders>
              <w:bottom w:val="single" w:sz="8" w:color="D6A13C"/>
            </w:tcBorders>
          </w:tcPr>
          <w:p>
            <w:pPr>
              <w:jc w:val="center"/>
            </w:pPr>
            <w:r>
              <w:rPr>
                <w:b/>
                <w:color w:val="FFFFFF"/>
                <w:sz w:val="16"/>
              </w:rPr>
              <w:t>State</w:t>
            </w:r>
          </w:p>
        </w:tc>
        <w:tc>
          <w:tcPr>
            <w:tcW w:type="dxa" w:w="3024"/>
            <w:shd w:fill="0E2B3B"/>
            <w:vAlign w:val="center"/>
            <w:tcBorders>
              <w:bottom w:val="single" w:sz="8" w:color="D6A13C"/>
            </w:tcBorders>
          </w:tcPr>
          <w:p>
            <w:pPr>
              <w:jc w:val="center"/>
            </w:pPr>
            <w:r>
              <w:rPr>
                <w:b/>
                <w:color w:val="FFFFFF"/>
                <w:sz w:val="16"/>
              </w:rPr>
              <w:t>Customer experience</w:t>
            </w:r>
          </w:p>
        </w:tc>
        <w:tc>
          <w:tcPr>
            <w:tcW w:type="dxa" w:w="3600"/>
            <w:shd w:fill="0E2B3B"/>
            <w:vAlign w:val="center"/>
            <w:tcBorders>
              <w:bottom w:val="single" w:sz="8" w:color="D6A13C"/>
            </w:tcBorders>
          </w:tcPr>
          <w:p>
            <w:pPr>
              <w:jc w:val="center"/>
            </w:pPr>
            <w:r>
              <w:rPr>
                <w:b/>
                <w:color w:val="FFFFFF"/>
                <w:sz w:val="16"/>
              </w:rPr>
              <w:t>GoalOS action</w:t>
            </w:r>
          </w:p>
        </w:tc>
        <w:tc>
          <w:tcPr>
            <w:tcW w:type="dxa" w:w="2160"/>
            <w:shd w:fill="0E2B3B"/>
            <w:vAlign w:val="center"/>
            <w:tcBorders>
              <w:bottom w:val="single" w:sz="8" w:color="D6A13C"/>
            </w:tcBorders>
          </w:tcPr>
          <w:p>
            <w:pPr>
              <w:jc w:val="center"/>
            </w:pPr>
            <w:r>
              <w:rPr>
                <w:b/>
                <w:color w:val="FFFFFF"/>
                <w:sz w:val="16"/>
              </w:rPr>
              <w:t>Receipt</w:t>
            </w:r>
          </w:p>
        </w:tc>
      </w:tr>
      <w:tr>
        <w:trPr>
          <w:cantSplit/>
        </w:trPr>
        <w:tc>
          <w:tcPr>
            <w:tcW w:type="dxa" w:w="1296"/>
            <w:vAlign w:val="top"/>
            <w:tcBorders>
              <w:bottom w:val="single" w:sz="2" w:color="D7DFE5"/>
            </w:tcBorders>
          </w:tcPr>
          <w:p>
            <w:pPr>
              <w:spacing w:after="20"/>
            </w:pPr>
            <w:r>
              <w:rPr>
                <w:b/>
                <w:color w:val="071827"/>
                <w:sz w:val="15"/>
              </w:rPr>
              <w:t>Discover</w:t>
            </w:r>
          </w:p>
        </w:tc>
        <w:tc>
          <w:tcPr>
            <w:tcW w:type="dxa" w:w="3024"/>
            <w:vAlign w:val="top"/>
            <w:tcBorders>
              <w:bottom w:val="single" w:sz="2" w:color="D7DFE5"/>
            </w:tcBorders>
          </w:tcPr>
          <w:p>
            <w:pPr>
              <w:spacing w:after="20"/>
            </w:pPr>
            <w:r>
              <w:rPr>
                <w:color w:val="24313D"/>
                <w:sz w:val="15"/>
              </w:rPr>
              <w:t>Sees a relevant proof problem and enters a permissioned diagnostic</w:t>
            </w:r>
          </w:p>
        </w:tc>
        <w:tc>
          <w:tcPr>
            <w:tcW w:type="dxa" w:w="3600"/>
            <w:vAlign w:val="top"/>
            <w:tcBorders>
              <w:bottom w:val="single" w:sz="2" w:color="D7DFE5"/>
            </w:tcBorders>
          </w:tcPr>
          <w:p>
            <w:pPr>
              <w:spacing w:after="20"/>
            </w:pPr>
            <w:r>
              <w:rPr>
                <w:color w:val="24313D"/>
                <w:sz w:val="15"/>
              </w:rPr>
              <w:t>Personalized Readiness Scan</w:t>
            </w:r>
          </w:p>
        </w:tc>
        <w:tc>
          <w:tcPr>
            <w:tcW w:type="dxa" w:w="2160"/>
            <w:vAlign w:val="top"/>
            <w:tcBorders>
              <w:bottom w:val="single" w:sz="2" w:color="D7DFE5"/>
            </w:tcBorders>
          </w:tcPr>
          <w:p>
            <w:pPr>
              <w:spacing w:after="20"/>
            </w:pPr>
            <w:r>
              <w:rPr>
                <w:color w:val="24313D"/>
                <w:sz w:val="15"/>
              </w:rPr>
              <w:t>Consent and source record</w:t>
            </w:r>
          </w:p>
        </w:tc>
      </w:tr>
      <w:tr>
        <w:trPr>
          <w:cantSplit/>
        </w:trPr>
        <w:tc>
          <w:tcPr>
            <w:tcW w:type="dxa" w:w="1296"/>
            <w:vAlign w:val="top"/>
            <w:shd w:fill="F2F5F7"/>
            <w:tcBorders>
              <w:bottom w:val="single" w:sz="2" w:color="D7DFE5"/>
            </w:tcBorders>
          </w:tcPr>
          <w:p>
            <w:pPr>
              <w:spacing w:after="20"/>
            </w:pPr>
            <w:r>
              <w:rPr>
                <w:b/>
                <w:color w:val="071827"/>
                <w:sz w:val="15"/>
              </w:rPr>
              <w:t>Diagnose</w:t>
            </w:r>
          </w:p>
        </w:tc>
        <w:tc>
          <w:tcPr>
            <w:tcW w:type="dxa" w:w="3024"/>
            <w:vAlign w:val="top"/>
            <w:shd w:fill="F2F5F7"/>
            <w:tcBorders>
              <w:bottom w:val="single" w:sz="2" w:color="D7DFE5"/>
            </w:tcBorders>
          </w:tcPr>
          <w:p>
            <w:pPr>
              <w:spacing w:after="20"/>
            </w:pPr>
            <w:r>
              <w:rPr>
                <w:color w:val="24313D"/>
                <w:sz w:val="15"/>
              </w:rPr>
              <w:t>Submits objective, claims, documents, deadline and value at stake</w:t>
            </w:r>
          </w:p>
        </w:tc>
        <w:tc>
          <w:tcPr>
            <w:tcW w:type="dxa" w:w="3600"/>
            <w:vAlign w:val="top"/>
            <w:shd w:fill="F2F5F7"/>
            <w:tcBorders>
              <w:bottom w:val="single" w:sz="2" w:color="D7DFE5"/>
            </w:tcBorders>
          </w:tcPr>
          <w:p>
            <w:pPr>
              <w:spacing w:after="20"/>
            </w:pPr>
            <w:r>
              <w:rPr>
                <w:color w:val="24313D"/>
                <w:sz w:val="15"/>
              </w:rPr>
              <w:t>Maps Proof Debt and product fit</w:t>
            </w:r>
          </w:p>
        </w:tc>
        <w:tc>
          <w:tcPr>
            <w:tcW w:type="dxa" w:w="2160"/>
            <w:vAlign w:val="top"/>
            <w:shd w:fill="F2F5F7"/>
            <w:tcBorders>
              <w:bottom w:val="single" w:sz="2" w:color="D7DFE5"/>
            </w:tcBorders>
          </w:tcPr>
          <w:p>
            <w:pPr>
              <w:spacing w:after="20"/>
            </w:pPr>
            <w:r>
              <w:rPr>
                <w:color w:val="24313D"/>
                <w:sz w:val="15"/>
              </w:rPr>
              <w:t>Diagnostic packet</w:t>
            </w:r>
          </w:p>
        </w:tc>
      </w:tr>
      <w:tr>
        <w:trPr>
          <w:cantSplit/>
        </w:trPr>
        <w:tc>
          <w:tcPr>
            <w:tcW w:type="dxa" w:w="1296"/>
            <w:vAlign w:val="top"/>
            <w:tcBorders>
              <w:bottom w:val="single" w:sz="2" w:color="D7DFE5"/>
            </w:tcBorders>
          </w:tcPr>
          <w:p>
            <w:pPr>
              <w:spacing w:after="20"/>
            </w:pPr>
            <w:r>
              <w:rPr>
                <w:b/>
                <w:color w:val="071827"/>
                <w:sz w:val="15"/>
              </w:rPr>
              <w:t>Qualify</w:t>
            </w:r>
          </w:p>
        </w:tc>
        <w:tc>
          <w:tcPr>
            <w:tcW w:type="dxa" w:w="3024"/>
            <w:vAlign w:val="top"/>
            <w:tcBorders>
              <w:bottom w:val="single" w:sz="2" w:color="D7DFE5"/>
            </w:tcBorders>
          </w:tcPr>
          <w:p>
            <w:pPr>
              <w:spacing w:after="20"/>
            </w:pPr>
            <w:r>
              <w:rPr>
                <w:color w:val="24313D"/>
                <w:sz w:val="15"/>
              </w:rPr>
              <w:t>Reviews fit, risk, exclusions and value case</w:t>
            </w:r>
          </w:p>
        </w:tc>
        <w:tc>
          <w:tcPr>
            <w:tcW w:type="dxa" w:w="3600"/>
            <w:vAlign w:val="top"/>
            <w:tcBorders>
              <w:bottom w:val="single" w:sz="2" w:color="D7DFE5"/>
            </w:tcBorders>
          </w:tcPr>
          <w:p>
            <w:pPr>
              <w:spacing w:after="20"/>
            </w:pPr>
            <w:r>
              <w:rPr>
                <w:color w:val="24313D"/>
                <w:sz w:val="15"/>
              </w:rPr>
              <w:t>Scores sponsor, budget, urgency, evidence and scope</w:t>
            </w:r>
          </w:p>
        </w:tc>
        <w:tc>
          <w:tcPr>
            <w:tcW w:type="dxa" w:w="2160"/>
            <w:vAlign w:val="top"/>
            <w:tcBorders>
              <w:bottom w:val="single" w:sz="2" w:color="D7DFE5"/>
            </w:tcBorders>
          </w:tcPr>
          <w:p>
            <w:pPr>
              <w:spacing w:after="20"/>
            </w:pPr>
            <w:r>
              <w:rPr>
                <w:color w:val="24313D"/>
                <w:sz w:val="15"/>
              </w:rPr>
              <w:t>Qualification decision</w:t>
            </w:r>
          </w:p>
        </w:tc>
      </w:tr>
      <w:tr>
        <w:trPr>
          <w:cantSplit/>
        </w:trPr>
        <w:tc>
          <w:tcPr>
            <w:tcW w:type="dxa" w:w="1296"/>
            <w:vAlign w:val="top"/>
            <w:shd w:fill="F2F5F7"/>
            <w:tcBorders>
              <w:bottom w:val="single" w:sz="2" w:color="D7DFE5"/>
            </w:tcBorders>
          </w:tcPr>
          <w:p>
            <w:pPr>
              <w:spacing w:after="20"/>
            </w:pPr>
            <w:r>
              <w:rPr>
                <w:b/>
                <w:color w:val="071827"/>
                <w:sz w:val="15"/>
              </w:rPr>
              <w:t>Price</w:t>
            </w:r>
          </w:p>
        </w:tc>
        <w:tc>
          <w:tcPr>
            <w:tcW w:type="dxa" w:w="3024"/>
            <w:vAlign w:val="top"/>
            <w:shd w:fill="F2F5F7"/>
            <w:tcBorders>
              <w:bottom w:val="single" w:sz="2" w:color="D7DFE5"/>
            </w:tcBorders>
          </w:tcPr>
          <w:p>
            <w:pPr>
              <w:spacing w:after="20"/>
            </w:pPr>
            <w:r>
              <w:rPr>
                <w:color w:val="24313D"/>
                <w:sz w:val="15"/>
              </w:rPr>
              <w:t>Receives one fixed product and delivery date</w:t>
            </w:r>
          </w:p>
        </w:tc>
        <w:tc>
          <w:tcPr>
            <w:tcW w:type="dxa" w:w="3600"/>
            <w:vAlign w:val="top"/>
            <w:shd w:fill="F2F5F7"/>
            <w:tcBorders>
              <w:bottom w:val="single" w:sz="2" w:color="D7DFE5"/>
            </w:tcBorders>
          </w:tcPr>
          <w:p>
            <w:pPr>
              <w:spacing w:after="20"/>
            </w:pPr>
            <w:r>
              <w:rPr>
                <w:color w:val="24313D"/>
                <w:sz w:val="15"/>
              </w:rPr>
              <w:t>Applies value and margin floors</w:t>
            </w:r>
          </w:p>
        </w:tc>
        <w:tc>
          <w:tcPr>
            <w:tcW w:type="dxa" w:w="2160"/>
            <w:vAlign w:val="top"/>
            <w:shd w:fill="F2F5F7"/>
            <w:tcBorders>
              <w:bottom w:val="single" w:sz="2" w:color="D7DFE5"/>
            </w:tcBorders>
          </w:tcPr>
          <w:p>
            <w:pPr>
              <w:spacing w:after="20"/>
            </w:pPr>
            <w:r>
              <w:rPr>
                <w:color w:val="24313D"/>
                <w:sz w:val="15"/>
              </w:rPr>
              <w:t>Quote and economic case</w:t>
            </w:r>
          </w:p>
        </w:tc>
      </w:tr>
      <w:tr>
        <w:trPr>
          <w:cantSplit/>
        </w:trPr>
        <w:tc>
          <w:tcPr>
            <w:tcW w:type="dxa" w:w="1296"/>
            <w:vAlign w:val="top"/>
            <w:tcBorders>
              <w:bottom w:val="single" w:sz="2" w:color="D7DFE5"/>
            </w:tcBorders>
          </w:tcPr>
          <w:p>
            <w:pPr>
              <w:spacing w:after="20"/>
            </w:pPr>
            <w:r>
              <w:rPr>
                <w:b/>
                <w:color w:val="071827"/>
                <w:sz w:val="15"/>
              </w:rPr>
              <w:t>Contract</w:t>
            </w:r>
          </w:p>
        </w:tc>
        <w:tc>
          <w:tcPr>
            <w:tcW w:type="dxa" w:w="3024"/>
            <w:vAlign w:val="top"/>
            <w:tcBorders>
              <w:bottom w:val="single" w:sz="2" w:color="D7DFE5"/>
            </w:tcBorders>
          </w:tcPr>
          <w:p>
            <w:pPr>
              <w:spacing w:after="20"/>
            </w:pPr>
            <w:r>
              <w:rPr>
                <w:color w:val="24313D"/>
                <w:sz w:val="15"/>
              </w:rPr>
              <w:t>Reviews approved SOW, DPA, terms and evidence standard</w:t>
            </w:r>
          </w:p>
        </w:tc>
        <w:tc>
          <w:tcPr>
            <w:tcW w:type="dxa" w:w="3600"/>
            <w:vAlign w:val="top"/>
            <w:tcBorders>
              <w:bottom w:val="single" w:sz="2" w:color="D7DFE5"/>
            </w:tcBorders>
          </w:tcPr>
          <w:p>
            <w:pPr>
              <w:spacing w:after="20"/>
            </w:pPr>
            <w:r>
              <w:rPr>
                <w:color w:val="24313D"/>
                <w:sz w:val="15"/>
              </w:rPr>
              <w:t>Generates documents within clause matrix</w:t>
            </w:r>
          </w:p>
        </w:tc>
        <w:tc>
          <w:tcPr>
            <w:tcW w:type="dxa" w:w="2160"/>
            <w:vAlign w:val="top"/>
            <w:tcBorders>
              <w:bottom w:val="single" w:sz="2" w:color="D7DFE5"/>
            </w:tcBorders>
          </w:tcPr>
          <w:p>
            <w:pPr>
              <w:spacing w:after="20"/>
            </w:pPr>
            <w:r>
              <w:rPr>
                <w:color w:val="24313D"/>
                <w:sz w:val="15"/>
              </w:rPr>
              <w:t>Signed agreement</w:t>
            </w:r>
          </w:p>
        </w:tc>
      </w:tr>
      <w:tr>
        <w:trPr>
          <w:cantSplit/>
        </w:trPr>
        <w:tc>
          <w:tcPr>
            <w:tcW w:type="dxa" w:w="1296"/>
            <w:vAlign w:val="top"/>
            <w:shd w:fill="F2F5F7"/>
            <w:tcBorders>
              <w:bottom w:val="single" w:sz="2" w:color="D7DFE5"/>
            </w:tcBorders>
          </w:tcPr>
          <w:p>
            <w:pPr>
              <w:spacing w:after="20"/>
            </w:pPr>
            <w:r>
              <w:rPr>
                <w:b/>
                <w:color w:val="071827"/>
                <w:sz w:val="15"/>
              </w:rPr>
              <w:t>Fund</w:t>
            </w:r>
          </w:p>
        </w:tc>
        <w:tc>
          <w:tcPr>
            <w:tcW w:type="dxa" w:w="3024"/>
            <w:vAlign w:val="top"/>
            <w:shd w:fill="F2F5F7"/>
            <w:tcBorders>
              <w:bottom w:val="single" w:sz="2" w:color="D7DFE5"/>
            </w:tcBorders>
          </w:tcPr>
          <w:p>
            <w:pPr>
              <w:spacing w:after="20"/>
            </w:pPr>
            <w:r>
              <w:rPr>
                <w:color w:val="24313D"/>
                <w:sz w:val="15"/>
              </w:rPr>
              <w:t>Pays Activation or mission deposit</w:t>
            </w:r>
          </w:p>
        </w:tc>
        <w:tc>
          <w:tcPr>
            <w:tcW w:type="dxa" w:w="3600"/>
            <w:vAlign w:val="top"/>
            <w:shd w:fill="F2F5F7"/>
            <w:tcBorders>
              <w:bottom w:val="single" w:sz="2" w:color="D7DFE5"/>
            </w:tcBorders>
          </w:tcPr>
          <w:p>
            <w:pPr>
              <w:spacing w:after="20"/>
            </w:pPr>
            <w:r>
              <w:rPr>
                <w:color w:val="24313D"/>
                <w:sz w:val="15"/>
              </w:rPr>
              <w:t>Creates receipt and reserves capacity</w:t>
            </w:r>
          </w:p>
        </w:tc>
        <w:tc>
          <w:tcPr>
            <w:tcW w:type="dxa" w:w="2160"/>
            <w:vAlign w:val="top"/>
            <w:shd w:fill="F2F5F7"/>
            <w:tcBorders>
              <w:bottom w:val="single" w:sz="2" w:color="D7DFE5"/>
            </w:tcBorders>
          </w:tcPr>
          <w:p>
            <w:pPr>
              <w:spacing w:after="20"/>
            </w:pPr>
            <w:r>
              <w:rPr>
                <w:color w:val="24313D"/>
                <w:sz w:val="15"/>
              </w:rPr>
              <w:t>Payment and capacity receipt</w:t>
            </w:r>
          </w:p>
        </w:tc>
      </w:tr>
      <w:tr>
        <w:trPr>
          <w:cantSplit/>
        </w:trPr>
        <w:tc>
          <w:tcPr>
            <w:tcW w:type="dxa" w:w="1296"/>
            <w:vAlign w:val="top"/>
            <w:tcBorders>
              <w:bottom w:val="single" w:sz="2" w:color="D7DFE5"/>
            </w:tcBorders>
          </w:tcPr>
          <w:p>
            <w:pPr>
              <w:spacing w:after="20"/>
            </w:pPr>
            <w:r>
              <w:rPr>
                <w:b/>
                <w:color w:val="071827"/>
                <w:sz w:val="15"/>
              </w:rPr>
              <w:t>Instantiate</w:t>
            </w:r>
          </w:p>
        </w:tc>
        <w:tc>
          <w:tcPr>
            <w:tcW w:type="dxa" w:w="3024"/>
            <w:vAlign w:val="top"/>
            <w:tcBorders>
              <w:bottom w:val="single" w:sz="2" w:color="D7DFE5"/>
            </w:tcBorders>
          </w:tcPr>
          <w:p>
            <w:pPr>
              <w:spacing w:after="20"/>
            </w:pPr>
            <w:r>
              <w:rPr>
                <w:color w:val="24313D"/>
                <w:sz w:val="15"/>
              </w:rPr>
              <w:t>Receives secure mission room</w:t>
            </w:r>
          </w:p>
        </w:tc>
        <w:tc>
          <w:tcPr>
            <w:tcW w:type="dxa" w:w="3600"/>
            <w:vAlign w:val="top"/>
            <w:tcBorders>
              <w:bottom w:val="single" w:sz="2" w:color="D7DFE5"/>
            </w:tcBorders>
          </w:tcPr>
          <w:p>
            <w:pPr>
              <w:spacing w:after="20"/>
            </w:pPr>
            <w:r>
              <w:rPr>
                <w:color w:val="24313D"/>
                <w:sz w:val="15"/>
              </w:rPr>
              <w:t>Freezes Mission Contract and Docket</w:t>
            </w:r>
          </w:p>
        </w:tc>
        <w:tc>
          <w:tcPr>
            <w:tcW w:type="dxa" w:w="2160"/>
            <w:vAlign w:val="top"/>
            <w:tcBorders>
              <w:bottom w:val="single" w:sz="2" w:color="D7DFE5"/>
            </w:tcBorders>
          </w:tcPr>
          <w:p>
            <w:pPr>
              <w:spacing w:after="20"/>
            </w:pPr>
            <w:r>
              <w:rPr>
                <w:color w:val="24313D"/>
                <w:sz w:val="15"/>
              </w:rPr>
              <w:t>Mission hash / version</w:t>
            </w:r>
          </w:p>
        </w:tc>
      </w:tr>
      <w:tr>
        <w:trPr>
          <w:cantSplit/>
        </w:trPr>
        <w:tc>
          <w:tcPr>
            <w:tcW w:type="dxa" w:w="1296"/>
            <w:vAlign w:val="top"/>
            <w:shd w:fill="F2F5F7"/>
            <w:tcBorders>
              <w:bottom w:val="single" w:sz="2" w:color="D7DFE5"/>
            </w:tcBorders>
          </w:tcPr>
          <w:p>
            <w:pPr>
              <w:spacing w:after="20"/>
            </w:pPr>
            <w:r>
              <w:rPr>
                <w:b/>
                <w:color w:val="071827"/>
                <w:sz w:val="15"/>
              </w:rPr>
              <w:t>Deliver</w:t>
            </w:r>
          </w:p>
        </w:tc>
        <w:tc>
          <w:tcPr>
            <w:tcW w:type="dxa" w:w="3024"/>
            <w:vAlign w:val="top"/>
            <w:shd w:fill="F2F5F7"/>
            <w:tcBorders>
              <w:bottom w:val="single" w:sz="2" w:color="D7DFE5"/>
            </w:tcBorders>
          </w:tcPr>
          <w:p>
            <w:pPr>
              <w:spacing w:after="20"/>
            </w:pPr>
            <w:r>
              <w:rPr>
                <w:color w:val="24313D"/>
                <w:sz w:val="15"/>
              </w:rPr>
              <w:t>Inspects work, evidence, costs, failures and decisions</w:t>
            </w:r>
          </w:p>
        </w:tc>
        <w:tc>
          <w:tcPr>
            <w:tcW w:type="dxa" w:w="3600"/>
            <w:vAlign w:val="top"/>
            <w:shd w:fill="F2F5F7"/>
            <w:tcBorders>
              <w:bottom w:val="single" w:sz="2" w:color="D7DFE5"/>
            </w:tcBorders>
          </w:tcPr>
          <w:p>
            <w:pPr>
              <w:spacing w:after="20"/>
            </w:pPr>
            <w:r>
              <w:rPr>
                <w:color w:val="24313D"/>
                <w:sz w:val="15"/>
              </w:rPr>
              <w:t>Executes bounded jobs and routes review</w:t>
            </w:r>
          </w:p>
        </w:tc>
        <w:tc>
          <w:tcPr>
            <w:tcW w:type="dxa" w:w="2160"/>
            <w:vAlign w:val="top"/>
            <w:shd w:fill="F2F5F7"/>
            <w:tcBorders>
              <w:bottom w:val="single" w:sz="2" w:color="D7DFE5"/>
            </w:tcBorders>
          </w:tcPr>
          <w:p>
            <w:pPr>
              <w:spacing w:after="20"/>
            </w:pPr>
            <w:r>
              <w:rPr>
                <w:color w:val="24313D"/>
                <w:sz w:val="15"/>
              </w:rPr>
              <w:t>Evidence Docket</w:t>
            </w:r>
          </w:p>
        </w:tc>
      </w:tr>
      <w:tr>
        <w:trPr>
          <w:cantSplit/>
        </w:trPr>
        <w:tc>
          <w:tcPr>
            <w:tcW w:type="dxa" w:w="1296"/>
            <w:vAlign w:val="top"/>
            <w:tcBorders>
              <w:bottom w:val="single" w:sz="2" w:color="D7DFE5"/>
            </w:tcBorders>
          </w:tcPr>
          <w:p>
            <w:pPr>
              <w:spacing w:after="20"/>
            </w:pPr>
            <w:r>
              <w:rPr>
                <w:b/>
                <w:color w:val="071827"/>
                <w:sz w:val="15"/>
              </w:rPr>
              <w:t>Accept</w:t>
            </w:r>
          </w:p>
        </w:tc>
        <w:tc>
          <w:tcPr>
            <w:tcW w:type="dxa" w:w="3024"/>
            <w:vAlign w:val="top"/>
            <w:tcBorders>
              <w:bottom w:val="single" w:sz="2" w:color="D7DFE5"/>
            </w:tcBorders>
          </w:tcPr>
          <w:p>
            <w:pPr>
              <w:spacing w:after="20"/>
            </w:pPr>
            <w:r>
              <w:rPr>
                <w:color w:val="24313D"/>
                <w:sz w:val="15"/>
              </w:rPr>
              <w:t>Approves, conditions or disputes under frozen rubric</w:t>
            </w:r>
          </w:p>
        </w:tc>
        <w:tc>
          <w:tcPr>
            <w:tcW w:type="dxa" w:w="3600"/>
            <w:vAlign w:val="top"/>
            <w:tcBorders>
              <w:bottom w:val="single" w:sz="2" w:color="D7DFE5"/>
            </w:tcBorders>
          </w:tcPr>
          <w:p>
            <w:pPr>
              <w:spacing w:after="20"/>
            </w:pPr>
            <w:r>
              <w:rPr>
                <w:color w:val="24313D"/>
                <w:sz w:val="15"/>
              </w:rPr>
              <w:t>Records terminal state and value ledger</w:t>
            </w:r>
          </w:p>
        </w:tc>
        <w:tc>
          <w:tcPr>
            <w:tcW w:type="dxa" w:w="2160"/>
            <w:vAlign w:val="top"/>
            <w:tcBorders>
              <w:bottom w:val="single" w:sz="2" w:color="D7DFE5"/>
            </w:tcBorders>
          </w:tcPr>
          <w:p>
            <w:pPr>
              <w:spacing w:after="20"/>
            </w:pPr>
            <w:r>
              <w:rPr>
                <w:color w:val="24313D"/>
                <w:sz w:val="15"/>
              </w:rPr>
              <w:t>Acceptance / dispute receipt</w:t>
            </w:r>
          </w:p>
        </w:tc>
      </w:tr>
      <w:tr>
        <w:trPr>
          <w:cantSplit/>
        </w:trPr>
        <w:tc>
          <w:tcPr>
            <w:tcW w:type="dxa" w:w="1296"/>
            <w:vAlign w:val="top"/>
            <w:shd w:fill="F2F5F7"/>
            <w:tcBorders>
              <w:bottom w:val="single" w:sz="2" w:color="D7DFE5"/>
            </w:tcBorders>
          </w:tcPr>
          <w:p>
            <w:pPr>
              <w:spacing w:after="20"/>
            </w:pPr>
            <w:r>
              <w:rPr>
                <w:b/>
                <w:color w:val="071827"/>
                <w:sz w:val="15"/>
              </w:rPr>
              <w:t>Recurr</w:t>
            </w:r>
          </w:p>
        </w:tc>
        <w:tc>
          <w:tcPr>
            <w:tcW w:type="dxa" w:w="3024"/>
            <w:vAlign w:val="top"/>
            <w:shd w:fill="F2F5F7"/>
            <w:tcBorders>
              <w:bottom w:val="single" w:sz="2" w:color="D7DFE5"/>
            </w:tcBorders>
          </w:tcPr>
          <w:p>
            <w:pPr>
              <w:spacing w:after="20"/>
            </w:pPr>
            <w:r>
              <w:rPr>
                <w:color w:val="24313D"/>
                <w:sz w:val="15"/>
              </w:rPr>
              <w:t>Activates continuing Office</w:t>
            </w:r>
          </w:p>
        </w:tc>
        <w:tc>
          <w:tcPr>
            <w:tcW w:type="dxa" w:w="3600"/>
            <w:vAlign w:val="top"/>
            <w:shd w:fill="F2F5F7"/>
            <w:tcBorders>
              <w:bottom w:val="single" w:sz="2" w:color="D7DFE5"/>
            </w:tcBorders>
          </w:tcPr>
          <w:p>
            <w:pPr>
              <w:spacing w:after="20"/>
            </w:pPr>
            <w:r>
              <w:rPr>
                <w:color w:val="24313D"/>
                <w:sz w:val="15"/>
              </w:rPr>
              <w:t>Provisions monitoring, Chronicle and entitlements</w:t>
            </w:r>
          </w:p>
        </w:tc>
        <w:tc>
          <w:tcPr>
            <w:tcW w:type="dxa" w:w="2160"/>
            <w:vAlign w:val="top"/>
            <w:shd w:fill="F2F5F7"/>
            <w:tcBorders>
              <w:bottom w:val="single" w:sz="2" w:color="D7DFE5"/>
            </w:tcBorders>
          </w:tcPr>
          <w:p>
            <w:pPr>
              <w:spacing w:after="20"/>
            </w:pPr>
            <w:r>
              <w:rPr>
                <w:color w:val="24313D"/>
                <w:sz w:val="15"/>
              </w:rPr>
              <w:t>Subscription and Office plan</w:t>
            </w:r>
          </w:p>
        </w:tc>
      </w:tr>
      <w:tr>
        <w:trPr>
          <w:cantSplit/>
        </w:trPr>
        <w:tc>
          <w:tcPr>
            <w:tcW w:type="dxa" w:w="1296"/>
            <w:vAlign w:val="top"/>
            <w:tcBorders>
              <w:bottom w:val="single" w:sz="2" w:color="D7DFE5"/>
            </w:tcBorders>
          </w:tcPr>
          <w:p>
            <w:pPr>
              <w:spacing w:after="20"/>
            </w:pPr>
            <w:r>
              <w:rPr>
                <w:b/>
                <w:color w:val="071827"/>
                <w:sz w:val="15"/>
              </w:rPr>
              <w:t>Expand</w:t>
            </w:r>
          </w:p>
        </w:tc>
        <w:tc>
          <w:tcPr>
            <w:tcW w:type="dxa" w:w="3024"/>
            <w:vAlign w:val="top"/>
            <w:tcBorders>
              <w:bottom w:val="single" w:sz="2" w:color="D7DFE5"/>
            </w:tcBorders>
          </w:tcPr>
          <w:p>
            <w:pPr>
              <w:spacing w:after="20"/>
            </w:pPr>
            <w:r>
              <w:rPr>
                <w:color w:val="24313D"/>
                <w:sz w:val="15"/>
              </w:rPr>
              <w:t>Receives evidence-based next-mission proposal</w:t>
            </w:r>
          </w:p>
        </w:tc>
        <w:tc>
          <w:tcPr>
            <w:tcW w:type="dxa" w:w="3600"/>
            <w:vAlign w:val="top"/>
            <w:tcBorders>
              <w:bottom w:val="single" w:sz="2" w:color="D7DFE5"/>
            </w:tcBorders>
          </w:tcPr>
          <w:p>
            <w:pPr>
              <w:spacing w:after="20"/>
            </w:pPr>
            <w:r>
              <w:rPr>
                <w:color w:val="24313D"/>
                <w:sz w:val="15"/>
              </w:rPr>
              <w:t>Uses verified need and value—never generic cross-sell</w:t>
            </w:r>
          </w:p>
        </w:tc>
        <w:tc>
          <w:tcPr>
            <w:tcW w:type="dxa" w:w="2160"/>
            <w:vAlign w:val="top"/>
            <w:tcBorders>
              <w:bottom w:val="single" w:sz="2" w:color="D7DFE5"/>
            </w:tcBorders>
          </w:tcPr>
          <w:p>
            <w:pPr>
              <w:spacing w:after="20"/>
            </w:pPr>
            <w:r>
              <w:rPr>
                <w:color w:val="24313D"/>
                <w:sz w:val="15"/>
              </w:rPr>
              <w:t>Expansion decision</w:t>
            </w:r>
          </w:p>
        </w:tc>
      </w:tr>
    </w:tbl>
    <w:p>
      <w:pPr>
        <w:spacing w:after="0"/>
      </w:pPr>
    </w:p>
    <w:p>
      <w:pPr>
        <w:pStyle w:val="Heading1"/>
      </w:pPr>
      <w:r>
        <w:t>2. Autonomous offer ladder</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shd w:fill="0E2B3B"/>
            <w:vAlign w:val="center"/>
            <w:tcBorders>
              <w:bottom w:val="single" w:sz="8" w:color="D6A13C"/>
            </w:tcBorders>
          </w:tcPr>
          <w:p>
            <w:pPr>
              <w:jc w:val="center"/>
            </w:pPr>
            <w:r>
              <w:rPr>
                <w:b/>
                <w:color w:val="FFFFFF"/>
                <w:sz w:val="16"/>
              </w:rPr>
              <w:t>Offer</w:t>
            </w:r>
          </w:p>
        </w:tc>
        <w:tc>
          <w:tcPr>
            <w:tcW w:type="dxa" w:w="1944"/>
            <w:shd w:fill="0E2B3B"/>
            <w:vAlign w:val="center"/>
            <w:tcBorders>
              <w:bottom w:val="single" w:sz="8" w:color="D6A13C"/>
            </w:tcBorders>
          </w:tcPr>
          <w:p>
            <w:pPr>
              <w:jc w:val="center"/>
            </w:pPr>
            <w:r>
              <w:rPr>
                <w:b/>
                <w:color w:val="FFFFFF"/>
                <w:sz w:val="16"/>
              </w:rPr>
              <w:t>Fixed input</w:t>
            </w:r>
          </w:p>
        </w:tc>
        <w:tc>
          <w:tcPr>
            <w:tcW w:type="dxa" w:w="3240"/>
            <w:shd w:fill="0E2B3B"/>
            <w:vAlign w:val="center"/>
            <w:tcBorders>
              <w:bottom w:val="single" w:sz="8" w:color="D6A13C"/>
            </w:tcBorders>
          </w:tcPr>
          <w:p>
            <w:pPr>
              <w:jc w:val="center"/>
            </w:pPr>
            <w:r>
              <w:rPr>
                <w:b/>
                <w:color w:val="FFFFFF"/>
                <w:sz w:val="16"/>
              </w:rPr>
              <w:t>Fixed output</w:t>
            </w:r>
          </w:p>
        </w:tc>
        <w:tc>
          <w:tcPr>
            <w:tcW w:type="dxa" w:w="1584"/>
            <w:shd w:fill="0E2B3B"/>
            <w:vAlign w:val="center"/>
            <w:tcBorders>
              <w:bottom w:val="single" w:sz="8" w:color="D6A13C"/>
            </w:tcBorders>
          </w:tcPr>
          <w:p>
            <w:pPr>
              <w:jc w:val="center"/>
            </w:pPr>
            <w:r>
              <w:rPr>
                <w:b/>
                <w:color w:val="FFFFFF"/>
                <w:sz w:val="16"/>
              </w:rPr>
              <w:t>Price</w:t>
            </w:r>
          </w:p>
        </w:tc>
        <w:tc>
          <w:tcPr>
            <w:tcW w:type="dxa" w:w="1800"/>
            <w:shd w:fill="0E2B3B"/>
            <w:vAlign w:val="center"/>
            <w:tcBorders>
              <w:bottom w:val="single" w:sz="8" w:color="D6A13C"/>
            </w:tcBorders>
          </w:tcPr>
          <w:p>
            <w:pPr>
              <w:jc w:val="center"/>
            </w:pPr>
            <w:r>
              <w:rPr>
                <w:b/>
                <w:color w:val="FFFFFF"/>
                <w:sz w:val="16"/>
              </w:rPr>
              <w:t>Payment</w:t>
            </w:r>
          </w:p>
        </w:tc>
      </w:tr>
      <w:tr>
        <w:trPr>
          <w:cantSplit/>
        </w:trPr>
        <w:tc>
          <w:tcPr>
            <w:tcW w:type="dxa" w:w="1944"/>
            <w:vAlign w:val="top"/>
            <w:tcBorders>
              <w:bottom w:val="single" w:sz="2" w:color="D7DFE5"/>
            </w:tcBorders>
          </w:tcPr>
          <w:p>
            <w:pPr>
              <w:spacing w:after="20"/>
            </w:pPr>
            <w:r>
              <w:rPr>
                <w:b/>
                <w:color w:val="071827"/>
                <w:sz w:val="15"/>
              </w:rPr>
              <w:t>Proof Readiness Scan</w:t>
            </w:r>
          </w:p>
        </w:tc>
        <w:tc>
          <w:tcPr>
            <w:tcW w:type="dxa" w:w="1944"/>
            <w:vAlign w:val="top"/>
            <w:tcBorders>
              <w:bottom w:val="single" w:sz="2" w:color="D7DFE5"/>
            </w:tcBorders>
          </w:tcPr>
          <w:p>
            <w:pPr>
              <w:spacing w:after="20"/>
            </w:pPr>
            <w:r>
              <w:rPr>
                <w:color w:val="24313D"/>
                <w:sz w:val="15"/>
              </w:rPr>
              <w:t>Objective, documents, value, deadline</w:t>
            </w:r>
          </w:p>
        </w:tc>
        <w:tc>
          <w:tcPr>
            <w:tcW w:type="dxa" w:w="3240"/>
            <w:vAlign w:val="top"/>
            <w:tcBorders>
              <w:bottom w:val="single" w:sz="2" w:color="D7DFE5"/>
            </w:tcBorders>
          </w:tcPr>
          <w:p>
            <w:pPr>
              <w:spacing w:after="20"/>
            </w:pPr>
            <w:r>
              <w:rPr>
                <w:color w:val="24313D"/>
                <w:sz w:val="15"/>
              </w:rPr>
              <w:t>Initial Proof Debt and recommendation</w:t>
            </w:r>
          </w:p>
        </w:tc>
        <w:tc>
          <w:tcPr>
            <w:tcW w:type="dxa" w:w="1584"/>
            <w:vAlign w:val="top"/>
            <w:tcBorders>
              <w:bottom w:val="single" w:sz="2" w:color="D7DFE5"/>
            </w:tcBorders>
          </w:tcPr>
          <w:p>
            <w:pPr>
              <w:spacing w:after="20"/>
            </w:pPr>
            <w:r>
              <w:rPr>
                <w:color w:val="24313D"/>
                <w:sz w:val="15"/>
              </w:rPr>
              <w:t>Free–$495</w:t>
            </w:r>
          </w:p>
        </w:tc>
        <w:tc>
          <w:tcPr>
            <w:tcW w:type="dxa" w:w="1800"/>
            <w:vAlign w:val="top"/>
            <w:tcBorders>
              <w:bottom w:val="single" w:sz="2" w:color="D7DFE5"/>
            </w:tcBorders>
          </w:tcPr>
          <w:p>
            <w:pPr>
              <w:spacing w:after="20"/>
            </w:pPr>
            <w:r>
              <w:rPr>
                <w:color w:val="24313D"/>
                <w:sz w:val="15"/>
              </w:rPr>
              <w:t>Upfront if paid</w:t>
            </w:r>
          </w:p>
        </w:tc>
      </w:tr>
      <w:tr>
        <w:trPr>
          <w:cantSplit/>
        </w:trPr>
        <w:tc>
          <w:tcPr>
            <w:tcW w:type="dxa" w:w="1944"/>
            <w:vAlign w:val="top"/>
            <w:shd w:fill="F2F5F7"/>
            <w:tcBorders>
              <w:bottom w:val="single" w:sz="2" w:color="D7DFE5"/>
            </w:tcBorders>
          </w:tcPr>
          <w:p>
            <w:pPr>
              <w:spacing w:after="20"/>
            </w:pPr>
            <w:r>
              <w:rPr>
                <w:b/>
                <w:color w:val="071827"/>
                <w:sz w:val="15"/>
              </w:rPr>
              <w:t>Proof Mission Activation</w:t>
            </w:r>
          </w:p>
        </w:tc>
        <w:tc>
          <w:tcPr>
            <w:tcW w:type="dxa" w:w="1944"/>
            <w:vAlign w:val="top"/>
            <w:shd w:fill="F2F5F7"/>
            <w:tcBorders>
              <w:bottom w:val="single" w:sz="2" w:color="D7DFE5"/>
            </w:tcBorders>
          </w:tcPr>
          <w:p>
            <w:pPr>
              <w:spacing w:after="20"/>
            </w:pPr>
            <w:r>
              <w:rPr>
                <w:color w:val="24313D"/>
                <w:sz w:val="15"/>
              </w:rPr>
              <w:t>One consequential decision</w:t>
            </w:r>
          </w:p>
        </w:tc>
        <w:tc>
          <w:tcPr>
            <w:tcW w:type="dxa" w:w="3240"/>
            <w:vAlign w:val="top"/>
            <w:shd w:fill="F2F5F7"/>
            <w:tcBorders>
              <w:bottom w:val="single" w:sz="2" w:color="D7DFE5"/>
            </w:tcBorders>
          </w:tcPr>
          <w:p>
            <w:pPr>
              <w:spacing w:after="20"/>
            </w:pPr>
            <w:r>
              <w:rPr>
                <w:color w:val="24313D"/>
                <w:sz w:val="15"/>
              </w:rPr>
              <w:t>Mission Contract, claims, evidence plan, ROI case</w:t>
            </w:r>
          </w:p>
        </w:tc>
        <w:tc>
          <w:tcPr>
            <w:tcW w:type="dxa" w:w="1584"/>
            <w:vAlign w:val="top"/>
            <w:shd w:fill="F2F5F7"/>
            <w:tcBorders>
              <w:bottom w:val="single" w:sz="2" w:color="D7DFE5"/>
            </w:tcBorders>
          </w:tcPr>
          <w:p>
            <w:pPr>
              <w:spacing w:after="20"/>
            </w:pPr>
            <w:r>
              <w:rPr>
                <w:color w:val="24313D"/>
                <w:sz w:val="15"/>
              </w:rPr>
              <w:t>$15,000</w:t>
            </w:r>
          </w:p>
        </w:tc>
        <w:tc>
          <w:tcPr>
            <w:tcW w:type="dxa" w:w="1800"/>
            <w:vAlign w:val="top"/>
            <w:shd w:fill="F2F5F7"/>
            <w:tcBorders>
              <w:bottom w:val="single" w:sz="2" w:color="D7DFE5"/>
            </w:tcBorders>
          </w:tcPr>
          <w:p>
            <w:pPr>
              <w:spacing w:after="20"/>
            </w:pPr>
            <w:r>
              <w:rPr>
                <w:color w:val="24313D"/>
                <w:sz w:val="15"/>
              </w:rPr>
              <w:t>100% prepaid</w:t>
            </w:r>
          </w:p>
        </w:tc>
      </w:tr>
      <w:tr>
        <w:trPr>
          <w:cantSplit/>
        </w:trPr>
        <w:tc>
          <w:tcPr>
            <w:tcW w:type="dxa" w:w="1944"/>
            <w:vAlign w:val="top"/>
            <w:tcBorders>
              <w:bottom w:val="single" w:sz="2" w:color="D7DFE5"/>
            </w:tcBorders>
          </w:tcPr>
          <w:p>
            <w:pPr>
              <w:spacing w:after="20"/>
            </w:pPr>
            <w:r>
              <w:rPr>
                <w:b/>
                <w:color w:val="071827"/>
                <w:sz w:val="15"/>
              </w:rPr>
              <w:t>Standard Proof Mission</w:t>
            </w:r>
          </w:p>
        </w:tc>
        <w:tc>
          <w:tcPr>
            <w:tcW w:type="dxa" w:w="1944"/>
            <w:vAlign w:val="top"/>
            <w:tcBorders>
              <w:bottom w:val="single" w:sz="2" w:color="D7DFE5"/>
            </w:tcBorders>
          </w:tcPr>
          <w:p>
            <w:pPr>
              <w:spacing w:after="20"/>
            </w:pPr>
            <w:r>
              <w:rPr>
                <w:color w:val="24313D"/>
                <w:sz w:val="15"/>
              </w:rPr>
              <w:t>One frozen mission</w:t>
            </w:r>
          </w:p>
        </w:tc>
        <w:tc>
          <w:tcPr>
            <w:tcW w:type="dxa" w:w="3240"/>
            <w:vAlign w:val="top"/>
            <w:tcBorders>
              <w:bottom w:val="single" w:sz="2" w:color="D7DFE5"/>
            </w:tcBorders>
          </w:tcPr>
          <w:p>
            <w:pPr>
              <w:spacing w:after="20"/>
            </w:pPr>
            <w:r>
              <w:rPr>
                <w:color w:val="24313D"/>
                <w:sz w:val="15"/>
              </w:rPr>
              <w:t>Evidence Docket, review, governed decision</w:t>
            </w:r>
          </w:p>
        </w:tc>
        <w:tc>
          <w:tcPr>
            <w:tcW w:type="dxa" w:w="1584"/>
            <w:vAlign w:val="top"/>
            <w:tcBorders>
              <w:bottom w:val="single" w:sz="2" w:color="D7DFE5"/>
            </w:tcBorders>
          </w:tcPr>
          <w:p>
            <w:pPr>
              <w:spacing w:after="20"/>
            </w:pPr>
            <w:r>
              <w:rPr>
                <w:color w:val="24313D"/>
                <w:sz w:val="15"/>
              </w:rPr>
              <w:t>$75,000</w:t>
            </w:r>
          </w:p>
        </w:tc>
        <w:tc>
          <w:tcPr>
            <w:tcW w:type="dxa" w:w="1800"/>
            <w:vAlign w:val="top"/>
            <w:tcBorders>
              <w:bottom w:val="single" w:sz="2" w:color="D7DFE5"/>
            </w:tcBorders>
          </w:tcPr>
          <w:p>
            <w:pPr>
              <w:spacing w:after="20"/>
            </w:pPr>
            <w:r>
              <w:rPr>
                <w:color w:val="24313D"/>
                <w:sz w:val="15"/>
              </w:rPr>
              <w:t>50% / 30% / 20%</w:t>
            </w:r>
          </w:p>
        </w:tc>
      </w:tr>
      <w:tr>
        <w:trPr>
          <w:cantSplit/>
        </w:trPr>
        <w:tc>
          <w:tcPr>
            <w:tcW w:type="dxa" w:w="1944"/>
            <w:vAlign w:val="top"/>
            <w:shd w:fill="F2F5F7"/>
            <w:tcBorders>
              <w:bottom w:val="single" w:sz="2" w:color="D7DFE5"/>
            </w:tcBorders>
          </w:tcPr>
          <w:p>
            <w:pPr>
              <w:spacing w:after="20"/>
            </w:pPr>
            <w:r>
              <w:rPr>
                <w:b/>
                <w:color w:val="071827"/>
                <w:sz w:val="15"/>
              </w:rPr>
              <w:t>Proof Office</w:t>
            </w:r>
          </w:p>
        </w:tc>
        <w:tc>
          <w:tcPr>
            <w:tcW w:type="dxa" w:w="1944"/>
            <w:vAlign w:val="top"/>
            <w:shd w:fill="F2F5F7"/>
            <w:tcBorders>
              <w:bottom w:val="single" w:sz="2" w:color="D7DFE5"/>
            </w:tcBorders>
          </w:tcPr>
          <w:p>
            <w:pPr>
              <w:spacing w:after="20"/>
            </w:pPr>
            <w:r>
              <w:rPr>
                <w:color w:val="24313D"/>
                <w:sz w:val="15"/>
              </w:rPr>
              <w:t>Accepted mission + continuing need</w:t>
            </w:r>
          </w:p>
        </w:tc>
        <w:tc>
          <w:tcPr>
            <w:tcW w:type="dxa" w:w="3240"/>
            <w:vAlign w:val="top"/>
            <w:shd w:fill="F2F5F7"/>
            <w:tcBorders>
              <w:bottom w:val="single" w:sz="2" w:color="D7DFE5"/>
            </w:tcBorders>
          </w:tcPr>
          <w:p>
            <w:pPr>
              <w:spacing w:after="20"/>
            </w:pPr>
            <w:r>
              <w:rPr>
                <w:color w:val="24313D"/>
                <w:sz w:val="15"/>
              </w:rPr>
              <w:t>Continuous evidence, Chronicle, reporting and mission queue</w:t>
            </w:r>
          </w:p>
        </w:tc>
        <w:tc>
          <w:tcPr>
            <w:tcW w:type="dxa" w:w="1584"/>
            <w:vAlign w:val="top"/>
            <w:shd w:fill="F2F5F7"/>
            <w:tcBorders>
              <w:bottom w:val="single" w:sz="2" w:color="D7DFE5"/>
            </w:tcBorders>
          </w:tcPr>
          <w:p>
            <w:pPr>
              <w:spacing w:after="20"/>
            </w:pPr>
            <w:r>
              <w:rPr>
                <w:color w:val="24313D"/>
                <w:sz w:val="15"/>
              </w:rPr>
              <w:t>$18,000/month base</w:t>
            </w:r>
          </w:p>
        </w:tc>
        <w:tc>
          <w:tcPr>
            <w:tcW w:type="dxa" w:w="1800"/>
            <w:vAlign w:val="top"/>
            <w:shd w:fill="F2F5F7"/>
            <w:tcBorders>
              <w:bottom w:val="single" w:sz="2" w:color="D7DFE5"/>
            </w:tcBorders>
          </w:tcPr>
          <w:p>
            <w:pPr>
              <w:spacing w:after="20"/>
            </w:pPr>
            <w:r>
              <w:rPr>
                <w:color w:val="24313D"/>
                <w:sz w:val="15"/>
              </w:rPr>
              <w:t>Annual prepaid preferred</w:t>
            </w:r>
          </w:p>
        </w:tc>
      </w:tr>
      <w:tr>
        <w:trPr>
          <w:cantSplit/>
        </w:trPr>
        <w:tc>
          <w:tcPr>
            <w:tcW w:type="dxa" w:w="1944"/>
            <w:vAlign w:val="top"/>
            <w:tcBorders>
              <w:bottom w:val="single" w:sz="2" w:color="D7DFE5"/>
            </w:tcBorders>
          </w:tcPr>
          <w:p>
            <w:pPr>
              <w:spacing w:after="20"/>
            </w:pPr>
            <w:r>
              <w:rPr>
                <w:b/>
                <w:color w:val="071827"/>
                <w:sz w:val="15"/>
              </w:rPr>
              <w:t>Private Enterprise Network</w:t>
            </w:r>
          </w:p>
        </w:tc>
        <w:tc>
          <w:tcPr>
            <w:tcW w:type="dxa" w:w="1944"/>
            <w:vAlign w:val="top"/>
            <w:tcBorders>
              <w:bottom w:val="single" w:sz="2" w:color="D7DFE5"/>
            </w:tcBorders>
          </w:tcPr>
          <w:p>
            <w:pPr>
              <w:spacing w:after="20"/>
            </w:pPr>
            <w:r>
              <w:rPr>
                <w:color w:val="24313D"/>
                <w:sz w:val="15"/>
              </w:rPr>
              <w:t>Multi-system recurring control</w:t>
            </w:r>
          </w:p>
        </w:tc>
        <w:tc>
          <w:tcPr>
            <w:tcW w:type="dxa" w:w="3240"/>
            <w:vAlign w:val="top"/>
            <w:tcBorders>
              <w:bottom w:val="single" w:sz="2" w:color="D7DFE5"/>
            </w:tcBorders>
          </w:tcPr>
          <w:p>
            <w:pPr>
              <w:spacing w:after="20"/>
            </w:pPr>
            <w:r>
              <w:rPr>
                <w:color w:val="24313D"/>
                <w:sz w:val="15"/>
              </w:rPr>
              <w:t>Dedicated integrations, private graph and protected runtime</w:t>
            </w:r>
          </w:p>
        </w:tc>
        <w:tc>
          <w:tcPr>
            <w:tcW w:type="dxa" w:w="1584"/>
            <w:vAlign w:val="top"/>
            <w:tcBorders>
              <w:bottom w:val="single" w:sz="2" w:color="D7DFE5"/>
            </w:tcBorders>
          </w:tcPr>
          <w:p>
            <w:pPr>
              <w:spacing w:after="20"/>
            </w:pPr>
            <w:r>
              <w:rPr>
                <w:color w:val="24313D"/>
                <w:sz w:val="15"/>
              </w:rPr>
              <w:t>$500,000/year base hypothesis</w:t>
            </w:r>
          </w:p>
        </w:tc>
        <w:tc>
          <w:tcPr>
            <w:tcW w:type="dxa" w:w="1800"/>
            <w:vAlign w:val="top"/>
            <w:tcBorders>
              <w:bottom w:val="single" w:sz="2" w:color="D7DFE5"/>
            </w:tcBorders>
          </w:tcPr>
          <w:p>
            <w:pPr>
              <w:spacing w:after="20"/>
            </w:pPr>
            <w:r>
              <w:rPr>
                <w:color w:val="24313D"/>
                <w:sz w:val="15"/>
              </w:rPr>
              <w:t>Deployment fee + annual commitment</w:t>
            </w:r>
          </w:p>
        </w:tc>
      </w:tr>
      <w:tr>
        <w:trPr>
          <w:cantSplit/>
        </w:trPr>
        <w:tc>
          <w:tcPr>
            <w:tcW w:type="dxa" w:w="1944"/>
            <w:vAlign w:val="top"/>
            <w:shd w:fill="F2F5F7"/>
            <w:tcBorders>
              <w:bottom w:val="single" w:sz="2" w:color="D7DFE5"/>
            </w:tcBorders>
          </w:tcPr>
          <w:p>
            <w:pPr>
              <w:spacing w:after="20"/>
            </w:pPr>
            <w:r>
              <w:rPr>
                <w:b/>
                <w:color w:val="071827"/>
                <w:sz w:val="15"/>
              </w:rPr>
              <w:t>Protected Invocation</w:t>
            </w:r>
          </w:p>
        </w:tc>
        <w:tc>
          <w:tcPr>
            <w:tcW w:type="dxa" w:w="1944"/>
            <w:vAlign w:val="top"/>
            <w:shd w:fill="F2F5F7"/>
            <w:tcBorders>
              <w:bottom w:val="single" w:sz="2" w:color="D7DFE5"/>
            </w:tcBorders>
          </w:tcPr>
          <w:p>
            <w:pPr>
              <w:spacing w:after="20"/>
            </w:pPr>
            <w:r>
              <w:rPr>
                <w:color w:val="24313D"/>
                <w:sz w:val="15"/>
              </w:rPr>
              <w:t>Current entitlement + scoped request</w:t>
            </w:r>
          </w:p>
        </w:tc>
        <w:tc>
          <w:tcPr>
            <w:tcW w:type="dxa" w:w="3240"/>
            <w:vAlign w:val="top"/>
            <w:shd w:fill="F2F5F7"/>
            <w:tcBorders>
              <w:bottom w:val="single" w:sz="2" w:color="D7DFE5"/>
            </w:tcBorders>
          </w:tcPr>
          <w:p>
            <w:pPr>
              <w:spacing w:after="20"/>
            </w:pPr>
            <w:r>
              <w:rPr>
                <w:color w:val="24313D"/>
                <w:sz w:val="15"/>
              </w:rPr>
              <w:t>Result, evidence and invocation receipt</w:t>
            </w:r>
          </w:p>
        </w:tc>
        <w:tc>
          <w:tcPr>
            <w:tcW w:type="dxa" w:w="1584"/>
            <w:vAlign w:val="top"/>
            <w:shd w:fill="F2F5F7"/>
            <w:tcBorders>
              <w:bottom w:val="single" w:sz="2" w:color="D7DFE5"/>
            </w:tcBorders>
          </w:tcPr>
          <w:p>
            <w:pPr>
              <w:spacing w:after="20"/>
            </w:pPr>
            <w:r>
              <w:rPr>
                <w:color w:val="24313D"/>
                <w:sz w:val="15"/>
              </w:rPr>
              <w:t>$500+ per invocation hypothesis</w:t>
            </w:r>
          </w:p>
        </w:tc>
        <w:tc>
          <w:tcPr>
            <w:tcW w:type="dxa" w:w="1800"/>
            <w:vAlign w:val="top"/>
            <w:shd w:fill="F2F5F7"/>
            <w:tcBorders>
              <w:bottom w:val="single" w:sz="2" w:color="D7DFE5"/>
            </w:tcBorders>
          </w:tcPr>
          <w:p>
            <w:pPr>
              <w:spacing w:after="20"/>
            </w:pPr>
            <w:r>
              <w:rPr>
                <w:color w:val="24313D"/>
                <w:sz w:val="15"/>
              </w:rPr>
              <w:t>Metered / committed usage</w:t>
            </w:r>
          </w:p>
        </w:tc>
      </w:tr>
    </w:tbl>
    <w:p>
      <w:pPr>
        <w:spacing w:after="0"/>
      </w:pPr>
    </w:p>
    <w:p>
      <w:pPr>
        <w:pStyle w:val="Heading1"/>
      </w:pPr>
      <w:r>
        <w:t>3. Qualification score</w:t>
      </w:r>
    </w:p>
    <w:p>
      <w:r>
        <w:t>GoalOS should automatically qualify on a 100-point scale. Standard-lane entry requires at least 70 points and no disqualifying risk.</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0E2B3B"/>
            <w:vAlign w:val="center"/>
            <w:tcBorders>
              <w:bottom w:val="single" w:sz="8" w:color="D6A13C"/>
            </w:tcBorders>
          </w:tcPr>
          <w:p>
            <w:pPr>
              <w:jc w:val="center"/>
            </w:pPr>
            <w:r>
              <w:rPr>
                <w:b/>
                <w:color w:val="FFFFFF"/>
                <w:sz w:val="18"/>
              </w:rPr>
              <w:t>Dimension</w:t>
            </w:r>
          </w:p>
        </w:tc>
        <w:tc>
          <w:tcPr>
            <w:tcW w:type="dxa" w:w="1152"/>
            <w:shd w:fill="0E2B3B"/>
            <w:vAlign w:val="center"/>
            <w:tcBorders>
              <w:bottom w:val="single" w:sz="8" w:color="D6A13C"/>
            </w:tcBorders>
          </w:tcPr>
          <w:p>
            <w:pPr>
              <w:jc w:val="center"/>
            </w:pPr>
            <w:r>
              <w:rPr>
                <w:b/>
                <w:color w:val="FFFFFF"/>
                <w:sz w:val="18"/>
              </w:rPr>
              <w:t>Weight</w:t>
            </w:r>
          </w:p>
        </w:tc>
        <w:tc>
          <w:tcPr>
            <w:tcW w:type="dxa" w:w="6048"/>
            <w:shd w:fill="0E2B3B"/>
            <w:vAlign w:val="center"/>
            <w:tcBorders>
              <w:bottom w:val="single" w:sz="8" w:color="D6A13C"/>
            </w:tcBorders>
          </w:tcPr>
          <w:p>
            <w:pPr>
              <w:jc w:val="center"/>
            </w:pPr>
            <w:r>
              <w:rPr>
                <w:b/>
                <w:color w:val="FFFFFF"/>
                <w:sz w:val="18"/>
              </w:rPr>
              <w:t>Passing evidence</w:t>
            </w:r>
          </w:p>
        </w:tc>
      </w:tr>
      <w:tr>
        <w:trPr>
          <w:cantSplit/>
        </w:trPr>
        <w:tc>
          <w:tcPr>
            <w:tcW w:type="dxa" w:w="2880"/>
            <w:vAlign w:val="top"/>
            <w:tcBorders>
              <w:bottom w:val="single" w:sz="2" w:color="D7DFE5"/>
            </w:tcBorders>
          </w:tcPr>
          <w:p>
            <w:pPr>
              <w:spacing w:after="20"/>
            </w:pPr>
            <w:r>
              <w:rPr>
                <w:b/>
                <w:color w:val="071827"/>
                <w:sz w:val="17"/>
              </w:rPr>
              <w:t>Value at stake</w:t>
            </w:r>
          </w:p>
        </w:tc>
        <w:tc>
          <w:tcPr>
            <w:tcW w:type="dxa" w:w="1152"/>
            <w:vAlign w:val="top"/>
            <w:tcBorders>
              <w:bottom w:val="single" w:sz="2" w:color="D7DFE5"/>
            </w:tcBorders>
          </w:tcPr>
          <w:p>
            <w:pPr>
              <w:spacing w:after="20"/>
            </w:pPr>
            <w:r>
              <w:rPr>
                <w:color w:val="24313D"/>
                <w:sz w:val="17"/>
              </w:rPr>
              <w:t>25</w:t>
            </w:r>
          </w:p>
        </w:tc>
        <w:tc>
          <w:tcPr>
            <w:tcW w:type="dxa" w:w="6048"/>
            <w:vAlign w:val="top"/>
            <w:tcBorders>
              <w:bottom w:val="single" w:sz="2" w:color="D7DFE5"/>
            </w:tcBorders>
          </w:tcPr>
          <w:p>
            <w:pPr>
              <w:spacing w:after="20"/>
            </w:pPr>
            <w:r>
              <w:rPr>
                <w:color w:val="24313D"/>
                <w:sz w:val="17"/>
              </w:rPr>
              <w:t>Conservative value ≥4× proposed first-year fee</w:t>
            </w:r>
          </w:p>
        </w:tc>
      </w:tr>
      <w:tr>
        <w:trPr>
          <w:cantSplit/>
        </w:trPr>
        <w:tc>
          <w:tcPr>
            <w:tcW w:type="dxa" w:w="2880"/>
            <w:vAlign w:val="top"/>
            <w:shd w:fill="F2F5F7"/>
            <w:tcBorders>
              <w:bottom w:val="single" w:sz="2" w:color="D7DFE5"/>
            </w:tcBorders>
          </w:tcPr>
          <w:p>
            <w:pPr>
              <w:spacing w:after="20"/>
            </w:pPr>
            <w:r>
              <w:rPr>
                <w:b/>
                <w:color w:val="071827"/>
                <w:sz w:val="17"/>
              </w:rPr>
              <w:t>Executive authority</w:t>
            </w:r>
          </w:p>
        </w:tc>
        <w:tc>
          <w:tcPr>
            <w:tcW w:type="dxa" w:w="1152"/>
            <w:vAlign w:val="top"/>
            <w:shd w:fill="F2F5F7"/>
            <w:tcBorders>
              <w:bottom w:val="single" w:sz="2" w:color="D7DFE5"/>
            </w:tcBorders>
          </w:tcPr>
          <w:p>
            <w:pPr>
              <w:spacing w:after="20"/>
            </w:pPr>
            <w:r>
              <w:rPr>
                <w:color w:val="24313D"/>
                <w:sz w:val="17"/>
              </w:rPr>
              <w:t>15</w:t>
            </w:r>
          </w:p>
        </w:tc>
        <w:tc>
          <w:tcPr>
            <w:tcW w:type="dxa" w:w="6048"/>
            <w:vAlign w:val="top"/>
            <w:shd w:fill="F2F5F7"/>
            <w:tcBorders>
              <w:bottom w:val="single" w:sz="2" w:color="D7DFE5"/>
            </w:tcBorders>
          </w:tcPr>
          <w:p>
            <w:pPr>
              <w:spacing w:after="20"/>
            </w:pPr>
            <w:r>
              <w:rPr>
                <w:color w:val="24313D"/>
                <w:sz w:val="17"/>
              </w:rPr>
              <w:t>Named sponsor can approve budget and acceptance</w:t>
            </w:r>
          </w:p>
        </w:tc>
      </w:tr>
      <w:tr>
        <w:trPr>
          <w:cantSplit/>
        </w:trPr>
        <w:tc>
          <w:tcPr>
            <w:tcW w:type="dxa" w:w="2880"/>
            <w:vAlign w:val="top"/>
            <w:tcBorders>
              <w:bottom w:val="single" w:sz="2" w:color="D7DFE5"/>
            </w:tcBorders>
          </w:tcPr>
          <w:p>
            <w:pPr>
              <w:spacing w:after="20"/>
            </w:pPr>
            <w:r>
              <w:rPr>
                <w:b/>
                <w:color w:val="071827"/>
                <w:sz w:val="17"/>
              </w:rPr>
              <w:t>Urgency</w:t>
            </w:r>
          </w:p>
        </w:tc>
        <w:tc>
          <w:tcPr>
            <w:tcW w:type="dxa" w:w="1152"/>
            <w:vAlign w:val="top"/>
            <w:tcBorders>
              <w:bottom w:val="single" w:sz="2" w:color="D7DFE5"/>
            </w:tcBorders>
          </w:tcPr>
          <w:p>
            <w:pPr>
              <w:spacing w:after="20"/>
            </w:pPr>
            <w:r>
              <w:rPr>
                <w:color w:val="24313D"/>
                <w:sz w:val="17"/>
              </w:rPr>
              <w:t>10</w:t>
            </w:r>
          </w:p>
        </w:tc>
        <w:tc>
          <w:tcPr>
            <w:tcW w:type="dxa" w:w="6048"/>
            <w:vAlign w:val="top"/>
            <w:tcBorders>
              <w:bottom w:val="single" w:sz="2" w:color="D7DFE5"/>
            </w:tcBorders>
          </w:tcPr>
          <w:p>
            <w:pPr>
              <w:spacing w:after="20"/>
            </w:pPr>
            <w:r>
              <w:rPr>
                <w:color w:val="24313D"/>
                <w:sz w:val="17"/>
              </w:rPr>
              <w:t>Decision within 90 days</w:t>
            </w:r>
          </w:p>
        </w:tc>
      </w:tr>
      <w:tr>
        <w:trPr>
          <w:cantSplit/>
        </w:trPr>
        <w:tc>
          <w:tcPr>
            <w:tcW w:type="dxa" w:w="2880"/>
            <w:vAlign w:val="top"/>
            <w:shd w:fill="F2F5F7"/>
            <w:tcBorders>
              <w:bottom w:val="single" w:sz="2" w:color="D7DFE5"/>
            </w:tcBorders>
          </w:tcPr>
          <w:p>
            <w:pPr>
              <w:spacing w:after="20"/>
            </w:pPr>
            <w:r>
              <w:rPr>
                <w:b/>
                <w:color w:val="071827"/>
                <w:sz w:val="17"/>
              </w:rPr>
              <w:t>Evidence readiness</w:t>
            </w:r>
          </w:p>
        </w:tc>
        <w:tc>
          <w:tcPr>
            <w:tcW w:type="dxa" w:w="1152"/>
            <w:vAlign w:val="top"/>
            <w:shd w:fill="F2F5F7"/>
            <w:tcBorders>
              <w:bottom w:val="single" w:sz="2" w:color="D7DFE5"/>
            </w:tcBorders>
          </w:tcPr>
          <w:p>
            <w:pPr>
              <w:spacing w:after="20"/>
            </w:pPr>
            <w:r>
              <w:rPr>
                <w:color w:val="24313D"/>
                <w:sz w:val="17"/>
              </w:rPr>
              <w:t>15</w:t>
            </w:r>
          </w:p>
        </w:tc>
        <w:tc>
          <w:tcPr>
            <w:tcW w:type="dxa" w:w="6048"/>
            <w:vAlign w:val="top"/>
            <w:shd w:fill="F2F5F7"/>
            <w:tcBorders>
              <w:bottom w:val="single" w:sz="2" w:color="D7DFE5"/>
            </w:tcBorders>
          </w:tcPr>
          <w:p>
            <w:pPr>
              <w:spacing w:after="20"/>
            </w:pPr>
            <w:r>
              <w:rPr>
                <w:color w:val="24313D"/>
                <w:sz w:val="17"/>
              </w:rPr>
              <w:t>Inputs available; acceptance can be frozen</w:t>
            </w:r>
          </w:p>
        </w:tc>
      </w:tr>
      <w:tr>
        <w:trPr>
          <w:cantSplit/>
        </w:trPr>
        <w:tc>
          <w:tcPr>
            <w:tcW w:type="dxa" w:w="2880"/>
            <w:vAlign w:val="top"/>
            <w:tcBorders>
              <w:bottom w:val="single" w:sz="2" w:color="D7DFE5"/>
            </w:tcBorders>
          </w:tcPr>
          <w:p>
            <w:pPr>
              <w:spacing w:after="20"/>
            </w:pPr>
            <w:r>
              <w:rPr>
                <w:b/>
                <w:color w:val="071827"/>
                <w:sz w:val="17"/>
              </w:rPr>
              <w:t>Repeat potential</w:t>
            </w:r>
          </w:p>
        </w:tc>
        <w:tc>
          <w:tcPr>
            <w:tcW w:type="dxa" w:w="1152"/>
            <w:vAlign w:val="top"/>
            <w:tcBorders>
              <w:bottom w:val="single" w:sz="2" w:color="D7DFE5"/>
            </w:tcBorders>
          </w:tcPr>
          <w:p>
            <w:pPr>
              <w:spacing w:after="20"/>
            </w:pPr>
            <w:r>
              <w:rPr>
                <w:color w:val="24313D"/>
                <w:sz w:val="17"/>
              </w:rPr>
              <w:t>15</w:t>
            </w:r>
          </w:p>
        </w:tc>
        <w:tc>
          <w:tcPr>
            <w:tcW w:type="dxa" w:w="6048"/>
            <w:vAlign w:val="top"/>
            <w:tcBorders>
              <w:bottom w:val="single" w:sz="2" w:color="D7DFE5"/>
            </w:tcBorders>
          </w:tcPr>
          <w:p>
            <w:pPr>
              <w:spacing w:after="20"/>
            </w:pPr>
            <w:r>
              <w:rPr>
                <w:color w:val="24313D"/>
                <w:sz w:val="17"/>
              </w:rPr>
              <w:t>Continuing monitoring, claim, governance or commercial need</w:t>
            </w:r>
          </w:p>
        </w:tc>
      </w:tr>
      <w:tr>
        <w:trPr>
          <w:cantSplit/>
        </w:trPr>
        <w:tc>
          <w:tcPr>
            <w:tcW w:type="dxa" w:w="2880"/>
            <w:vAlign w:val="top"/>
            <w:shd w:fill="F2F5F7"/>
            <w:tcBorders>
              <w:bottom w:val="single" w:sz="2" w:color="D7DFE5"/>
            </w:tcBorders>
          </w:tcPr>
          <w:p>
            <w:pPr>
              <w:spacing w:after="20"/>
            </w:pPr>
            <w:r>
              <w:rPr>
                <w:b/>
                <w:color w:val="071827"/>
                <w:sz w:val="17"/>
              </w:rPr>
              <w:t>Scope fit</w:t>
            </w:r>
          </w:p>
        </w:tc>
        <w:tc>
          <w:tcPr>
            <w:tcW w:type="dxa" w:w="1152"/>
            <w:vAlign w:val="top"/>
            <w:shd w:fill="F2F5F7"/>
            <w:tcBorders>
              <w:bottom w:val="single" w:sz="2" w:color="D7DFE5"/>
            </w:tcBorders>
          </w:tcPr>
          <w:p>
            <w:pPr>
              <w:spacing w:after="20"/>
            </w:pPr>
            <w:r>
              <w:rPr>
                <w:color w:val="24313D"/>
                <w:sz w:val="17"/>
              </w:rPr>
              <w:t>10</w:t>
            </w:r>
          </w:p>
        </w:tc>
        <w:tc>
          <w:tcPr>
            <w:tcW w:type="dxa" w:w="6048"/>
            <w:vAlign w:val="top"/>
            <w:shd w:fill="F2F5F7"/>
            <w:tcBorders>
              <w:bottom w:val="single" w:sz="2" w:color="D7DFE5"/>
            </w:tcBorders>
          </w:tcPr>
          <w:p>
            <w:pPr>
              <w:spacing w:after="20"/>
            </w:pPr>
            <w:r>
              <w:rPr>
                <w:color w:val="24313D"/>
                <w:sz w:val="17"/>
              </w:rPr>
              <w:t>Standard mission class; bounded exclusions</w:t>
            </w:r>
          </w:p>
        </w:tc>
      </w:tr>
      <w:tr>
        <w:trPr>
          <w:cantSplit/>
        </w:trPr>
        <w:tc>
          <w:tcPr>
            <w:tcW w:type="dxa" w:w="2880"/>
            <w:vAlign w:val="top"/>
            <w:tcBorders>
              <w:bottom w:val="single" w:sz="2" w:color="D7DFE5"/>
            </w:tcBorders>
          </w:tcPr>
          <w:p>
            <w:pPr>
              <w:spacing w:after="20"/>
            </w:pPr>
            <w:r>
              <w:rPr>
                <w:b/>
                <w:color w:val="071827"/>
                <w:sz w:val="17"/>
              </w:rPr>
              <w:t>Rights clarity</w:t>
            </w:r>
          </w:p>
        </w:tc>
        <w:tc>
          <w:tcPr>
            <w:tcW w:type="dxa" w:w="1152"/>
            <w:vAlign w:val="top"/>
            <w:tcBorders>
              <w:bottom w:val="single" w:sz="2" w:color="D7DFE5"/>
            </w:tcBorders>
          </w:tcPr>
          <w:p>
            <w:pPr>
              <w:spacing w:after="20"/>
            </w:pPr>
            <w:r>
              <w:rPr>
                <w:color w:val="24313D"/>
                <w:sz w:val="17"/>
              </w:rPr>
              <w:t>5</w:t>
            </w:r>
          </w:p>
        </w:tc>
        <w:tc>
          <w:tcPr>
            <w:tcW w:type="dxa" w:w="6048"/>
            <w:vAlign w:val="top"/>
            <w:tcBorders>
              <w:bottom w:val="single" w:sz="2" w:color="D7DFE5"/>
            </w:tcBorders>
          </w:tcPr>
          <w:p>
            <w:pPr>
              <w:spacing w:after="20"/>
            </w:pPr>
            <w:r>
              <w:rPr>
                <w:color w:val="24313D"/>
                <w:sz w:val="17"/>
              </w:rPr>
              <w:t>Learning and reuse treatment can be contracted</w:t>
            </w:r>
          </w:p>
        </w:tc>
      </w:tr>
      <w:tr>
        <w:trPr>
          <w:cantSplit/>
        </w:trPr>
        <w:tc>
          <w:tcPr>
            <w:tcW w:type="dxa" w:w="2880"/>
            <w:vAlign w:val="top"/>
            <w:shd w:fill="F2F5F7"/>
            <w:tcBorders>
              <w:bottom w:val="single" w:sz="2" w:color="D7DFE5"/>
            </w:tcBorders>
          </w:tcPr>
          <w:p>
            <w:pPr>
              <w:spacing w:after="20"/>
            </w:pPr>
            <w:r>
              <w:rPr>
                <w:b/>
                <w:color w:val="071827"/>
                <w:sz w:val="17"/>
              </w:rPr>
              <w:t>Risk fit</w:t>
            </w:r>
          </w:p>
        </w:tc>
        <w:tc>
          <w:tcPr>
            <w:tcW w:type="dxa" w:w="1152"/>
            <w:vAlign w:val="top"/>
            <w:shd w:fill="F2F5F7"/>
            <w:tcBorders>
              <w:bottom w:val="single" w:sz="2" w:color="D7DFE5"/>
            </w:tcBorders>
          </w:tcPr>
          <w:p>
            <w:pPr>
              <w:spacing w:after="20"/>
            </w:pPr>
            <w:r>
              <w:rPr>
                <w:color w:val="24313D"/>
                <w:sz w:val="17"/>
              </w:rPr>
              <w:t>5</w:t>
            </w:r>
          </w:p>
        </w:tc>
        <w:tc>
          <w:tcPr>
            <w:tcW w:type="dxa" w:w="6048"/>
            <w:vAlign w:val="top"/>
            <w:shd w:fill="F2F5F7"/>
            <w:tcBorders>
              <w:bottom w:val="single" w:sz="2" w:color="D7DFE5"/>
            </w:tcBorders>
          </w:tcPr>
          <w:p>
            <w:pPr>
              <w:spacing w:after="20"/>
            </w:pPr>
            <w:r>
              <w:rPr>
                <w:color w:val="24313D"/>
                <w:sz w:val="17"/>
              </w:rPr>
              <w:t>No prohibited or unmanageable high-consequence path</w:t>
            </w:r>
          </w:p>
        </w:tc>
      </w:tr>
    </w:tbl>
    <w:p>
      <w:pPr>
        <w:spacing w:after="0"/>
      </w:pPr>
    </w:p>
    <w:p>
      <w:pPr>
        <w:pStyle w:val="Heading1"/>
      </w:pPr>
      <w:r>
        <w:t>4. Pricing engine</w:t>
      </w:r>
    </w:p>
    <w:tbl>
      <w:tblPr>
        <w:tblW w:type="auto" w:w="0"/>
        <w:jc w:val="center"/>
        <w:tblLayout w:type="fixed"/>
        <w:tblLook w:firstColumn="1" w:firstRow="1" w:lastColumn="0" w:lastRow="0" w:noHBand="0" w:noVBand="1" w:val="04A0"/>
      </w:tblPr>
      <w:tblGrid>
        <w:gridCol w:w="9936"/>
      </w:tblGrid>
      <w:tr>
        <w:tc>
          <w:tcPr>
            <w:tcW w:type="dxa" w:w="10166"/>
            <w:shd w:fill="F5EEDC"/>
            <w:tcBorders>
              <w:top w:val="single" w:sz="4" w:color="D6A13C"/>
              <w:left w:val="single" w:sz="18" w:color="D6A13C"/>
              <w:bottom w:val="single" w:sz="4" w:color="D6A13C"/>
              <w:right w:val="single" w:sz="4" w:color="D6A13C"/>
            </w:tcBorders>
          </w:tcPr>
          <w:p>
            <w:pPr>
              <w:pStyle w:val="QuoteGoalOS"/>
              <w:jc w:val="left"/>
            </w:pPr>
            <w:r>
              <w:t>Quoted price = max[5–15% of conservative attributable value, expected variable cost ÷ (1 − target gross margin)] + assurance / exclusivity / complexity adjustments.</w:t>
            </w:r>
          </w:p>
        </w:tc>
      </w:tr>
    </w:tbl>
    <w:p>
      <w:pPr>
        <w:spacing w:after="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12"/>
            <w:shd w:fill="0E2B3B"/>
            <w:vAlign w:val="center"/>
            <w:tcBorders>
              <w:bottom w:val="single" w:sz="8" w:color="D6A13C"/>
            </w:tcBorders>
          </w:tcPr>
          <w:p>
            <w:pPr>
              <w:jc w:val="center"/>
            </w:pPr>
            <w:r>
              <w:rPr>
                <w:b/>
                <w:color w:val="FFFFFF"/>
                <w:sz w:val="18"/>
              </w:rPr>
              <w:t>Adjustment</w:t>
            </w:r>
          </w:p>
        </w:tc>
        <w:tc>
          <w:tcPr>
            <w:tcW w:type="dxa" w:w="6768"/>
            <w:shd w:fill="0E2B3B"/>
            <w:vAlign w:val="center"/>
            <w:tcBorders>
              <w:bottom w:val="single" w:sz="8" w:color="D6A13C"/>
            </w:tcBorders>
          </w:tcPr>
          <w:p>
            <w:pPr>
              <w:jc w:val="center"/>
            </w:pPr>
            <w:r>
              <w:rPr>
                <w:b/>
                <w:color w:val="FFFFFF"/>
                <w:sz w:val="18"/>
              </w:rPr>
              <w:t>Rule</w:t>
            </w:r>
          </w:p>
        </w:tc>
      </w:tr>
      <w:tr>
        <w:trPr>
          <w:cantSplit/>
        </w:trPr>
        <w:tc>
          <w:tcPr>
            <w:tcW w:type="dxa" w:w="3312"/>
            <w:vAlign w:val="top"/>
            <w:tcBorders>
              <w:bottom w:val="single" w:sz="2" w:color="D7DFE5"/>
            </w:tcBorders>
          </w:tcPr>
          <w:p>
            <w:pPr>
              <w:spacing w:after="20"/>
            </w:pPr>
            <w:r>
              <w:rPr>
                <w:b/>
                <w:color w:val="071827"/>
                <w:sz w:val="17"/>
              </w:rPr>
              <w:t>Customer-private learning</w:t>
            </w:r>
          </w:p>
        </w:tc>
        <w:tc>
          <w:tcPr>
            <w:tcW w:type="dxa" w:w="6768"/>
            <w:vAlign w:val="top"/>
            <w:tcBorders>
              <w:bottom w:val="single" w:sz="2" w:color="D7DFE5"/>
            </w:tcBorders>
          </w:tcPr>
          <w:p>
            <w:pPr>
              <w:spacing w:after="20"/>
            </w:pPr>
            <w:r>
              <w:rPr>
                <w:color w:val="24313D"/>
                <w:sz w:val="17"/>
              </w:rPr>
              <w:t>Add 25–50%</w:t>
            </w:r>
          </w:p>
        </w:tc>
      </w:tr>
      <w:tr>
        <w:trPr>
          <w:cantSplit/>
        </w:trPr>
        <w:tc>
          <w:tcPr>
            <w:tcW w:type="dxa" w:w="3312"/>
            <w:vAlign w:val="top"/>
            <w:shd w:fill="F2F5F7"/>
            <w:tcBorders>
              <w:bottom w:val="single" w:sz="2" w:color="D7DFE5"/>
            </w:tcBorders>
          </w:tcPr>
          <w:p>
            <w:pPr>
              <w:spacing w:after="20"/>
            </w:pPr>
            <w:r>
              <w:rPr>
                <w:b/>
                <w:color w:val="071827"/>
                <w:sz w:val="17"/>
              </w:rPr>
              <w:t>Sector or time-limited exclusivity</w:t>
            </w:r>
          </w:p>
        </w:tc>
        <w:tc>
          <w:tcPr>
            <w:tcW w:type="dxa" w:w="6768"/>
            <w:vAlign w:val="top"/>
            <w:shd w:fill="F2F5F7"/>
            <w:tcBorders>
              <w:bottom w:val="single" w:sz="2" w:color="D7DFE5"/>
            </w:tcBorders>
          </w:tcPr>
          <w:p>
            <w:pPr>
              <w:spacing w:after="20"/>
            </w:pPr>
            <w:r>
              <w:rPr>
                <w:color w:val="24313D"/>
                <w:sz w:val="17"/>
              </w:rPr>
              <w:t>Add 100–300%</w:t>
            </w:r>
          </w:p>
        </w:tc>
      </w:tr>
      <w:tr>
        <w:trPr>
          <w:cantSplit/>
        </w:trPr>
        <w:tc>
          <w:tcPr>
            <w:tcW w:type="dxa" w:w="3312"/>
            <w:vAlign w:val="top"/>
            <w:tcBorders>
              <w:bottom w:val="single" w:sz="2" w:color="D7DFE5"/>
            </w:tcBorders>
          </w:tcPr>
          <w:p>
            <w:pPr>
              <w:spacing w:after="20"/>
            </w:pPr>
            <w:r>
              <w:rPr>
                <w:b/>
                <w:color w:val="071827"/>
                <w:sz w:val="17"/>
              </w:rPr>
              <w:t>Expedited delivery</w:t>
            </w:r>
          </w:p>
        </w:tc>
        <w:tc>
          <w:tcPr>
            <w:tcW w:type="dxa" w:w="6768"/>
            <w:vAlign w:val="top"/>
            <w:tcBorders>
              <w:bottom w:val="single" w:sz="2" w:color="D7DFE5"/>
            </w:tcBorders>
          </w:tcPr>
          <w:p>
            <w:pPr>
              <w:spacing w:after="20"/>
            </w:pPr>
            <w:r>
              <w:rPr>
                <w:color w:val="24313D"/>
                <w:sz w:val="17"/>
              </w:rPr>
              <w:t>Add 25–50%</w:t>
            </w:r>
          </w:p>
        </w:tc>
      </w:tr>
      <w:tr>
        <w:trPr>
          <w:cantSplit/>
        </w:trPr>
        <w:tc>
          <w:tcPr>
            <w:tcW w:type="dxa" w:w="3312"/>
            <w:vAlign w:val="top"/>
            <w:shd w:fill="F2F5F7"/>
            <w:tcBorders>
              <w:bottom w:val="single" w:sz="2" w:color="D7DFE5"/>
            </w:tcBorders>
          </w:tcPr>
          <w:p>
            <w:pPr>
              <w:spacing w:after="20"/>
            </w:pPr>
            <w:r>
              <w:rPr>
                <w:b/>
                <w:color w:val="071827"/>
                <w:sz w:val="17"/>
              </w:rPr>
              <w:t>Regulated / external-specialist review</w:t>
            </w:r>
          </w:p>
        </w:tc>
        <w:tc>
          <w:tcPr>
            <w:tcW w:type="dxa" w:w="6768"/>
            <w:vAlign w:val="top"/>
            <w:shd w:fill="F2F5F7"/>
            <w:tcBorders>
              <w:bottom w:val="single" w:sz="2" w:color="D7DFE5"/>
            </w:tcBorders>
          </w:tcPr>
          <w:p>
            <w:pPr>
              <w:spacing w:after="20"/>
            </w:pPr>
            <w:r>
              <w:rPr>
                <w:color w:val="24313D"/>
                <w:sz w:val="17"/>
              </w:rPr>
              <w:t>Pass through cost + assurance margin</w:t>
            </w:r>
          </w:p>
        </w:tc>
      </w:tr>
      <w:tr>
        <w:trPr>
          <w:cantSplit/>
        </w:trPr>
        <w:tc>
          <w:tcPr>
            <w:tcW w:type="dxa" w:w="3312"/>
            <w:vAlign w:val="top"/>
            <w:tcBorders>
              <w:bottom w:val="single" w:sz="2" w:color="D7DFE5"/>
            </w:tcBorders>
          </w:tcPr>
          <w:p>
            <w:pPr>
              <w:spacing w:after="20"/>
            </w:pPr>
            <w:r>
              <w:rPr>
                <w:b/>
                <w:color w:val="071827"/>
                <w:sz w:val="17"/>
              </w:rPr>
              <w:t>Nonstandard data or integration</w:t>
            </w:r>
          </w:p>
        </w:tc>
        <w:tc>
          <w:tcPr>
            <w:tcW w:type="dxa" w:w="6768"/>
            <w:vAlign w:val="top"/>
            <w:tcBorders>
              <w:bottom w:val="single" w:sz="2" w:color="D7DFE5"/>
            </w:tcBorders>
          </w:tcPr>
          <w:p>
            <w:pPr>
              <w:spacing w:after="20"/>
            </w:pPr>
            <w:r>
              <w:rPr>
                <w:color w:val="24313D"/>
                <w:sz w:val="17"/>
              </w:rPr>
              <w:t>Separate module; never hide in standard price</w:t>
            </w:r>
          </w:p>
        </w:tc>
      </w:tr>
      <w:tr>
        <w:trPr>
          <w:cantSplit/>
        </w:trPr>
        <w:tc>
          <w:tcPr>
            <w:tcW w:type="dxa" w:w="3312"/>
            <w:vAlign w:val="top"/>
            <w:shd w:fill="F2F5F7"/>
            <w:tcBorders>
              <w:bottom w:val="single" w:sz="2" w:color="D7DFE5"/>
            </w:tcBorders>
          </w:tcPr>
          <w:p>
            <w:pPr>
              <w:spacing w:after="20"/>
            </w:pPr>
            <w:r>
              <w:rPr>
                <w:b/>
                <w:color w:val="071827"/>
                <w:sz w:val="17"/>
              </w:rPr>
              <w:t>Customer-proposed discount</w:t>
            </w:r>
          </w:p>
        </w:tc>
        <w:tc>
          <w:tcPr>
            <w:tcW w:type="dxa" w:w="6768"/>
            <w:vAlign w:val="top"/>
            <w:shd w:fill="F2F5F7"/>
            <w:tcBorders>
              <w:bottom w:val="single" w:sz="2" w:color="D7DFE5"/>
            </w:tcBorders>
          </w:tcPr>
          <w:p>
            <w:pPr>
              <w:spacing w:after="20"/>
            </w:pPr>
            <w:r>
              <w:rPr>
                <w:color w:val="24313D"/>
                <w:sz w:val="17"/>
              </w:rPr>
              <w:t>Reduce scope, rights, assurance or service level—never breach margin floor</w:t>
            </w:r>
          </w:p>
        </w:tc>
      </w:tr>
      <w:tr>
        <w:trPr>
          <w:cantSplit/>
        </w:trPr>
        <w:tc>
          <w:tcPr>
            <w:tcW w:type="dxa" w:w="3312"/>
            <w:vAlign w:val="top"/>
            <w:tcBorders>
              <w:bottom w:val="single" w:sz="2" w:color="D7DFE5"/>
            </w:tcBorders>
          </w:tcPr>
          <w:p>
            <w:pPr>
              <w:spacing w:after="20"/>
            </w:pPr>
            <w:r>
              <w:rPr>
                <w:b/>
                <w:color w:val="071827"/>
                <w:sz w:val="17"/>
              </w:rPr>
              <w:t>Outcome fee</w:t>
            </w:r>
          </w:p>
        </w:tc>
        <w:tc>
          <w:tcPr>
            <w:tcW w:type="dxa" w:w="6768"/>
            <w:vAlign w:val="top"/>
            <w:tcBorders>
              <w:bottom w:val="single" w:sz="2" w:color="D7DFE5"/>
            </w:tcBorders>
          </w:tcPr>
          <w:p>
            <w:pPr>
              <w:spacing w:after="20"/>
            </w:pPr>
            <w:r>
              <w:rPr>
                <w:color w:val="24313D"/>
                <w:sz w:val="17"/>
              </w:rPr>
              <w:t>Optional 5–10% of independently attributable incremental value where lawful; fixed fee remains</w:t>
            </w:r>
          </w:p>
        </w:tc>
      </w:tr>
    </w:tbl>
    <w:p>
      <w:pPr>
        <w:spacing w:after="0"/>
      </w:pPr>
    </w:p>
    <w:p>
      <w:pPr>
        <w:pStyle w:val="Heading1"/>
      </w:pPr>
      <w:r>
        <w:t>5. Approved contract path</w:t>
      </w:r>
    </w:p>
    <w:p>
      <w:pPr>
        <w:spacing w:after="40"/>
        <w:ind w:left="259" w:hanging="259"/>
      </w:pPr>
      <w:r>
        <w:rPr>
          <w:b/>
        </w:rPr>
        <w:t xml:space="preserve">1. </w:t>
      </w:r>
      <w:r>
        <w:t>Standard position.</w:t>
      </w:r>
    </w:p>
    <w:p>
      <w:pPr>
        <w:spacing w:after="40"/>
        <w:ind w:left="259" w:hanging="259"/>
      </w:pPr>
      <w:r>
        <w:rPr>
          <w:b/>
        </w:rPr>
        <w:t xml:space="preserve">2. </w:t>
      </w:r>
      <w:r>
        <w:t>Approved fallback A.</w:t>
      </w:r>
    </w:p>
    <w:p>
      <w:pPr>
        <w:spacing w:after="40"/>
        <w:ind w:left="259" w:hanging="259"/>
      </w:pPr>
      <w:r>
        <w:rPr>
          <w:b/>
        </w:rPr>
        <w:t xml:space="preserve">3. </w:t>
      </w:r>
      <w:r>
        <w:t>Approved fallback B.</w:t>
      </w:r>
    </w:p>
    <w:p>
      <w:pPr>
        <w:spacing w:after="40"/>
        <w:ind w:left="259" w:hanging="259"/>
      </w:pPr>
      <w:r>
        <w:rPr>
          <w:b/>
        </w:rPr>
        <w:t xml:space="preserve">4. </w:t>
      </w:r>
      <w:r>
        <w:t>Approved price or scope adjustment.</w:t>
      </w:r>
    </w:p>
    <w:p>
      <w:pPr>
        <w:spacing w:after="40"/>
        <w:ind w:left="259" w:hanging="259"/>
      </w:pPr>
      <w:r>
        <w:rPr>
          <w:b/>
        </w:rPr>
        <w:t xml:space="preserve">5. </w:t>
      </w:r>
      <w:r>
        <w:t>Decline.</w:t>
      </w:r>
    </w:p>
    <w:p>
      <w:r>
        <w:t>The autonomous deal room may negotiate only within a counsel-approved clause library. Unlimited liability, unsupported warranties, customer ownership of the private capability network, uneconomic payment terms, unbounded use rights or prohibited data access cause automatic repricing, scope reduction or rejection.</w:t>
      </w:r>
    </w:p>
    <w:p>
      <w:pPr>
        <w:pStyle w:val="Heading1"/>
      </w:pPr>
      <w:r>
        <w:t>6. Claim and evidence policy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0E2B3B"/>
            <w:vAlign w:val="center"/>
            <w:tcBorders>
              <w:bottom w:val="single" w:sz="8" w:color="D6A13C"/>
            </w:tcBorders>
          </w:tcPr>
          <w:p>
            <w:pPr>
              <w:jc w:val="center"/>
            </w:pPr>
            <w:r>
              <w:rPr>
                <w:b/>
                <w:color w:val="FFFFFF"/>
                <w:sz w:val="18"/>
              </w:rPr>
              <w:t>Claim class</w:t>
            </w:r>
          </w:p>
        </w:tc>
        <w:tc>
          <w:tcPr>
            <w:tcW w:type="dxa" w:w="7200"/>
            <w:shd w:fill="0E2B3B"/>
            <w:vAlign w:val="center"/>
            <w:tcBorders>
              <w:bottom w:val="single" w:sz="8" w:color="D6A13C"/>
            </w:tcBorders>
          </w:tcPr>
          <w:p>
            <w:pPr>
              <w:jc w:val="center"/>
            </w:pPr>
            <w:r>
              <w:rPr>
                <w:b/>
                <w:color w:val="FFFFFF"/>
                <w:sz w:val="18"/>
              </w:rPr>
              <w:t>Rule</w:t>
            </w:r>
          </w:p>
        </w:tc>
      </w:tr>
      <w:tr>
        <w:trPr>
          <w:cantSplit/>
        </w:trPr>
        <w:tc>
          <w:tcPr>
            <w:tcW w:type="dxa" w:w="2880"/>
            <w:vAlign w:val="top"/>
            <w:tcBorders>
              <w:bottom w:val="single" w:sz="2" w:color="D7DFE5"/>
            </w:tcBorders>
          </w:tcPr>
          <w:p>
            <w:pPr>
              <w:spacing w:after="20"/>
            </w:pPr>
            <w:r>
              <w:rPr>
                <w:b/>
                <w:color w:val="071827"/>
                <w:sz w:val="17"/>
              </w:rPr>
              <w:t>Product capability</w:t>
            </w:r>
          </w:p>
        </w:tc>
        <w:tc>
          <w:tcPr>
            <w:tcW w:type="dxa" w:w="7200"/>
            <w:vAlign w:val="top"/>
            <w:tcBorders>
              <w:bottom w:val="single" w:sz="2" w:color="D7DFE5"/>
            </w:tcBorders>
          </w:tcPr>
          <w:p>
            <w:pPr>
              <w:spacing w:after="20"/>
            </w:pPr>
            <w:r>
              <w:rPr>
                <w:color w:val="24313D"/>
                <w:sz w:val="17"/>
              </w:rPr>
              <w:t>Answer only from current, approved and versioned product records</w:t>
            </w:r>
          </w:p>
        </w:tc>
      </w:tr>
      <w:tr>
        <w:trPr>
          <w:cantSplit/>
        </w:trPr>
        <w:tc>
          <w:tcPr>
            <w:tcW w:type="dxa" w:w="2880"/>
            <w:vAlign w:val="top"/>
            <w:shd w:fill="F2F5F7"/>
            <w:tcBorders>
              <w:bottom w:val="single" w:sz="2" w:color="D7DFE5"/>
            </w:tcBorders>
          </w:tcPr>
          <w:p>
            <w:pPr>
              <w:spacing w:after="20"/>
            </w:pPr>
            <w:r>
              <w:rPr>
                <w:b/>
                <w:color w:val="071827"/>
                <w:sz w:val="17"/>
              </w:rPr>
              <w:t>Security / privacy</w:t>
            </w:r>
          </w:p>
        </w:tc>
        <w:tc>
          <w:tcPr>
            <w:tcW w:type="dxa" w:w="7200"/>
            <w:vAlign w:val="top"/>
            <w:shd w:fill="F2F5F7"/>
            <w:tcBorders>
              <w:bottom w:val="single" w:sz="2" w:color="D7DFE5"/>
            </w:tcBorders>
          </w:tcPr>
          <w:p>
            <w:pPr>
              <w:spacing w:after="20"/>
            </w:pPr>
            <w:r>
              <w:rPr>
                <w:color w:val="24313D"/>
                <w:sz w:val="17"/>
              </w:rPr>
              <w:t>Never invent certification or control; cite exact approved evidence</w:t>
            </w:r>
          </w:p>
        </w:tc>
      </w:tr>
      <w:tr>
        <w:trPr>
          <w:cantSplit/>
        </w:trPr>
        <w:tc>
          <w:tcPr>
            <w:tcW w:type="dxa" w:w="2880"/>
            <w:vAlign w:val="top"/>
            <w:tcBorders>
              <w:bottom w:val="single" w:sz="2" w:color="D7DFE5"/>
            </w:tcBorders>
          </w:tcPr>
          <w:p>
            <w:pPr>
              <w:spacing w:after="20"/>
            </w:pPr>
            <w:r>
              <w:rPr>
                <w:b/>
                <w:color w:val="071827"/>
                <w:sz w:val="17"/>
              </w:rPr>
              <w:t>Customer outcomes</w:t>
            </w:r>
          </w:p>
        </w:tc>
        <w:tc>
          <w:tcPr>
            <w:tcW w:type="dxa" w:w="7200"/>
            <w:vAlign w:val="top"/>
            <w:tcBorders>
              <w:bottom w:val="single" w:sz="2" w:color="D7DFE5"/>
            </w:tcBorders>
          </w:tcPr>
          <w:p>
            <w:pPr>
              <w:spacing w:after="20"/>
            </w:pPr>
            <w:r>
              <w:rPr>
                <w:color w:val="24313D"/>
                <w:sz w:val="17"/>
              </w:rPr>
              <w:t>Use only customer-authorized, bounded and current evidence</w:t>
            </w:r>
          </w:p>
        </w:tc>
      </w:tr>
      <w:tr>
        <w:trPr>
          <w:cantSplit/>
        </w:trPr>
        <w:tc>
          <w:tcPr>
            <w:tcW w:type="dxa" w:w="2880"/>
            <w:vAlign w:val="top"/>
            <w:shd w:fill="F2F5F7"/>
            <w:tcBorders>
              <w:bottom w:val="single" w:sz="2" w:color="D7DFE5"/>
            </w:tcBorders>
          </w:tcPr>
          <w:p>
            <w:pPr>
              <w:spacing w:after="20"/>
            </w:pPr>
            <w:r>
              <w:rPr>
                <w:b/>
                <w:color w:val="071827"/>
                <w:sz w:val="17"/>
              </w:rPr>
              <w:t>Financial ROI</w:t>
            </w:r>
          </w:p>
        </w:tc>
        <w:tc>
          <w:tcPr>
            <w:tcW w:type="dxa" w:w="7200"/>
            <w:vAlign w:val="top"/>
            <w:shd w:fill="F2F5F7"/>
            <w:tcBorders>
              <w:bottom w:val="single" w:sz="2" w:color="D7DFE5"/>
            </w:tcBorders>
          </w:tcPr>
          <w:p>
            <w:pPr>
              <w:spacing w:after="20"/>
            </w:pPr>
            <w:r>
              <w:rPr>
                <w:color w:val="24313D"/>
                <w:sz w:val="17"/>
              </w:rPr>
              <w:t>Label forecast, supported and realized value separately</w:t>
            </w:r>
          </w:p>
        </w:tc>
      </w:tr>
      <w:tr>
        <w:trPr>
          <w:cantSplit/>
        </w:trPr>
        <w:tc>
          <w:tcPr>
            <w:tcW w:type="dxa" w:w="2880"/>
            <w:vAlign w:val="top"/>
            <w:tcBorders>
              <w:bottom w:val="single" w:sz="2" w:color="D7DFE5"/>
            </w:tcBorders>
          </w:tcPr>
          <w:p>
            <w:pPr>
              <w:spacing w:after="20"/>
            </w:pPr>
            <w:r>
              <w:rPr>
                <w:b/>
                <w:color w:val="071827"/>
                <w:sz w:val="17"/>
              </w:rPr>
              <w:t>Delivery date</w:t>
            </w:r>
          </w:p>
        </w:tc>
        <w:tc>
          <w:tcPr>
            <w:tcW w:type="dxa" w:w="7200"/>
            <w:vAlign w:val="top"/>
            <w:tcBorders>
              <w:bottom w:val="single" w:sz="2" w:color="D7DFE5"/>
            </w:tcBorders>
          </w:tcPr>
          <w:p>
            <w:pPr>
              <w:spacing w:after="20"/>
            </w:pPr>
            <w:r>
              <w:rPr>
                <w:color w:val="24313D"/>
                <w:sz w:val="17"/>
              </w:rPr>
              <w:t>Quote only reserved capacity and standard-scope timing</w:t>
            </w:r>
          </w:p>
        </w:tc>
      </w:tr>
      <w:tr>
        <w:trPr>
          <w:cantSplit/>
        </w:trPr>
        <w:tc>
          <w:tcPr>
            <w:tcW w:type="dxa" w:w="2880"/>
            <w:vAlign w:val="top"/>
            <w:shd w:fill="F2F5F7"/>
            <w:tcBorders>
              <w:bottom w:val="single" w:sz="2" w:color="D7DFE5"/>
            </w:tcBorders>
          </w:tcPr>
          <w:p>
            <w:pPr>
              <w:spacing w:after="20"/>
            </w:pPr>
            <w:r>
              <w:rPr>
                <w:b/>
                <w:color w:val="071827"/>
                <w:sz w:val="17"/>
              </w:rPr>
              <w:t>Legal / regulatory</w:t>
            </w:r>
          </w:p>
        </w:tc>
        <w:tc>
          <w:tcPr>
            <w:tcW w:type="dxa" w:w="7200"/>
            <w:vAlign w:val="top"/>
            <w:shd w:fill="F2F5F7"/>
            <w:tcBorders>
              <w:bottom w:val="single" w:sz="2" w:color="D7DFE5"/>
            </w:tcBorders>
          </w:tcPr>
          <w:p>
            <w:pPr>
              <w:spacing w:after="20"/>
            </w:pPr>
            <w:r>
              <w:rPr>
                <w:color w:val="24313D"/>
                <w:sz w:val="17"/>
              </w:rPr>
              <w:t>Provide readiness and evidence management; qualified professionals retain formal opinions</w:t>
            </w:r>
          </w:p>
        </w:tc>
      </w:tr>
      <w:tr>
        <w:trPr>
          <w:cantSplit/>
        </w:trPr>
        <w:tc>
          <w:tcPr>
            <w:tcW w:type="dxa" w:w="2880"/>
            <w:vAlign w:val="top"/>
            <w:tcBorders>
              <w:bottom w:val="single" w:sz="2" w:color="D7DFE5"/>
            </w:tcBorders>
          </w:tcPr>
          <w:p>
            <w:pPr>
              <w:spacing w:after="20"/>
            </w:pPr>
            <w:r>
              <w:rPr>
                <w:b/>
                <w:color w:val="071827"/>
                <w:sz w:val="17"/>
              </w:rPr>
              <w:t>Competitive claims</w:t>
            </w:r>
          </w:p>
        </w:tc>
        <w:tc>
          <w:tcPr>
            <w:tcW w:type="dxa" w:w="7200"/>
            <w:vAlign w:val="top"/>
            <w:tcBorders>
              <w:bottom w:val="single" w:sz="2" w:color="D7DFE5"/>
            </w:tcBorders>
          </w:tcPr>
          <w:p>
            <w:pPr>
              <w:spacing w:after="20"/>
            </w:pPr>
            <w:r>
              <w:rPr>
                <w:color w:val="24313D"/>
                <w:sz w:val="17"/>
              </w:rPr>
              <w:t>Use sourced, date-stamped comparisons with limitations</w:t>
            </w:r>
          </w:p>
        </w:tc>
      </w:tr>
    </w:tbl>
    <w:p>
      <w:pPr>
        <w:spacing w:after="0"/>
      </w:pPr>
    </w:p>
    <w:p>
      <w:pPr>
        <w:pStyle w:val="Heading1"/>
      </w:pPr>
      <w:r>
        <w:t>7. Proof Office conversion</w:t>
      </w:r>
    </w:p>
    <w:p>
      <w:r>
        <w:t>The conversion should be generated from the delivered Evidence Docket, not from a generic subscription pitch.</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464"/>
            <w:shd w:fill="0E2B3B"/>
            <w:vAlign w:val="center"/>
            <w:tcBorders>
              <w:bottom w:val="single" w:sz="8" w:color="D6A13C"/>
            </w:tcBorders>
          </w:tcPr>
          <w:p>
            <w:pPr>
              <w:jc w:val="center"/>
            </w:pPr>
            <w:r>
              <w:rPr>
                <w:b/>
                <w:color w:val="FFFFFF"/>
                <w:sz w:val="18"/>
              </w:rPr>
              <w:t>Evidence from first mission</w:t>
            </w:r>
          </w:p>
        </w:tc>
        <w:tc>
          <w:tcPr>
            <w:tcW w:type="dxa" w:w="5616"/>
            <w:shd w:fill="0E2B3B"/>
            <w:vAlign w:val="center"/>
            <w:tcBorders>
              <w:bottom w:val="single" w:sz="8" w:color="D6A13C"/>
            </w:tcBorders>
          </w:tcPr>
          <w:p>
            <w:pPr>
              <w:jc w:val="center"/>
            </w:pPr>
            <w:r>
              <w:rPr>
                <w:b/>
                <w:color w:val="FFFFFF"/>
                <w:sz w:val="18"/>
              </w:rPr>
              <w:t>Proof Office module</w:t>
            </w:r>
          </w:p>
        </w:tc>
      </w:tr>
      <w:tr>
        <w:trPr>
          <w:cantSplit/>
        </w:trPr>
        <w:tc>
          <w:tcPr>
            <w:tcW w:type="dxa" w:w="4464"/>
            <w:vAlign w:val="top"/>
            <w:tcBorders>
              <w:bottom w:val="single" w:sz="2" w:color="D7DFE5"/>
            </w:tcBorders>
          </w:tcPr>
          <w:p>
            <w:pPr>
              <w:spacing w:after="20"/>
            </w:pPr>
            <w:r>
              <w:rPr>
                <w:b/>
                <w:color w:val="071827"/>
                <w:sz w:val="17"/>
              </w:rPr>
              <w:t>Unresolved Proof Debt</w:t>
            </w:r>
          </w:p>
        </w:tc>
        <w:tc>
          <w:tcPr>
            <w:tcW w:type="dxa" w:w="5616"/>
            <w:vAlign w:val="top"/>
            <w:tcBorders>
              <w:bottom w:val="single" w:sz="2" w:color="D7DFE5"/>
            </w:tcBorders>
          </w:tcPr>
          <w:p>
            <w:pPr>
              <w:spacing w:after="20"/>
            </w:pPr>
            <w:r>
              <w:rPr>
                <w:color w:val="24313D"/>
                <w:sz w:val="17"/>
              </w:rPr>
              <w:t>Continuing mission queue and evidence collection</w:t>
            </w:r>
          </w:p>
        </w:tc>
      </w:tr>
      <w:tr>
        <w:trPr>
          <w:cantSplit/>
        </w:trPr>
        <w:tc>
          <w:tcPr>
            <w:tcW w:type="dxa" w:w="4464"/>
            <w:vAlign w:val="top"/>
            <w:shd w:fill="F2F5F7"/>
            <w:tcBorders>
              <w:bottom w:val="single" w:sz="2" w:color="D7DFE5"/>
            </w:tcBorders>
          </w:tcPr>
          <w:p>
            <w:pPr>
              <w:spacing w:after="20"/>
            </w:pPr>
            <w:r>
              <w:rPr>
                <w:b/>
                <w:color w:val="071827"/>
                <w:sz w:val="17"/>
              </w:rPr>
              <w:t>Claims with expiry or drift risk</w:t>
            </w:r>
          </w:p>
        </w:tc>
        <w:tc>
          <w:tcPr>
            <w:tcW w:type="dxa" w:w="5616"/>
            <w:vAlign w:val="top"/>
            <w:shd w:fill="F2F5F7"/>
            <w:tcBorders>
              <w:bottom w:val="single" w:sz="2" w:color="D7DFE5"/>
            </w:tcBorders>
          </w:tcPr>
          <w:p>
            <w:pPr>
              <w:spacing w:after="20"/>
            </w:pPr>
            <w:r>
              <w:rPr>
                <w:color w:val="24313D"/>
                <w:sz w:val="17"/>
              </w:rPr>
              <w:t>Continuous claim monitoring</w:t>
            </w:r>
          </w:p>
        </w:tc>
      </w:tr>
      <w:tr>
        <w:trPr>
          <w:cantSplit/>
        </w:trPr>
        <w:tc>
          <w:tcPr>
            <w:tcW w:type="dxa" w:w="4464"/>
            <w:vAlign w:val="top"/>
            <w:tcBorders>
              <w:bottom w:val="single" w:sz="2" w:color="D7DFE5"/>
            </w:tcBorders>
          </w:tcPr>
          <w:p>
            <w:pPr>
              <w:spacing w:after="20"/>
            </w:pPr>
            <w:r>
              <w:rPr>
                <w:b/>
                <w:color w:val="071827"/>
                <w:sz w:val="17"/>
              </w:rPr>
              <w:t>Recurring model or vendor changes</w:t>
            </w:r>
          </w:p>
        </w:tc>
        <w:tc>
          <w:tcPr>
            <w:tcW w:type="dxa" w:w="5616"/>
            <w:vAlign w:val="top"/>
            <w:tcBorders>
              <w:bottom w:val="single" w:sz="2" w:color="D7DFE5"/>
            </w:tcBorders>
          </w:tcPr>
          <w:p>
            <w:pPr>
              <w:spacing w:after="20"/>
            </w:pPr>
            <w:r>
              <w:rPr>
                <w:color w:val="24313D"/>
                <w:sz w:val="17"/>
              </w:rPr>
              <w:t>Evaluation and re-authorization</w:t>
            </w:r>
          </w:p>
        </w:tc>
      </w:tr>
      <w:tr>
        <w:trPr>
          <w:cantSplit/>
        </w:trPr>
        <w:tc>
          <w:tcPr>
            <w:tcW w:type="dxa" w:w="4464"/>
            <w:vAlign w:val="top"/>
            <w:shd w:fill="F2F5F7"/>
            <w:tcBorders>
              <w:bottom w:val="single" w:sz="2" w:color="D7DFE5"/>
            </w:tcBorders>
          </w:tcPr>
          <w:p>
            <w:pPr>
              <w:spacing w:after="20"/>
            </w:pPr>
            <w:r>
              <w:rPr>
                <w:b/>
                <w:color w:val="071827"/>
                <w:sz w:val="17"/>
              </w:rPr>
              <w:t>Controls requiring replay</w:t>
            </w:r>
          </w:p>
        </w:tc>
        <w:tc>
          <w:tcPr>
            <w:tcW w:type="dxa" w:w="5616"/>
            <w:vAlign w:val="top"/>
            <w:shd w:fill="F2F5F7"/>
            <w:tcBorders>
              <w:bottom w:val="single" w:sz="2" w:color="D7DFE5"/>
            </w:tcBorders>
          </w:tcPr>
          <w:p>
            <w:pPr>
              <w:spacing w:after="20"/>
            </w:pPr>
            <w:r>
              <w:rPr>
                <w:color w:val="24313D"/>
                <w:sz w:val="17"/>
              </w:rPr>
              <w:t>Scheduled testing and audit-ready evidence</w:t>
            </w:r>
          </w:p>
        </w:tc>
      </w:tr>
      <w:tr>
        <w:trPr>
          <w:cantSplit/>
        </w:trPr>
        <w:tc>
          <w:tcPr>
            <w:tcW w:type="dxa" w:w="4464"/>
            <w:vAlign w:val="top"/>
            <w:tcBorders>
              <w:bottom w:val="single" w:sz="2" w:color="D7DFE5"/>
            </w:tcBorders>
          </w:tcPr>
          <w:p>
            <w:pPr>
              <w:spacing w:after="20"/>
            </w:pPr>
            <w:r>
              <w:rPr>
                <w:b/>
                <w:color w:val="071827"/>
                <w:sz w:val="17"/>
              </w:rPr>
              <w:t>Accepted capability</w:t>
            </w:r>
          </w:p>
        </w:tc>
        <w:tc>
          <w:tcPr>
            <w:tcW w:type="dxa" w:w="5616"/>
            <w:vAlign w:val="top"/>
            <w:tcBorders>
              <w:bottom w:val="single" w:sz="2" w:color="D7DFE5"/>
            </w:tcBorders>
          </w:tcPr>
          <w:p>
            <w:pPr>
              <w:spacing w:after="20"/>
            </w:pPr>
            <w:r>
              <w:rPr>
                <w:color w:val="24313D"/>
                <w:sz w:val="17"/>
              </w:rPr>
              <w:t>Version, entitlement, invocation and rollback management</w:t>
            </w:r>
          </w:p>
        </w:tc>
      </w:tr>
      <w:tr>
        <w:trPr>
          <w:cantSplit/>
        </w:trPr>
        <w:tc>
          <w:tcPr>
            <w:tcW w:type="dxa" w:w="4464"/>
            <w:vAlign w:val="top"/>
            <w:shd w:fill="F2F5F7"/>
            <w:tcBorders>
              <w:bottom w:val="single" w:sz="2" w:color="D7DFE5"/>
            </w:tcBorders>
          </w:tcPr>
          <w:p>
            <w:pPr>
              <w:spacing w:after="20"/>
            </w:pPr>
            <w:r>
              <w:rPr>
                <w:b/>
                <w:color w:val="071827"/>
                <w:sz w:val="17"/>
              </w:rPr>
              <w:t>Board / investor reporting need</w:t>
            </w:r>
          </w:p>
        </w:tc>
        <w:tc>
          <w:tcPr>
            <w:tcW w:type="dxa" w:w="5616"/>
            <w:vAlign w:val="top"/>
            <w:shd w:fill="F2F5F7"/>
            <w:tcBorders>
              <w:bottom w:val="single" w:sz="2" w:color="D7DFE5"/>
            </w:tcBorders>
          </w:tcPr>
          <w:p>
            <w:pPr>
              <w:spacing w:after="20"/>
            </w:pPr>
            <w:r>
              <w:rPr>
                <w:color w:val="24313D"/>
                <w:sz w:val="17"/>
              </w:rPr>
              <w:t>Quarterly Proof Brief and Value Ledger</w:t>
            </w:r>
          </w:p>
        </w:tc>
      </w:tr>
      <w:tr>
        <w:trPr>
          <w:cantSplit/>
        </w:trPr>
        <w:tc>
          <w:tcPr>
            <w:tcW w:type="dxa" w:w="4464"/>
            <w:vAlign w:val="top"/>
            <w:tcBorders>
              <w:bottom w:val="single" w:sz="2" w:color="D7DFE5"/>
            </w:tcBorders>
          </w:tcPr>
          <w:p>
            <w:pPr>
              <w:spacing w:after="20"/>
            </w:pPr>
            <w:r>
              <w:rPr>
                <w:b/>
                <w:color w:val="071827"/>
                <w:sz w:val="17"/>
              </w:rPr>
              <w:t>Commercial claim reuse</w:t>
            </w:r>
          </w:p>
        </w:tc>
        <w:tc>
          <w:tcPr>
            <w:tcW w:type="dxa" w:w="5616"/>
            <w:vAlign w:val="top"/>
            <w:tcBorders>
              <w:bottom w:val="single" w:sz="2" w:color="D7DFE5"/>
            </w:tcBorders>
          </w:tcPr>
          <w:p>
            <w:pPr>
              <w:spacing w:after="20"/>
            </w:pPr>
            <w:r>
              <w:rPr>
                <w:color w:val="24313D"/>
                <w:sz w:val="17"/>
              </w:rPr>
              <w:t>RFP-to-Revenue claim graph and approval workflow</w:t>
            </w:r>
          </w:p>
        </w:tc>
      </w:tr>
    </w:tbl>
    <w:p>
      <w:pPr>
        <w:spacing w:after="0"/>
      </w:pPr>
    </w:p>
    <w:p>
      <w:pPr>
        <w:pStyle w:val="Heading1"/>
      </w:pPr>
      <w:r>
        <w:t>8. Renewal and expansion</w:t>
      </w:r>
    </w:p>
    <w:tbl>
      <w:tblPr>
        <w:tblW w:type="auto" w:w="0"/>
        <w:jc w:val="center"/>
        <w:tblLayout w:type="fixed"/>
        <w:tblLook w:firstColumn="1" w:firstRow="1" w:lastColumn="0" w:lastRow="0" w:noHBand="0" w:noVBand="1" w:val="04A0"/>
      </w:tblPr>
      <w:tblGrid>
        <w:gridCol w:w="9936"/>
      </w:tblGrid>
      <w:tr>
        <w:tc>
          <w:tcPr>
            <w:tcW w:type="dxa" w:w="10166"/>
            <w:shd w:fill="E8EEF2"/>
            <w:tcBorders>
              <w:top w:val="single" w:sz="4" w:color="2CB6A6"/>
              <w:left w:val="single" w:sz="18" w:color="2CB6A6"/>
              <w:bottom w:val="single" w:sz="4" w:color="2CB6A6"/>
              <w:right w:val="single" w:sz="4" w:color="2CB6A6"/>
            </w:tcBorders>
          </w:tcPr>
          <w:p>
            <w:pPr>
              <w:pStyle w:val="QuoteGoalOS"/>
              <w:jc w:val="left"/>
            </w:pPr>
            <w:r>
              <w:t>Never renew because time elapsed. Renew because GoalOS can show what changed, what value was created or protected, what became stale, what remains unresolved, and what the next evidence program must accomplish.</w:t>
            </w:r>
          </w:p>
        </w:tc>
      </w:tr>
    </w:tbl>
    <w:p>
      <w:pPr>
        <w:spacing w:after="0"/>
      </w:pPr>
    </w:p>
    <w:p>
      <w:pPr>
        <w:pStyle w:val="ListBullet"/>
        <w:spacing w:after="40"/>
      </w:pPr>
      <w:r>
        <w:t>90 days before renewal: issue value and evidence ledger.</w:t>
      </w:r>
    </w:p>
    <w:p>
      <w:pPr>
        <w:pStyle w:val="ListBullet"/>
        <w:spacing w:after="40"/>
      </w:pPr>
      <w:r>
        <w:t>60 days: define continuing Proof Debt, capability lifecycle and expected value.</w:t>
      </w:r>
    </w:p>
    <w:p>
      <w:pPr>
        <w:pStyle w:val="ListBullet"/>
        <w:spacing w:after="40"/>
      </w:pPr>
      <w:r>
        <w:t>30 days: present fixed Office scope, price and annual capacity reservation.</w:t>
      </w:r>
    </w:p>
    <w:p>
      <w:pPr>
        <w:pStyle w:val="ListBullet"/>
        <w:spacing w:after="40"/>
      </w:pPr>
      <w:r>
        <w:t>If continuing need cannot be supported, recommend downgrade or stop.</w:t>
      </w:r>
    </w:p>
    <w:p>
      <w:pPr>
        <w:pStyle w:val="ListBullet"/>
        <w:spacing w:after="40"/>
      </w:pPr>
      <w:r>
        <w:t>Expansion is triggered by accepted adjacent objectives—not generic seat growth.</w:t>
      </w:r>
    </w:p>
    <w:p>
      <w:pPr>
        <w:pStyle w:val="Heading1"/>
      </w:pPr>
      <w:r>
        <w:t>9. Commercial Chronicle</w:t>
      </w:r>
    </w:p>
    <w:p>
      <w:r>
        <w:t>GoalOS must learn commercially without optimizing for superficial proxy metrics. A method may become reusable only after it produces collected cash, positive contribution, qualified customers, acceptable retention and no material trust breach on a fresh cohort.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032"/>
            <w:shd w:fill="0E2B3B"/>
            <w:vAlign w:val="center"/>
            <w:tcBorders>
              <w:bottom w:val="single" w:sz="8" w:color="D6A13C"/>
            </w:tcBorders>
          </w:tcPr>
          <w:p>
            <w:pPr>
              <w:jc w:val="center"/>
            </w:pPr>
            <w:r>
              <w:rPr>
                <w:b/>
                <w:color w:val="FFFFFF"/>
                <w:sz w:val="18"/>
              </w:rPr>
              <w:t>Candidate commercial skill</w:t>
            </w:r>
          </w:p>
        </w:tc>
        <w:tc>
          <w:tcPr>
            <w:tcW w:type="dxa" w:w="6048"/>
            <w:shd w:fill="0E2B3B"/>
            <w:vAlign w:val="center"/>
            <w:tcBorders>
              <w:bottom w:val="single" w:sz="8" w:color="D6A13C"/>
            </w:tcBorders>
          </w:tcPr>
          <w:p>
            <w:pPr>
              <w:jc w:val="center"/>
            </w:pPr>
            <w:r>
              <w:rPr>
                <w:b/>
                <w:color w:val="FFFFFF"/>
                <w:sz w:val="18"/>
              </w:rPr>
              <w:t>Admission evidence</w:t>
            </w:r>
          </w:p>
        </w:tc>
      </w:tr>
      <w:tr>
        <w:trPr>
          <w:cantSplit/>
        </w:trPr>
        <w:tc>
          <w:tcPr>
            <w:tcW w:type="dxa" w:w="4032"/>
            <w:vAlign w:val="top"/>
            <w:tcBorders>
              <w:bottom w:val="single" w:sz="2" w:color="D7DFE5"/>
            </w:tcBorders>
          </w:tcPr>
          <w:p>
            <w:pPr>
              <w:spacing w:after="20"/>
            </w:pPr>
            <w:r>
              <w:rPr>
                <w:b/>
                <w:color w:val="071827"/>
                <w:sz w:val="17"/>
              </w:rPr>
              <w:t>Account-selection method</w:t>
            </w:r>
          </w:p>
        </w:tc>
        <w:tc>
          <w:tcPr>
            <w:tcW w:type="dxa" w:w="6048"/>
            <w:vAlign w:val="top"/>
            <w:tcBorders>
              <w:bottom w:val="single" w:sz="2" w:color="D7DFE5"/>
            </w:tcBorders>
          </w:tcPr>
          <w:p>
            <w:pPr>
              <w:spacing w:after="20"/>
            </w:pPr>
            <w:r>
              <w:rPr>
                <w:color w:val="24313D"/>
                <w:sz w:val="17"/>
              </w:rPr>
              <w:t>Higher qualified purchase rate without compliance harm</w:t>
            </w:r>
          </w:p>
        </w:tc>
      </w:tr>
      <w:tr>
        <w:trPr>
          <w:cantSplit/>
        </w:trPr>
        <w:tc>
          <w:tcPr>
            <w:tcW w:type="dxa" w:w="4032"/>
            <w:vAlign w:val="top"/>
            <w:shd w:fill="F2F5F7"/>
            <w:tcBorders>
              <w:bottom w:val="single" w:sz="2" w:color="D7DFE5"/>
            </w:tcBorders>
          </w:tcPr>
          <w:p>
            <w:pPr>
              <w:spacing w:after="20"/>
            </w:pPr>
            <w:r>
              <w:rPr>
                <w:b/>
                <w:color w:val="071827"/>
                <w:sz w:val="17"/>
              </w:rPr>
              <w:t>Readiness Scan question</w:t>
            </w:r>
          </w:p>
        </w:tc>
        <w:tc>
          <w:tcPr>
            <w:tcW w:type="dxa" w:w="6048"/>
            <w:vAlign w:val="top"/>
            <w:shd w:fill="F2F5F7"/>
            <w:tcBorders>
              <w:bottom w:val="single" w:sz="2" w:color="D7DFE5"/>
            </w:tcBorders>
          </w:tcPr>
          <w:p>
            <w:pPr>
              <w:spacing w:after="20"/>
            </w:pPr>
            <w:r>
              <w:rPr>
                <w:color w:val="24313D"/>
                <w:sz w:val="17"/>
              </w:rPr>
              <w:t>Improves qualification and later customer value</w:t>
            </w:r>
          </w:p>
        </w:tc>
      </w:tr>
      <w:tr>
        <w:trPr>
          <w:cantSplit/>
        </w:trPr>
        <w:tc>
          <w:tcPr>
            <w:tcW w:type="dxa" w:w="4032"/>
            <w:vAlign w:val="top"/>
            <w:tcBorders>
              <w:bottom w:val="single" w:sz="2" w:color="D7DFE5"/>
            </w:tcBorders>
          </w:tcPr>
          <w:p>
            <w:pPr>
              <w:spacing w:after="20"/>
            </w:pPr>
            <w:r>
              <w:rPr>
                <w:b/>
                <w:color w:val="071827"/>
                <w:sz w:val="17"/>
              </w:rPr>
              <w:t>Price point</w:t>
            </w:r>
          </w:p>
        </w:tc>
        <w:tc>
          <w:tcPr>
            <w:tcW w:type="dxa" w:w="6048"/>
            <w:vAlign w:val="top"/>
            <w:tcBorders>
              <w:bottom w:val="single" w:sz="2" w:color="D7DFE5"/>
            </w:tcBorders>
          </w:tcPr>
          <w:p>
            <w:pPr>
              <w:spacing w:after="20"/>
            </w:pPr>
            <w:r>
              <w:rPr>
                <w:color w:val="24313D"/>
                <w:sz w:val="17"/>
              </w:rPr>
              <w:t>Positive contribution and no deterioration in conversion quality or retention</w:t>
            </w:r>
          </w:p>
        </w:tc>
      </w:tr>
      <w:tr>
        <w:trPr>
          <w:cantSplit/>
        </w:trPr>
        <w:tc>
          <w:tcPr>
            <w:tcW w:type="dxa" w:w="4032"/>
            <w:vAlign w:val="top"/>
            <w:shd w:fill="F2F5F7"/>
            <w:tcBorders>
              <w:bottom w:val="single" w:sz="2" w:color="D7DFE5"/>
            </w:tcBorders>
          </w:tcPr>
          <w:p>
            <w:pPr>
              <w:spacing w:after="20"/>
            </w:pPr>
            <w:r>
              <w:rPr>
                <w:b/>
                <w:color w:val="071827"/>
                <w:sz w:val="17"/>
              </w:rPr>
              <w:t>Objection response</w:t>
            </w:r>
          </w:p>
        </w:tc>
        <w:tc>
          <w:tcPr>
            <w:tcW w:type="dxa" w:w="6048"/>
            <w:vAlign w:val="top"/>
            <w:shd w:fill="F2F5F7"/>
            <w:tcBorders>
              <w:bottom w:val="single" w:sz="2" w:color="D7DFE5"/>
            </w:tcBorders>
          </w:tcPr>
          <w:p>
            <w:pPr>
              <w:spacing w:after="20"/>
            </w:pPr>
            <w:r>
              <w:rPr>
                <w:color w:val="24313D"/>
                <w:sz w:val="17"/>
              </w:rPr>
              <w:t>Supported by evidence; does not increase refunds, scope debt or churn</w:t>
            </w:r>
          </w:p>
        </w:tc>
      </w:tr>
      <w:tr>
        <w:trPr>
          <w:cantSplit/>
        </w:trPr>
        <w:tc>
          <w:tcPr>
            <w:tcW w:type="dxa" w:w="4032"/>
            <w:vAlign w:val="top"/>
            <w:tcBorders>
              <w:bottom w:val="single" w:sz="2" w:color="D7DFE5"/>
            </w:tcBorders>
          </w:tcPr>
          <w:p>
            <w:pPr>
              <w:spacing w:after="20"/>
            </w:pPr>
            <w:r>
              <w:rPr>
                <w:b/>
                <w:color w:val="071827"/>
                <w:sz w:val="17"/>
              </w:rPr>
              <w:t>Contract fallback</w:t>
            </w:r>
          </w:p>
        </w:tc>
        <w:tc>
          <w:tcPr>
            <w:tcW w:type="dxa" w:w="6048"/>
            <w:vAlign w:val="top"/>
            <w:tcBorders>
              <w:bottom w:val="single" w:sz="2" w:color="D7DFE5"/>
            </w:tcBorders>
          </w:tcPr>
          <w:p>
            <w:pPr>
              <w:spacing w:after="20"/>
            </w:pPr>
            <w:r>
              <w:rPr>
                <w:color w:val="24313D"/>
                <w:sz w:val="17"/>
              </w:rPr>
              <w:t>Acceptable risk and economics after delivery</w:t>
            </w:r>
          </w:p>
        </w:tc>
      </w:tr>
      <w:tr>
        <w:trPr>
          <w:cantSplit/>
        </w:trPr>
        <w:tc>
          <w:tcPr>
            <w:tcW w:type="dxa" w:w="4032"/>
            <w:vAlign w:val="top"/>
            <w:shd w:fill="F2F5F7"/>
            <w:tcBorders>
              <w:bottom w:val="single" w:sz="2" w:color="D7DFE5"/>
            </w:tcBorders>
          </w:tcPr>
          <w:p>
            <w:pPr>
              <w:spacing w:after="20"/>
            </w:pPr>
            <w:r>
              <w:rPr>
                <w:b/>
                <w:color w:val="071827"/>
                <w:sz w:val="17"/>
              </w:rPr>
              <w:t>Onboarding sequence</w:t>
            </w:r>
          </w:p>
        </w:tc>
        <w:tc>
          <w:tcPr>
            <w:tcW w:type="dxa" w:w="6048"/>
            <w:vAlign w:val="top"/>
            <w:shd w:fill="F2F5F7"/>
            <w:tcBorders>
              <w:bottom w:val="single" w:sz="2" w:color="D7DFE5"/>
            </w:tcBorders>
          </w:tcPr>
          <w:p>
            <w:pPr>
              <w:spacing w:after="20"/>
            </w:pPr>
            <w:r>
              <w:rPr>
                <w:color w:val="24313D"/>
                <w:sz w:val="17"/>
              </w:rPr>
              <w:t>Lower time-to-value and evidence omissions</w:t>
            </w:r>
          </w:p>
        </w:tc>
      </w:tr>
      <w:tr>
        <w:trPr>
          <w:cantSplit/>
        </w:trPr>
        <w:tc>
          <w:tcPr>
            <w:tcW w:type="dxa" w:w="4032"/>
            <w:vAlign w:val="top"/>
            <w:tcBorders>
              <w:bottom w:val="single" w:sz="2" w:color="D7DFE5"/>
            </w:tcBorders>
          </w:tcPr>
          <w:p>
            <w:pPr>
              <w:spacing w:after="20"/>
            </w:pPr>
            <w:r>
              <w:rPr>
                <w:b/>
                <w:color w:val="071827"/>
                <w:sz w:val="17"/>
              </w:rPr>
              <w:t>Renewal trigger</w:t>
            </w:r>
          </w:p>
        </w:tc>
        <w:tc>
          <w:tcPr>
            <w:tcW w:type="dxa" w:w="6048"/>
            <w:vAlign w:val="top"/>
            <w:tcBorders>
              <w:bottom w:val="single" w:sz="2" w:color="D7DFE5"/>
            </w:tcBorders>
          </w:tcPr>
          <w:p>
            <w:pPr>
              <w:spacing w:after="20"/>
            </w:pPr>
            <w:r>
              <w:rPr>
                <w:color w:val="24313D"/>
                <w:sz w:val="17"/>
              </w:rPr>
              <w:t>Higher retained gross profit and customer-verified value</w:t>
            </w:r>
          </w:p>
        </w:tc>
      </w:tr>
    </w:tbl>
    <w:p>
      <w:pPr>
        <w:spacing w:after="0"/>
      </w:pPr>
    </w:p>
    <w:p>
      <w:pPr>
        <w:pStyle w:val="Heading1"/>
      </w:pPr>
      <w:r>
        <w:t>10. Commercial control dashboard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608"/>
            <w:shd w:fill="0E2B3B"/>
            <w:vAlign w:val="center"/>
            <w:tcBorders>
              <w:bottom w:val="single" w:sz="8" w:color="D6A13C"/>
            </w:tcBorders>
          </w:tcPr>
          <w:p>
            <w:pPr>
              <w:jc w:val="center"/>
            </w:pPr>
            <w:r>
              <w:rPr>
                <w:b/>
                <w:color w:val="FFFFFF"/>
                <w:sz w:val="18"/>
              </w:rPr>
              <w:t>Metric</w:t>
            </w:r>
          </w:p>
        </w:tc>
        <w:tc>
          <w:tcPr>
            <w:tcW w:type="dxa" w:w="2016"/>
            <w:shd w:fill="0E2B3B"/>
            <w:vAlign w:val="center"/>
            <w:tcBorders>
              <w:bottom w:val="single" w:sz="8" w:color="D6A13C"/>
            </w:tcBorders>
          </w:tcPr>
          <w:p>
            <w:pPr>
              <w:jc w:val="center"/>
            </w:pPr>
            <w:r>
              <w:rPr>
                <w:b/>
                <w:color w:val="FFFFFF"/>
                <w:sz w:val="18"/>
              </w:rPr>
              <w:t>Initial target</w:t>
            </w:r>
          </w:p>
        </w:tc>
        <w:tc>
          <w:tcPr>
            <w:tcW w:type="dxa" w:w="3456"/>
            <w:shd w:fill="0E2B3B"/>
            <w:vAlign w:val="center"/>
            <w:tcBorders>
              <w:bottom w:val="single" w:sz="8" w:color="D6A13C"/>
            </w:tcBorders>
          </w:tcPr>
          <w:p>
            <w:pPr>
              <w:jc w:val="center"/>
            </w:pPr>
            <w:r>
              <w:rPr>
                <w:b/>
                <w:color w:val="FFFFFF"/>
                <w:sz w:val="18"/>
              </w:rPr>
              <w:t>Fail condition</w:t>
            </w:r>
          </w:p>
        </w:tc>
      </w:tr>
      <w:tr>
        <w:trPr>
          <w:cantSplit/>
        </w:trPr>
        <w:tc>
          <w:tcPr>
            <w:tcW w:type="dxa" w:w="4608"/>
            <w:vAlign w:val="top"/>
            <w:tcBorders>
              <w:bottom w:val="single" w:sz="2" w:color="D7DFE5"/>
            </w:tcBorders>
          </w:tcPr>
          <w:p>
            <w:pPr>
              <w:spacing w:after="20"/>
            </w:pPr>
            <w:r>
              <w:rPr>
                <w:b/>
                <w:color w:val="071827"/>
                <w:sz w:val="17"/>
              </w:rPr>
              <w:t>Seller-side minutes / standard transaction</w:t>
            </w:r>
          </w:p>
        </w:tc>
        <w:tc>
          <w:tcPr>
            <w:tcW w:type="dxa" w:w="2016"/>
            <w:vAlign w:val="top"/>
            <w:tcBorders>
              <w:bottom w:val="single" w:sz="2" w:color="D7DFE5"/>
            </w:tcBorders>
          </w:tcPr>
          <w:p>
            <w:pPr>
              <w:spacing w:after="20"/>
            </w:pPr>
            <w:r>
              <w:rPr>
                <w:color w:val="24313D"/>
                <w:sz w:val="17"/>
              </w:rPr>
              <w:t>0</w:t>
            </w:r>
          </w:p>
        </w:tc>
        <w:tc>
          <w:tcPr>
            <w:tcW w:type="dxa" w:w="3456"/>
            <w:vAlign w:val="top"/>
            <w:tcBorders>
              <w:bottom w:val="single" w:sz="2" w:color="D7DFE5"/>
            </w:tcBorders>
          </w:tcPr>
          <w:p>
            <w:pPr>
              <w:spacing w:after="20"/>
            </w:pPr>
            <w:r>
              <w:rPr>
                <w:color w:val="24313D"/>
                <w:sz w:val="17"/>
              </w:rPr>
              <w:t>Any routine founder intervention</w:t>
            </w:r>
          </w:p>
        </w:tc>
      </w:tr>
      <w:tr>
        <w:trPr>
          <w:cantSplit/>
        </w:trPr>
        <w:tc>
          <w:tcPr>
            <w:tcW w:type="dxa" w:w="4608"/>
            <w:vAlign w:val="top"/>
            <w:shd w:fill="F2F5F7"/>
            <w:tcBorders>
              <w:bottom w:val="single" w:sz="2" w:color="D7DFE5"/>
            </w:tcBorders>
          </w:tcPr>
          <w:p>
            <w:pPr>
              <w:spacing w:after="20"/>
            </w:pPr>
            <w:r>
              <w:rPr>
                <w:b/>
                <w:color w:val="071827"/>
                <w:sz w:val="17"/>
              </w:rPr>
              <w:t>Activation GM</w:t>
            </w:r>
          </w:p>
        </w:tc>
        <w:tc>
          <w:tcPr>
            <w:tcW w:type="dxa" w:w="2016"/>
            <w:vAlign w:val="top"/>
            <w:shd w:fill="F2F5F7"/>
            <w:tcBorders>
              <w:bottom w:val="single" w:sz="2" w:color="D7DFE5"/>
            </w:tcBorders>
          </w:tcPr>
          <w:p>
            <w:pPr>
              <w:spacing w:after="20"/>
            </w:pPr>
            <w:r>
              <w:rPr>
                <w:color w:val="24313D"/>
                <w:sz w:val="17"/>
              </w:rPr>
              <w:t>≥95%</w:t>
            </w:r>
          </w:p>
        </w:tc>
        <w:tc>
          <w:tcPr>
            <w:tcW w:type="dxa" w:w="3456"/>
            <w:vAlign w:val="top"/>
            <w:shd w:fill="F2F5F7"/>
            <w:tcBorders>
              <w:bottom w:val="single" w:sz="2" w:color="D7DFE5"/>
            </w:tcBorders>
          </w:tcPr>
          <w:p>
            <w:pPr>
              <w:spacing w:after="20"/>
            </w:pPr>
            <w:r>
              <w:rPr>
                <w:color w:val="24313D"/>
                <w:sz w:val="17"/>
              </w:rPr>
              <w:t>&lt;90%</w:t>
            </w:r>
          </w:p>
        </w:tc>
      </w:tr>
      <w:tr>
        <w:trPr>
          <w:cantSplit/>
        </w:trPr>
        <w:tc>
          <w:tcPr>
            <w:tcW w:type="dxa" w:w="4608"/>
            <w:vAlign w:val="top"/>
            <w:tcBorders>
              <w:bottom w:val="single" w:sz="2" w:color="D7DFE5"/>
            </w:tcBorders>
          </w:tcPr>
          <w:p>
            <w:pPr>
              <w:spacing w:after="20"/>
            </w:pPr>
            <w:r>
              <w:rPr>
                <w:b/>
                <w:color w:val="071827"/>
                <w:sz w:val="17"/>
              </w:rPr>
              <w:t>Proof Mission GM</w:t>
            </w:r>
          </w:p>
        </w:tc>
        <w:tc>
          <w:tcPr>
            <w:tcW w:type="dxa" w:w="2016"/>
            <w:vAlign w:val="top"/>
            <w:tcBorders>
              <w:bottom w:val="single" w:sz="2" w:color="D7DFE5"/>
            </w:tcBorders>
          </w:tcPr>
          <w:p>
            <w:pPr>
              <w:spacing w:after="20"/>
            </w:pPr>
            <w:r>
              <w:rPr>
                <w:color w:val="24313D"/>
                <w:sz w:val="17"/>
              </w:rPr>
              <w:t>70–80%</w:t>
            </w:r>
          </w:p>
        </w:tc>
        <w:tc>
          <w:tcPr>
            <w:tcW w:type="dxa" w:w="3456"/>
            <w:vAlign w:val="top"/>
            <w:tcBorders>
              <w:bottom w:val="single" w:sz="2" w:color="D7DFE5"/>
            </w:tcBorders>
          </w:tcPr>
          <w:p>
            <w:pPr>
              <w:spacing w:after="20"/>
            </w:pPr>
            <w:r>
              <w:rPr>
                <w:color w:val="24313D"/>
                <w:sz w:val="17"/>
              </w:rPr>
              <w:t>&lt;60% after second delivery</w:t>
            </w:r>
          </w:p>
        </w:tc>
      </w:tr>
      <w:tr>
        <w:trPr>
          <w:cantSplit/>
        </w:trPr>
        <w:tc>
          <w:tcPr>
            <w:tcW w:type="dxa" w:w="4608"/>
            <w:vAlign w:val="top"/>
            <w:shd w:fill="F2F5F7"/>
            <w:tcBorders>
              <w:bottom w:val="single" w:sz="2" w:color="D7DFE5"/>
            </w:tcBorders>
          </w:tcPr>
          <w:p>
            <w:pPr>
              <w:spacing w:after="20"/>
            </w:pPr>
            <w:r>
              <w:rPr>
                <w:b/>
                <w:color w:val="071827"/>
                <w:sz w:val="17"/>
              </w:rPr>
              <w:t>Proof Office GM</w:t>
            </w:r>
          </w:p>
        </w:tc>
        <w:tc>
          <w:tcPr>
            <w:tcW w:type="dxa" w:w="2016"/>
            <w:vAlign w:val="top"/>
            <w:shd w:fill="F2F5F7"/>
            <w:tcBorders>
              <w:bottom w:val="single" w:sz="2" w:color="D7DFE5"/>
            </w:tcBorders>
          </w:tcPr>
          <w:p>
            <w:pPr>
              <w:spacing w:after="20"/>
            </w:pPr>
            <w:r>
              <w:rPr>
                <w:color w:val="24313D"/>
                <w:sz w:val="17"/>
              </w:rPr>
              <w:t>≥80%</w:t>
            </w:r>
          </w:p>
        </w:tc>
        <w:tc>
          <w:tcPr>
            <w:tcW w:type="dxa" w:w="3456"/>
            <w:vAlign w:val="top"/>
            <w:shd w:fill="F2F5F7"/>
            <w:tcBorders>
              <w:bottom w:val="single" w:sz="2" w:color="D7DFE5"/>
            </w:tcBorders>
          </w:tcPr>
          <w:p>
            <w:pPr>
              <w:spacing w:after="20"/>
            </w:pPr>
            <w:r>
              <w:rPr>
                <w:color w:val="24313D"/>
                <w:sz w:val="17"/>
              </w:rPr>
              <w:t>&lt;70%</w:t>
            </w:r>
          </w:p>
        </w:tc>
      </w:tr>
      <w:tr>
        <w:trPr>
          <w:cantSplit/>
        </w:trPr>
        <w:tc>
          <w:tcPr>
            <w:tcW w:type="dxa" w:w="4608"/>
            <w:vAlign w:val="top"/>
            <w:tcBorders>
              <w:bottom w:val="single" w:sz="2" w:color="D7DFE5"/>
            </w:tcBorders>
          </w:tcPr>
          <w:p>
            <w:pPr>
              <w:spacing w:after="20"/>
            </w:pPr>
            <w:r>
              <w:rPr>
                <w:b/>
                <w:color w:val="071827"/>
                <w:sz w:val="17"/>
              </w:rPr>
              <w:t>CAC payback</w:t>
            </w:r>
          </w:p>
        </w:tc>
        <w:tc>
          <w:tcPr>
            <w:tcW w:type="dxa" w:w="2016"/>
            <w:vAlign w:val="top"/>
            <w:tcBorders>
              <w:bottom w:val="single" w:sz="2" w:color="D7DFE5"/>
            </w:tcBorders>
          </w:tcPr>
          <w:p>
            <w:pPr>
              <w:spacing w:after="20"/>
            </w:pPr>
            <w:r>
              <w:rPr>
                <w:color w:val="24313D"/>
                <w:sz w:val="17"/>
              </w:rPr>
              <w:t>&lt;6 months</w:t>
            </w:r>
          </w:p>
        </w:tc>
        <w:tc>
          <w:tcPr>
            <w:tcW w:type="dxa" w:w="3456"/>
            <w:vAlign w:val="top"/>
            <w:tcBorders>
              <w:bottom w:val="single" w:sz="2" w:color="D7DFE5"/>
            </w:tcBorders>
          </w:tcPr>
          <w:p>
            <w:pPr>
              <w:spacing w:after="20"/>
            </w:pPr>
            <w:r>
              <w:rPr>
                <w:color w:val="24313D"/>
                <w:sz w:val="17"/>
              </w:rPr>
              <w:t>&gt;12 months</w:t>
            </w:r>
          </w:p>
        </w:tc>
      </w:tr>
      <w:tr>
        <w:trPr>
          <w:cantSplit/>
        </w:trPr>
        <w:tc>
          <w:tcPr>
            <w:tcW w:type="dxa" w:w="4608"/>
            <w:vAlign w:val="top"/>
            <w:shd w:fill="F2F5F7"/>
            <w:tcBorders>
              <w:bottom w:val="single" w:sz="2" w:color="D7DFE5"/>
            </w:tcBorders>
          </w:tcPr>
          <w:p>
            <w:pPr>
              <w:spacing w:after="20"/>
            </w:pPr>
            <w:r>
              <w:rPr>
                <w:b/>
                <w:color w:val="071827"/>
                <w:sz w:val="17"/>
              </w:rPr>
              <w:t>Mission → Office conversion</w:t>
            </w:r>
          </w:p>
        </w:tc>
        <w:tc>
          <w:tcPr>
            <w:tcW w:type="dxa" w:w="2016"/>
            <w:vAlign w:val="top"/>
            <w:shd w:fill="F2F5F7"/>
            <w:tcBorders>
              <w:bottom w:val="single" w:sz="2" w:color="D7DFE5"/>
            </w:tcBorders>
          </w:tcPr>
          <w:p>
            <w:pPr>
              <w:spacing w:after="20"/>
            </w:pPr>
            <w:r>
              <w:rPr>
                <w:color w:val="24313D"/>
                <w:sz w:val="17"/>
              </w:rPr>
              <w:t>≥40%</w:t>
            </w:r>
          </w:p>
        </w:tc>
        <w:tc>
          <w:tcPr>
            <w:tcW w:type="dxa" w:w="3456"/>
            <w:vAlign w:val="top"/>
            <w:shd w:fill="F2F5F7"/>
            <w:tcBorders>
              <w:bottom w:val="single" w:sz="2" w:color="D7DFE5"/>
            </w:tcBorders>
          </w:tcPr>
          <w:p>
            <w:pPr>
              <w:spacing w:after="20"/>
            </w:pPr>
            <w:r>
              <w:rPr>
                <w:color w:val="24313D"/>
                <w:sz w:val="17"/>
              </w:rPr>
              <w:t>&lt;30%</w:t>
            </w:r>
          </w:p>
        </w:tc>
      </w:tr>
      <w:tr>
        <w:trPr>
          <w:cantSplit/>
        </w:trPr>
        <w:tc>
          <w:tcPr>
            <w:tcW w:type="dxa" w:w="4608"/>
            <w:vAlign w:val="top"/>
            <w:tcBorders>
              <w:bottom w:val="single" w:sz="2" w:color="D7DFE5"/>
            </w:tcBorders>
          </w:tcPr>
          <w:p>
            <w:pPr>
              <w:spacing w:after="20"/>
            </w:pPr>
            <w:r>
              <w:rPr>
                <w:b/>
                <w:color w:val="071827"/>
                <w:sz w:val="17"/>
              </w:rPr>
              <w:t>Mature NRR</w:t>
            </w:r>
          </w:p>
        </w:tc>
        <w:tc>
          <w:tcPr>
            <w:tcW w:type="dxa" w:w="2016"/>
            <w:vAlign w:val="top"/>
            <w:tcBorders>
              <w:bottom w:val="single" w:sz="2" w:color="D7DFE5"/>
            </w:tcBorders>
          </w:tcPr>
          <w:p>
            <w:pPr>
              <w:spacing w:after="20"/>
            </w:pPr>
            <w:r>
              <w:rPr>
                <w:color w:val="24313D"/>
                <w:sz w:val="17"/>
              </w:rPr>
              <w:t>≥120% target</w:t>
            </w:r>
          </w:p>
        </w:tc>
        <w:tc>
          <w:tcPr>
            <w:tcW w:type="dxa" w:w="3456"/>
            <w:vAlign w:val="top"/>
            <w:tcBorders>
              <w:bottom w:val="single" w:sz="2" w:color="D7DFE5"/>
            </w:tcBorders>
          </w:tcPr>
          <w:p>
            <w:pPr>
              <w:spacing w:after="20"/>
            </w:pPr>
            <w:r>
              <w:rPr>
                <w:color w:val="24313D"/>
                <w:sz w:val="17"/>
              </w:rPr>
              <w:t>&lt;100%</w:t>
            </w:r>
          </w:p>
        </w:tc>
      </w:tr>
      <w:tr>
        <w:trPr>
          <w:cantSplit/>
        </w:trPr>
        <w:tc>
          <w:tcPr>
            <w:tcW w:type="dxa" w:w="4608"/>
            <w:vAlign w:val="top"/>
            <w:shd w:fill="F2F5F7"/>
            <w:tcBorders>
              <w:bottom w:val="single" w:sz="2" w:color="D7DFE5"/>
            </w:tcBorders>
          </w:tcPr>
          <w:p>
            <w:pPr>
              <w:spacing w:after="20"/>
            </w:pPr>
            <w:r>
              <w:rPr>
                <w:b/>
                <w:color w:val="071827"/>
                <w:sz w:val="17"/>
              </w:rPr>
              <w:t>Unsupported material commercial claims</w:t>
            </w:r>
          </w:p>
        </w:tc>
        <w:tc>
          <w:tcPr>
            <w:tcW w:type="dxa" w:w="2016"/>
            <w:vAlign w:val="top"/>
            <w:shd w:fill="F2F5F7"/>
            <w:tcBorders>
              <w:bottom w:val="single" w:sz="2" w:color="D7DFE5"/>
            </w:tcBorders>
          </w:tcPr>
          <w:p>
            <w:pPr>
              <w:spacing w:after="20"/>
            </w:pPr>
            <w:r>
              <w:rPr>
                <w:color w:val="24313D"/>
                <w:sz w:val="17"/>
              </w:rPr>
              <w:t>0</w:t>
            </w:r>
          </w:p>
        </w:tc>
        <w:tc>
          <w:tcPr>
            <w:tcW w:type="dxa" w:w="3456"/>
            <w:vAlign w:val="top"/>
            <w:shd w:fill="F2F5F7"/>
            <w:tcBorders>
              <w:bottom w:val="single" w:sz="2" w:color="D7DFE5"/>
            </w:tcBorders>
          </w:tcPr>
          <w:p>
            <w:pPr>
              <w:spacing w:after="20"/>
            </w:pPr>
            <w:r>
              <w:rPr>
                <w:color w:val="24313D"/>
                <w:sz w:val="17"/>
              </w:rPr>
              <w:t>Any</w:t>
            </w:r>
          </w:p>
        </w:tc>
      </w:tr>
      <w:tr>
        <w:trPr>
          <w:cantSplit/>
        </w:trPr>
        <w:tc>
          <w:tcPr>
            <w:tcW w:type="dxa" w:w="4608"/>
            <w:vAlign w:val="top"/>
            <w:tcBorders>
              <w:bottom w:val="single" w:sz="2" w:color="D7DFE5"/>
            </w:tcBorders>
          </w:tcPr>
          <w:p>
            <w:pPr>
              <w:spacing w:after="20"/>
            </w:pPr>
            <w:r>
              <w:rPr>
                <w:b/>
                <w:color w:val="071827"/>
                <w:sz w:val="17"/>
              </w:rPr>
              <w:t>Standard quotes below margin floor</w:t>
            </w:r>
          </w:p>
        </w:tc>
        <w:tc>
          <w:tcPr>
            <w:tcW w:type="dxa" w:w="2016"/>
            <w:vAlign w:val="top"/>
            <w:tcBorders>
              <w:bottom w:val="single" w:sz="2" w:color="D7DFE5"/>
            </w:tcBorders>
          </w:tcPr>
          <w:p>
            <w:pPr>
              <w:spacing w:after="20"/>
            </w:pPr>
            <w:r>
              <w:rPr>
                <w:color w:val="24313D"/>
                <w:sz w:val="17"/>
              </w:rPr>
              <w:t>0</w:t>
            </w:r>
          </w:p>
        </w:tc>
        <w:tc>
          <w:tcPr>
            <w:tcW w:type="dxa" w:w="3456"/>
            <w:vAlign w:val="top"/>
            <w:tcBorders>
              <w:bottom w:val="single" w:sz="2" w:color="D7DFE5"/>
            </w:tcBorders>
          </w:tcPr>
          <w:p>
            <w:pPr>
              <w:spacing w:after="20"/>
            </w:pPr>
            <w:r>
              <w:rPr>
                <w:color w:val="24313D"/>
                <w:sz w:val="17"/>
              </w:rPr>
              <w:t>Any</w:t>
            </w:r>
          </w:p>
        </w:tc>
      </w:tr>
      <w:tr>
        <w:trPr>
          <w:cantSplit/>
        </w:trPr>
        <w:tc>
          <w:tcPr>
            <w:tcW w:type="dxa" w:w="4608"/>
            <w:vAlign w:val="top"/>
            <w:shd w:fill="F2F5F7"/>
            <w:tcBorders>
              <w:bottom w:val="single" w:sz="2" w:color="D7DFE5"/>
            </w:tcBorders>
          </w:tcPr>
          <w:p>
            <w:pPr>
              <w:spacing w:after="20"/>
            </w:pPr>
            <w:r>
              <w:rPr>
                <w:b/>
                <w:color w:val="071827"/>
                <w:sz w:val="17"/>
              </w:rPr>
              <w:t>Unrecorded human interventions</w:t>
            </w:r>
          </w:p>
        </w:tc>
        <w:tc>
          <w:tcPr>
            <w:tcW w:type="dxa" w:w="2016"/>
            <w:vAlign w:val="top"/>
            <w:shd w:fill="F2F5F7"/>
            <w:tcBorders>
              <w:bottom w:val="single" w:sz="2" w:color="D7DFE5"/>
            </w:tcBorders>
          </w:tcPr>
          <w:p>
            <w:pPr>
              <w:spacing w:after="20"/>
            </w:pPr>
            <w:r>
              <w:rPr>
                <w:color w:val="24313D"/>
                <w:sz w:val="17"/>
              </w:rPr>
              <w:t>0</w:t>
            </w:r>
          </w:p>
        </w:tc>
        <w:tc>
          <w:tcPr>
            <w:tcW w:type="dxa" w:w="3456"/>
            <w:vAlign w:val="top"/>
            <w:shd w:fill="F2F5F7"/>
            <w:tcBorders>
              <w:bottom w:val="single" w:sz="2" w:color="D7DFE5"/>
            </w:tcBorders>
          </w:tcPr>
          <w:p>
            <w:pPr>
              <w:spacing w:after="20"/>
            </w:pPr>
            <w:r>
              <w:rPr>
                <w:color w:val="24313D"/>
                <w:sz w:val="17"/>
              </w:rPr>
              <w:t>Any</w:t>
            </w:r>
          </w:p>
        </w:tc>
      </w:tr>
      <w:tr>
        <w:trPr>
          <w:cantSplit/>
        </w:trPr>
        <w:tc>
          <w:tcPr>
            <w:tcW w:type="dxa" w:w="4608"/>
            <w:vAlign w:val="top"/>
            <w:tcBorders>
              <w:bottom w:val="single" w:sz="2" w:color="D7DFE5"/>
            </w:tcBorders>
          </w:tcPr>
          <w:p>
            <w:pPr>
              <w:spacing w:after="20"/>
            </w:pPr>
            <w:r>
              <w:rPr>
                <w:b/>
                <w:color w:val="071827"/>
                <w:sz w:val="17"/>
              </w:rPr>
              <w:t>Collected cash / booked revenue</w:t>
            </w:r>
          </w:p>
        </w:tc>
        <w:tc>
          <w:tcPr>
            <w:tcW w:type="dxa" w:w="2016"/>
            <w:vAlign w:val="top"/>
            <w:tcBorders>
              <w:bottom w:val="single" w:sz="2" w:color="D7DFE5"/>
            </w:tcBorders>
          </w:tcPr>
          <w:p>
            <w:pPr>
              <w:spacing w:after="20"/>
            </w:pPr>
            <w:r>
              <w:rPr>
                <w:color w:val="24313D"/>
                <w:sz w:val="17"/>
              </w:rPr>
              <w:t>≥95%</w:t>
            </w:r>
          </w:p>
        </w:tc>
        <w:tc>
          <w:tcPr>
            <w:tcW w:type="dxa" w:w="3456"/>
            <w:vAlign w:val="top"/>
            <w:tcBorders>
              <w:bottom w:val="single" w:sz="2" w:color="D7DFE5"/>
            </w:tcBorders>
          </w:tcPr>
          <w:p>
            <w:pPr>
              <w:spacing w:after="20"/>
            </w:pPr>
            <w:r>
              <w:rPr>
                <w:color w:val="24313D"/>
                <w:sz w:val="17"/>
              </w:rPr>
              <w:t>&lt;90%</w:t>
            </w:r>
          </w:p>
        </w:tc>
      </w:tr>
    </w:tbl>
    <w:p>
      <w:pPr>
        <w:spacing w:after="0"/>
      </w:pPr>
    </w:p>
    <w:p>
      <w:pPr>
        <w:pStyle w:val="Heading1"/>
      </w:pPr>
      <w:r>
        <w:t>11. Commercial constitution</w:t>
      </w:r>
    </w:p>
    <w:tbl>
      <w:tblPr>
        <w:tblW w:type="auto" w:w="0"/>
        <w:jc w:val="center"/>
        <w:tblLayout w:type="fixed"/>
        <w:tblLook w:firstColumn="1" w:firstRow="1" w:lastColumn="0" w:lastRow="0" w:noHBand="0" w:noVBand="1" w:val="04A0"/>
      </w:tblPr>
      <w:tblGrid>
        <w:gridCol w:w="9936"/>
      </w:tblGrid>
      <w:tr>
        <w:tc>
          <w:tcPr>
            <w:tcW w:type="dxa" w:w="10166"/>
            <w:shd w:fill="F5EEDC"/>
            <w:tcBorders>
              <w:top w:val="single" w:sz="4" w:color="D6A13C"/>
              <w:left w:val="single" w:sz="18" w:color="D6A13C"/>
              <w:bottom w:val="single" w:sz="4" w:color="D6A13C"/>
              <w:right w:val="single" w:sz="4" w:color="D6A13C"/>
            </w:tcBorders>
          </w:tcPr>
          <w:p>
            <w:pPr>
              <w:pStyle w:val="QuoteGoalOS"/>
              <w:jc w:val="left"/>
            </w:pPr>
            <w:r>
              <w:t>No permission, no outreach. No consequential objective, no qualification. No measurable value pool, no offer. No margin floor, no quote. No approved clause path, no contract. No payment, no capacity. No Docket, no value claim. No verified need, no renewal. No positive contribution, no commercial skill admission.</w:t>
            </w:r>
          </w:p>
        </w:tc>
      </w:tr>
    </w:tbl>
    <w:p>
      <w:pPr>
        <w:spacing w:after="0"/>
      </w:pPr>
    </w:p>
    <w:p>
      <w:pPr>
        <w:pStyle w:val="Heading1"/>
      </w:pPr>
      <w:r>
        <w:t>Selected sources and claim boundary</w:t>
      </w:r>
    </w:p>
    <w:p>
      <w:pPr>
        <w:pStyle w:val="Small"/>
      </w:pPr>
      <w:r>
        <w:t>External sources support market timing, technical feasibility, pricing context and comparative benchmarks. All GoalOS prices, volumes, margins, ROI, financing and valuation paths are editable management hypotheses—not audited forecasts, realized results, legal advice, investment advice, security certification or guarantees. Full URLs and source-use notes are provided in the package Source Register.</w:t>
      </w:r>
    </w:p>
    <w:p>
      <w:pPr>
        <w:pStyle w:val="Small"/>
        <w:spacing w:after="20"/>
      </w:pPr>
      <w:r>
        <w:rPr>
          <w:b/>
        </w:rPr>
        <w:t>S1 · OpenAI · Introducing workspace agents in ChatGPT.</w:t>
      </w:r>
    </w:p>
    <w:p>
      <w:pPr>
        <w:pStyle w:val="Small"/>
        <w:spacing w:after="20"/>
      </w:pPr>
      <w:r>
        <w:rPr>
          <w:b/>
        </w:rPr>
        <w:t>S2 · OpenAI · ChatGPT Enterprise and Edu release notes.</w:t>
      </w:r>
    </w:p>
    <w:p>
      <w:pPr>
        <w:pStyle w:val="Small"/>
        <w:spacing w:after="20"/>
      </w:pPr>
      <w:r>
        <w:rPr>
          <w:b/>
        </w:rPr>
        <w:t>S3 · OpenAI · API pricing.</w:t>
      </w:r>
    </w:p>
    <w:p>
      <w:pPr>
        <w:pStyle w:val="Small"/>
        <w:spacing w:after="20"/>
      </w:pPr>
      <w:r>
        <w:rPr>
          <w:b/>
        </w:rPr>
        <w:t>S4 · METR · Task-Completion Time Horizons.</w:t>
      </w:r>
    </w:p>
    <w:p>
      <w:pPr>
        <w:pStyle w:val="Small"/>
        <w:spacing w:after="20"/>
      </w:pPr>
      <w:r>
        <w:rPr>
          <w:b/>
        </w:rPr>
        <w:t>S5 · Google DeepMind · AlphaEvolve.</w:t>
      </w:r>
    </w:p>
    <w:p>
      <w:pPr>
        <w:pStyle w:val="Small"/>
        <w:spacing w:after="20"/>
      </w:pPr>
      <w:r>
        <w:rPr>
          <w:b/>
        </w:rPr>
        <w:t>S6 · Gartner · Worldwide AI spending forecast for 2026.</w:t>
      </w:r>
    </w:p>
    <w:p>
      <w:pPr>
        <w:pStyle w:val="Small"/>
        <w:spacing w:after="20"/>
      </w:pPr>
      <w:r>
        <w:rPr>
          <w:b/>
        </w:rPr>
        <w:t>S7 · European Commission · Article 50 AI Act transparency obligations.</w:t>
      </w:r>
    </w:p>
    <w:p>
      <w:pPr>
        <w:pStyle w:val="Small"/>
        <w:spacing w:after="20"/>
      </w:pPr>
      <w:r>
        <w:rPr>
          <w:b/>
        </w:rPr>
        <w:t>S8 · SaaS Capital · 2026 B2B SaaS benchmarks.</w:t>
      </w:r>
    </w:p>
    <w:p>
      <w:pPr>
        <w:pStyle w:val="Small"/>
        <w:spacing w:after="20"/>
      </w:pPr>
      <w:r>
        <w:rPr>
          <w:b/>
        </w:rPr>
        <w:t>S9 · Stripe · Payment Links.</w:t>
      </w:r>
    </w:p>
    <w:p>
      <w:pPr>
        <w:pStyle w:val="Small"/>
        <w:spacing w:after="20"/>
      </w:pPr>
      <w:r>
        <w:rPr>
          <w:b/>
        </w:rPr>
        <w:t>S10 · MONTREAL.AI Research · Merkle Roots for the Validated Skill Graph.</w:t>
      </w:r>
    </w:p>
    <w:p>
      <w:pPr>
        <w:pStyle w:val="Small"/>
        <w:spacing w:after="20"/>
      </w:pPr>
      <w:r>
        <w:rPr>
          <w:b/>
        </w:rPr>
        <w:t>S11 · MONTREAL.AI Research · Private On-Chain Validated Skill Graph.</w:t>
      </w:r>
    </w:p>
    <w:sectPr w:rsidR="00FC693F" w:rsidRPr="0006063C" w:rsidSect="00034616">
      <w:pgSz w:w="12240" w:h="15840"/>
      <w:pgMar w:top="979"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 xml:space="preserve">GoalOS Strategy Edition · 20 July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MONTREAL.AI  ×  GOALOS    |    THE OPTIMAL BUSINESS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color w:val="24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Noto Serif" w:hAnsi="Noto Serif"/>
      <w:b/>
      <w:bCs/>
      <w:color w:val="071827"/>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0E2B3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b/>
      <w:bCs/>
      <w:color w:val="D6A1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Noto Serif" w:hAnsi="Noto Serif"/>
      <w:b/>
      <w:color w:val="07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pPr>
    <w:rPr>
      <w:rFonts w:ascii="Noto Serif" w:hAnsi="Noto Serif"/>
      <w:i/>
      <w:color w:val="0E2B3B"/>
      <w:sz w:val="26"/>
    </w:rPr>
  </w:style>
  <w:style w:type="paragraph" w:customStyle="1" w:styleId="Small">
    <w:name w:val="Small"/>
    <w:rPr>
      <w:rFonts w:ascii="Noto Sans" w:hAnsi="Noto Sans"/>
      <w:color w:val="5D6873"/>
      <w:sz w:val="16"/>
    </w:rPr>
  </w:style>
  <w:style w:type="paragraph" w:customStyle="1" w:styleId="QuoteGoalOS">
    <w:name w:val="Quote GoalOS"/>
    <w:pPr>
      <w:spacing w:before="160" w:after="160"/>
      <w:ind w:left="432" w:right="432"/>
    </w:pPr>
    <w:rPr>
      <w:rFonts w:ascii="Noto Serif" w:hAnsi="Noto Serif"/>
      <w:b/>
      <w:color w:val="07182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GoalOS Autonomous Commercial and Pricing Playbook</dc:title>
  <dc:subject>GoalOS optimal business model</dc:subject>
  <dc:creator>MONTREAL.AI</dc:creator>
  <cp:keywords>GoalOS, Proof Mission, Proof Office, Validated Skill Graph, Chronicle, business model</cp:keywords>
  <dc:description>generated by python-docx</dc:description>
  <cp:lastModifiedBy/>
  <cp:revision>1</cp:revision>
  <dcterms:created xsi:type="dcterms:W3CDTF">2013-12-23T23:15:00Z</dcterms:created>
  <dcterms:modified xsi:type="dcterms:W3CDTF">2013-12-23T23:15:00Z</dcterms:modified>
  <cp:category/>
</cp:coreProperties>
</file>