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_90.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720" w:footer="720" w:gutter="0"/>
          <w:cols w:space="720"/>
          <w:docGrid w:linePitch="360"/>
        </w:sectPr>
      </w:pPr>
    </w:p>
    <w:p>
      <w:pPr>
        <w:pStyle w:val="Heading1"/>
      </w:pPr>
      <w:r>
        <w:t>Mandate</w:t>
      </w:r>
    </w:p>
    <w:p>
      <w:pPr>
        <w:pStyle w:val="Lead"/>
      </w:pPr>
      <w:r>
        <w:t>Convert GoalOS from an architecture into an evidence-producing, autonomously transacting enterprise business in 90 days.</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The 90-day objective is not maximum revenue. It is to prove the economic atom: a qualified objective becomes payment, bounded work, evidence, independent review, repeat purchase, rights-cleared capability and a better fresh mission.</w:t>
            </w:r>
          </w:p>
        </w:tc>
      </w:tr>
    </w:tbl>
    <w:p>
      <w:pPr>
        <w:spacing w:after="0"/>
      </w:pPr>
    </w:p>
    <w:p>
      <w:r>
        <w:drawing>
          <wp:inline xmlns:a="http://schemas.openxmlformats.org/drawingml/2006/main" xmlns:pic="http://schemas.openxmlformats.org/drawingml/2006/picture">
            <wp:extent cx="6400800" cy="2631440"/>
            <wp:docPr id="2" name="Picture 2"/>
            <wp:cNvGraphicFramePr>
              <a:graphicFrameLocks noChangeAspect="1"/>
            </wp:cNvGraphicFramePr>
            <a:graphic>
              <a:graphicData uri="http://schemas.openxmlformats.org/drawingml/2006/picture">
                <pic:pic>
                  <pic:nvPicPr>
                    <pic:cNvPr id="0" name="90_day_path.png"/>
                    <pic:cNvPicPr/>
                  </pic:nvPicPr>
                  <pic:blipFill>
                    <a:blip r:embed="rId12"/>
                    <a:stretch>
                      <a:fillRect/>
                    </a:stretch>
                  </pic:blipFill>
                  <pic:spPr>
                    <a:xfrm>
                      <a:off x="0" y="0"/>
                      <a:ext cx="6400800" cy="2631440"/>
                    </a:xfrm>
                    <a:prstGeom prst="rect"/>
                  </pic:spPr>
                </pic:pic>
              </a:graphicData>
            </a:graphic>
          </wp:inline>
        </w:drawing>
      </w:r>
    </w:p>
    <w:p>
      <w:pPr>
        <w:pStyle w:val="Heading1"/>
      </w:pPr>
      <w:r>
        <w:t>1. Frozen launch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0E2B3B"/>
            <w:vAlign w:val="center"/>
            <w:tcBorders>
              <w:bottom w:val="single" w:sz="8" w:color="D6A13C"/>
            </w:tcBorders>
          </w:tcPr>
          <w:p>
            <w:pPr>
              <w:jc w:val="center"/>
            </w:pPr>
            <w:r>
              <w:rPr>
                <w:b/>
                <w:color w:val="FFFFFF"/>
                <w:sz w:val="18"/>
              </w:rPr>
              <w:t>Element</w:t>
            </w:r>
          </w:p>
        </w:tc>
        <w:tc>
          <w:tcPr>
            <w:tcW w:type="dxa" w:w="7200"/>
            <w:shd w:fill="0E2B3B"/>
            <w:vAlign w:val="center"/>
            <w:tcBorders>
              <w:bottom w:val="single" w:sz="8" w:color="D6A13C"/>
            </w:tcBorders>
          </w:tcPr>
          <w:p>
            <w:pPr>
              <w:jc w:val="center"/>
            </w:pPr>
            <w:r>
              <w:rPr>
                <w:b/>
                <w:color w:val="FFFFFF"/>
                <w:sz w:val="18"/>
              </w:rPr>
              <w:t>Frozen decision</w:t>
            </w:r>
          </w:p>
        </w:tc>
      </w:tr>
      <w:tr>
        <w:trPr>
          <w:cantSplit/>
        </w:trPr>
        <w:tc>
          <w:tcPr>
            <w:tcW w:type="dxa" w:w="2880"/>
            <w:vAlign w:val="top"/>
            <w:tcBorders>
              <w:bottom w:val="single" w:sz="2" w:color="D7DFE5"/>
            </w:tcBorders>
          </w:tcPr>
          <w:p>
            <w:pPr>
              <w:spacing w:after="20"/>
            </w:pPr>
            <w:r>
              <w:rPr>
                <w:b/>
                <w:color w:val="071827"/>
                <w:sz w:val="17"/>
              </w:rPr>
              <w:t>ICP</w:t>
            </w:r>
          </w:p>
        </w:tc>
        <w:tc>
          <w:tcPr>
            <w:tcW w:type="dxa" w:w="7200"/>
            <w:vAlign w:val="top"/>
            <w:tcBorders>
              <w:bottom w:val="single" w:sz="2" w:color="D7DFE5"/>
            </w:tcBorders>
          </w:tcPr>
          <w:p>
            <w:pPr>
              <w:spacing w:after="20"/>
            </w:pPr>
            <w:r>
              <w:rPr>
                <w:color w:val="24313D"/>
                <w:sz w:val="17"/>
              </w:rPr>
              <w:t>AI vendor or enterprise AI team with ≥$250K value at stake</w:t>
            </w:r>
          </w:p>
        </w:tc>
      </w:tr>
      <w:tr>
        <w:trPr>
          <w:cantSplit/>
        </w:trPr>
        <w:tc>
          <w:tcPr>
            <w:tcW w:type="dxa" w:w="2880"/>
            <w:vAlign w:val="top"/>
            <w:shd w:fill="F2F5F7"/>
            <w:tcBorders>
              <w:bottom w:val="single" w:sz="2" w:color="D7DFE5"/>
            </w:tcBorders>
          </w:tcPr>
          <w:p>
            <w:pPr>
              <w:spacing w:after="20"/>
            </w:pPr>
            <w:r>
              <w:rPr>
                <w:b/>
                <w:color w:val="071827"/>
                <w:sz w:val="17"/>
              </w:rPr>
              <w:t>Use case</w:t>
            </w:r>
          </w:p>
        </w:tc>
        <w:tc>
          <w:tcPr>
            <w:tcW w:type="dxa" w:w="7200"/>
            <w:vAlign w:val="top"/>
            <w:shd w:fill="F2F5F7"/>
            <w:tcBorders>
              <w:bottom w:val="single" w:sz="2" w:color="D7DFE5"/>
            </w:tcBorders>
          </w:tcPr>
          <w:p>
            <w:pPr>
              <w:spacing w:after="20"/>
            </w:pPr>
            <w:r>
              <w:rPr>
                <w:color w:val="24313D"/>
                <w:sz w:val="17"/>
              </w:rPr>
              <w:t>One consequential AI deployment / claim / procurement decision</w:t>
            </w:r>
          </w:p>
        </w:tc>
      </w:tr>
      <w:tr>
        <w:trPr>
          <w:cantSplit/>
        </w:trPr>
        <w:tc>
          <w:tcPr>
            <w:tcW w:type="dxa" w:w="2880"/>
            <w:vAlign w:val="top"/>
            <w:tcBorders>
              <w:bottom w:val="single" w:sz="2" w:color="D7DFE5"/>
            </w:tcBorders>
          </w:tcPr>
          <w:p>
            <w:pPr>
              <w:spacing w:after="20"/>
            </w:pPr>
            <w:r>
              <w:rPr>
                <w:b/>
                <w:color w:val="071827"/>
                <w:sz w:val="17"/>
              </w:rPr>
              <w:t>Activation</w:t>
            </w:r>
          </w:p>
        </w:tc>
        <w:tc>
          <w:tcPr>
            <w:tcW w:type="dxa" w:w="7200"/>
            <w:vAlign w:val="top"/>
            <w:tcBorders>
              <w:bottom w:val="single" w:sz="2" w:color="D7DFE5"/>
            </w:tcBorders>
          </w:tcPr>
          <w:p>
            <w:pPr>
              <w:spacing w:after="20"/>
            </w:pPr>
            <w:r>
              <w:rPr>
                <w:color w:val="24313D"/>
                <w:sz w:val="17"/>
              </w:rPr>
              <w:t>$15,000; 100% prepaid; 24–72-hour standard delivery</w:t>
            </w:r>
          </w:p>
        </w:tc>
      </w:tr>
      <w:tr>
        <w:trPr>
          <w:cantSplit/>
        </w:trPr>
        <w:tc>
          <w:tcPr>
            <w:tcW w:type="dxa" w:w="2880"/>
            <w:vAlign w:val="top"/>
            <w:shd w:fill="F2F5F7"/>
            <w:tcBorders>
              <w:bottom w:val="single" w:sz="2" w:color="D7DFE5"/>
            </w:tcBorders>
          </w:tcPr>
          <w:p>
            <w:pPr>
              <w:spacing w:after="20"/>
            </w:pPr>
            <w:r>
              <w:rPr>
                <w:b/>
                <w:color w:val="071827"/>
                <w:sz w:val="17"/>
              </w:rPr>
              <w:t>Proof Mission</w:t>
            </w:r>
          </w:p>
        </w:tc>
        <w:tc>
          <w:tcPr>
            <w:tcW w:type="dxa" w:w="7200"/>
            <w:vAlign w:val="top"/>
            <w:shd w:fill="F2F5F7"/>
            <w:tcBorders>
              <w:bottom w:val="single" w:sz="2" w:color="D7DFE5"/>
            </w:tcBorders>
          </w:tcPr>
          <w:p>
            <w:pPr>
              <w:spacing w:after="20"/>
            </w:pPr>
            <w:r>
              <w:rPr>
                <w:color w:val="24313D"/>
                <w:sz w:val="17"/>
              </w:rPr>
              <w:t>$75,000 standard; 10 business days; fixed Evidence Docket</w:t>
            </w:r>
          </w:p>
        </w:tc>
      </w:tr>
      <w:tr>
        <w:trPr>
          <w:cantSplit/>
        </w:trPr>
        <w:tc>
          <w:tcPr>
            <w:tcW w:type="dxa" w:w="2880"/>
            <w:vAlign w:val="top"/>
            <w:tcBorders>
              <w:bottom w:val="single" w:sz="2" w:color="D7DFE5"/>
            </w:tcBorders>
          </w:tcPr>
          <w:p>
            <w:pPr>
              <w:spacing w:after="20"/>
            </w:pPr>
            <w:r>
              <w:rPr>
                <w:b/>
                <w:color w:val="071827"/>
                <w:sz w:val="17"/>
              </w:rPr>
              <w:t>Proof Office</w:t>
            </w:r>
          </w:p>
        </w:tc>
        <w:tc>
          <w:tcPr>
            <w:tcW w:type="dxa" w:w="7200"/>
            <w:vAlign w:val="top"/>
            <w:tcBorders>
              <w:bottom w:val="single" w:sz="2" w:color="D7DFE5"/>
            </w:tcBorders>
          </w:tcPr>
          <w:p>
            <w:pPr>
              <w:spacing w:after="20"/>
            </w:pPr>
            <w:r>
              <w:rPr>
                <w:color w:val="24313D"/>
                <w:sz w:val="17"/>
              </w:rPr>
              <w:t>$18,000/month base; annual prepayment preferred</w:t>
            </w:r>
          </w:p>
        </w:tc>
      </w:tr>
      <w:tr>
        <w:trPr>
          <w:cantSplit/>
        </w:trPr>
        <w:tc>
          <w:tcPr>
            <w:tcW w:type="dxa" w:w="2880"/>
            <w:vAlign w:val="top"/>
            <w:shd w:fill="F2F5F7"/>
            <w:tcBorders>
              <w:bottom w:val="single" w:sz="2" w:color="D7DFE5"/>
            </w:tcBorders>
          </w:tcPr>
          <w:p>
            <w:pPr>
              <w:spacing w:after="20"/>
            </w:pPr>
            <w:r>
              <w:rPr>
                <w:b/>
                <w:color w:val="071827"/>
                <w:sz w:val="17"/>
              </w:rPr>
              <w:t>Review</w:t>
            </w:r>
          </w:p>
        </w:tc>
        <w:tc>
          <w:tcPr>
            <w:tcW w:type="dxa" w:w="7200"/>
            <w:vAlign w:val="top"/>
            <w:shd w:fill="F2F5F7"/>
            <w:tcBorders>
              <w:bottom w:val="single" w:sz="2" w:color="D7DFE5"/>
            </w:tcBorders>
          </w:tcPr>
          <w:p>
            <w:pPr>
              <w:spacing w:after="20"/>
            </w:pPr>
            <w:r>
              <w:rPr>
                <w:color w:val="24313D"/>
                <w:sz w:val="17"/>
              </w:rPr>
              <w:t>Separated reviewer for at least one material outcome</w:t>
            </w:r>
          </w:p>
        </w:tc>
      </w:tr>
      <w:tr>
        <w:trPr>
          <w:cantSplit/>
        </w:trPr>
        <w:tc>
          <w:tcPr>
            <w:tcW w:type="dxa" w:w="2880"/>
            <w:vAlign w:val="top"/>
            <w:tcBorders>
              <w:bottom w:val="single" w:sz="2" w:color="D7DFE5"/>
            </w:tcBorders>
          </w:tcPr>
          <w:p>
            <w:pPr>
              <w:spacing w:after="20"/>
            </w:pPr>
            <w:r>
              <w:rPr>
                <w:b/>
                <w:color w:val="071827"/>
                <w:sz w:val="17"/>
              </w:rPr>
              <w:t>Rights</w:t>
            </w:r>
          </w:p>
        </w:tc>
        <w:tc>
          <w:tcPr>
            <w:tcW w:type="dxa" w:w="7200"/>
            <w:vAlign w:val="top"/>
            <w:tcBorders>
              <w:bottom w:val="single" w:sz="2" w:color="D7DFE5"/>
            </w:tcBorders>
          </w:tcPr>
          <w:p>
            <w:pPr>
              <w:spacing w:after="20"/>
            </w:pPr>
            <w:r>
              <w:rPr>
                <w:color w:val="24313D"/>
                <w:sz w:val="17"/>
              </w:rPr>
              <w:t>Four classes: network-admissible, customer-private, exclusive, mission-only</w:t>
            </w:r>
          </w:p>
        </w:tc>
      </w:tr>
      <w:tr>
        <w:trPr>
          <w:cantSplit/>
        </w:trPr>
        <w:tc>
          <w:tcPr>
            <w:tcW w:type="dxa" w:w="2880"/>
            <w:vAlign w:val="top"/>
            <w:shd w:fill="F2F5F7"/>
            <w:tcBorders>
              <w:bottom w:val="single" w:sz="2" w:color="D7DFE5"/>
            </w:tcBorders>
          </w:tcPr>
          <w:p>
            <w:pPr>
              <w:spacing w:after="20"/>
            </w:pPr>
            <w:r>
              <w:rPr>
                <w:b/>
                <w:color w:val="071827"/>
                <w:sz w:val="17"/>
              </w:rPr>
              <w:t>Commercial lane</w:t>
            </w:r>
          </w:p>
        </w:tc>
        <w:tc>
          <w:tcPr>
            <w:tcW w:type="dxa" w:w="7200"/>
            <w:vAlign w:val="top"/>
            <w:shd w:fill="F2F5F7"/>
            <w:tcBorders>
              <w:bottom w:val="single" w:sz="2" w:color="D7DFE5"/>
            </w:tcBorders>
          </w:tcPr>
          <w:p>
            <w:pPr>
              <w:spacing w:after="20"/>
            </w:pPr>
            <w:r>
              <w:rPr>
                <w:color w:val="24313D"/>
                <w:sz w:val="17"/>
              </w:rPr>
              <w:t>No routine MONTREAL.AI seller intervention</w:t>
            </w:r>
          </w:p>
        </w:tc>
      </w:tr>
      <w:tr>
        <w:trPr>
          <w:cantSplit/>
        </w:trPr>
        <w:tc>
          <w:tcPr>
            <w:tcW w:type="dxa" w:w="2880"/>
            <w:vAlign w:val="top"/>
            <w:tcBorders>
              <w:bottom w:val="single" w:sz="2" w:color="D7DFE5"/>
            </w:tcBorders>
          </w:tcPr>
          <w:p>
            <w:pPr>
              <w:spacing w:after="20"/>
            </w:pPr>
            <w:r>
              <w:rPr>
                <w:b/>
                <w:color w:val="071827"/>
                <w:sz w:val="17"/>
              </w:rPr>
              <w:t>Public claim</w:t>
            </w:r>
          </w:p>
        </w:tc>
        <w:tc>
          <w:tcPr>
            <w:tcW w:type="dxa" w:w="7200"/>
            <w:vAlign w:val="top"/>
            <w:tcBorders>
              <w:bottom w:val="single" w:sz="2" w:color="D7DFE5"/>
            </w:tcBorders>
          </w:tcPr>
          <w:p>
            <w:pPr>
              <w:spacing w:after="20"/>
            </w:pPr>
            <w:r>
              <w:rPr>
                <w:color w:val="24313D"/>
                <w:sz w:val="17"/>
              </w:rPr>
              <w:t>Architecture until paid evidence authorizes stronger language</w:t>
            </w:r>
          </w:p>
        </w:tc>
      </w:tr>
    </w:tbl>
    <w:p>
      <w:pPr>
        <w:spacing w:after="0"/>
      </w:pPr>
    </w:p>
    <w:p>
      <w:pPr>
        <w:pStyle w:val="Heading1"/>
      </w:pPr>
      <w:r>
        <w:t>2. First 15 days - Freeze</w:t>
      </w:r>
    </w:p>
    <w:p>
      <w:pPr>
        <w:pStyle w:val="ListBullet"/>
        <w:spacing w:after="40"/>
      </w:pPr>
      <w:r>
        <w:t>Select one buyer, one trigger and one value proposition.</w:t>
      </w:r>
    </w:p>
    <w:p>
      <w:pPr>
        <w:pStyle w:val="ListBullet"/>
        <w:spacing w:after="40"/>
      </w:pPr>
      <w:r>
        <w:t>Freeze the Readiness Scan, Activation deliverables and Proof Mission acceptance rubric.</w:t>
      </w:r>
    </w:p>
    <w:p>
      <w:pPr>
        <w:pStyle w:val="ListBullet"/>
        <w:spacing w:after="40"/>
      </w:pPr>
      <w:r>
        <w:t>Finalize standard SOW, DPA, terms, rights schedule, refund policy and claim library.</w:t>
      </w:r>
    </w:p>
    <w:p>
      <w:pPr>
        <w:pStyle w:val="ListBullet"/>
        <w:spacing w:after="40"/>
      </w:pPr>
      <w:r>
        <w:t>Configure checkout, invoicing, electronic signature, secure document intake and capacity reservation.</w:t>
      </w:r>
    </w:p>
    <w:p>
      <w:pPr>
        <w:pStyle w:val="ListBullet"/>
        <w:spacing w:after="40"/>
      </w:pPr>
      <w:r>
        <w:t>Build the autonomous deal room and evidence-cited Q&amp;A.</w:t>
      </w:r>
    </w:p>
    <w:p>
      <w:pPr>
        <w:pStyle w:val="ListBullet"/>
        <w:spacing w:after="40"/>
      </w:pPr>
      <w:r>
        <w:t>Name the independent reviewer route and conflict policy.</w:t>
      </w:r>
    </w:p>
    <w:p>
      <w:pPr>
        <w:pStyle w:val="ListBullet"/>
        <w:spacing w:after="40"/>
      </w:pPr>
      <w:r>
        <w:t>Freeze the cost model and 95% / 75% / 80% margin floors for Activation / Mission / Office.</w:t>
      </w:r>
    </w:p>
    <w:p>
      <w:pPr>
        <w:pStyle w:val="Heading1"/>
      </w:pPr>
      <w:r>
        <w:t>3. Days 16–30 - Launch</w:t>
      </w:r>
    </w:p>
    <w:p>
      <w:pPr>
        <w:pStyle w:val="ListBullet"/>
        <w:spacing w:after="40"/>
      </w:pPr>
      <w:r>
        <w:t>Publish the Readiness Scan and one flagship executive briefing.</w:t>
      </w:r>
    </w:p>
    <w:p>
      <w:pPr>
        <w:pStyle w:val="ListBullet"/>
        <w:spacing w:after="40"/>
      </w:pPr>
      <w:r>
        <w:t>Activate permissioned founder, MONTREAL.AI, MasterClass, partner and referral channels.</w:t>
      </w:r>
    </w:p>
    <w:p>
      <w:pPr>
        <w:pStyle w:val="ListBullet"/>
        <w:spacing w:after="40"/>
      </w:pPr>
      <w:r>
        <w:t>Drive 30–60 highly qualified accounts to the Scan.</w:t>
      </w:r>
    </w:p>
    <w:p>
      <w:pPr>
        <w:pStyle w:val="ListBullet"/>
        <w:spacing w:after="40"/>
      </w:pPr>
      <w:r>
        <w:t>Deliver 8–10 paid or tightly controlled founding Activations.</w:t>
      </w:r>
    </w:p>
    <w:p>
      <w:pPr>
        <w:pStyle w:val="ListBullet"/>
        <w:spacing w:after="40"/>
      </w:pPr>
      <w:r>
        <w:t>Convert at least three into the same Proof Mission.</w:t>
      </w:r>
    </w:p>
    <w:p>
      <w:pPr>
        <w:pStyle w:val="ListBullet"/>
        <w:spacing w:after="40"/>
      </w:pPr>
      <w:r>
        <w:t>Record every acquisition source, consent basis, quote, objection, transaction and intervention.</w:t>
      </w:r>
    </w:p>
    <w:p>
      <w:pPr>
        <w:pStyle w:val="Heading1"/>
      </w:pPr>
      <w:r>
        <w:t>4. Days 31–60 - Deliver</w:t>
      </w:r>
    </w:p>
    <w:p>
      <w:pPr>
        <w:pStyle w:val="ListBullet"/>
        <w:spacing w:after="40"/>
      </w:pPr>
      <w:r>
        <w:t>Deliver three missions through the identical state machine.</w:t>
      </w:r>
    </w:p>
    <w:p>
      <w:pPr>
        <w:pStyle w:val="ListBullet"/>
        <w:spacing w:after="40"/>
      </w:pPr>
      <w:r>
        <w:t>Cost every model call, tool, data source, reviewer, retry, support action and founder hour.</w:t>
      </w:r>
    </w:p>
    <w:p>
      <w:pPr>
        <w:pStyle w:val="ListBullet"/>
        <w:spacing w:after="40"/>
      </w:pPr>
      <w:r>
        <w:t>Freeze and hash each Mission Contract and Evidence Docket version.</w:t>
      </w:r>
    </w:p>
    <w:p>
      <w:pPr>
        <w:pStyle w:val="ListBullet"/>
        <w:spacing w:after="40"/>
      </w:pPr>
      <w:r>
        <w:t>Separate working agent, evaluator and Chronicle authority.</w:t>
      </w:r>
    </w:p>
    <w:p>
      <w:pPr>
        <w:pStyle w:val="ListBullet"/>
        <w:spacing w:after="40"/>
      </w:pPr>
      <w:r>
        <w:t>Issue accepted, conditioned, repaired, rejected or stopped terminal states under the frozen rubric.</w:t>
      </w:r>
    </w:p>
    <w:p>
      <w:pPr>
        <w:pStyle w:val="ListBullet"/>
        <w:spacing w:after="40"/>
      </w:pPr>
      <w:r>
        <w:t>Generate the Proof Office plan directly from unresolved and continuing evidence needs.</w:t>
      </w:r>
    </w:p>
    <w:p>
      <w:pPr>
        <w:pStyle w:val="Heading1"/>
      </w:pPr>
      <w:r>
        <w:t>5. Days 61–90 - Compound</w:t>
      </w:r>
    </w:p>
    <w:p>
      <w:pPr>
        <w:pStyle w:val="ListBullet"/>
        <w:spacing w:after="40"/>
      </w:pPr>
      <w:r>
        <w:t>Obtain at least one customer-authorized independent review.</w:t>
      </w:r>
    </w:p>
    <w:p>
      <w:pPr>
        <w:pStyle w:val="ListBullet"/>
        <w:spacing w:after="40"/>
      </w:pPr>
      <w:r>
        <w:t>Close at least one repeat purchase, expansion or Proof Office.</w:t>
      </w:r>
    </w:p>
    <w:p>
      <w:pPr>
        <w:pStyle w:val="ListBullet"/>
        <w:spacing w:after="40"/>
      </w:pPr>
      <w:r>
        <w:t>Identify one rights-cleared candidate capability from accepted work.</w:t>
      </w:r>
    </w:p>
    <w:p>
      <w:pPr>
        <w:pStyle w:val="ListBullet"/>
        <w:spacing w:after="40"/>
      </w:pPr>
      <w:r>
        <w:t>Admit, condition or reject it through Chronicle.</w:t>
      </w:r>
    </w:p>
    <w:p>
      <w:pPr>
        <w:pStyle w:val="ListBullet"/>
        <w:spacing w:after="40"/>
      </w:pPr>
      <w:r>
        <w:t>Give Generation 2 only the admitted capability—not the full original mission transcript.</w:t>
      </w:r>
    </w:p>
    <w:p>
      <w:pPr>
        <w:pStyle w:val="ListBullet"/>
        <w:spacing w:after="40"/>
      </w:pPr>
      <w:r>
        <w:t>Test Generation 2 on a fresh cohort or held-out mission under equal or harder constraints.</w:t>
      </w:r>
    </w:p>
    <w:p>
      <w:pPr>
        <w:pStyle w:val="ListBullet"/>
        <w:spacing w:after="40"/>
      </w:pPr>
      <w:r>
        <w:t>Publish one restrained, public-safe Proof Docket and explicit limitations.</w:t>
      </w:r>
    </w:p>
    <w:p>
      <w:pPr>
        <w:pStyle w:val="Heading1"/>
      </w:pPr>
      <w:r>
        <w:t>6. Week-by-week operating plan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0E2B3B"/>
            <w:vAlign w:val="center"/>
            <w:tcBorders>
              <w:bottom w:val="single" w:sz="8" w:color="D6A13C"/>
            </w:tcBorders>
          </w:tcPr>
          <w:p>
            <w:pPr>
              <w:jc w:val="center"/>
            </w:pPr>
            <w:r>
              <w:rPr>
                <w:b/>
                <w:color w:val="FFFFFF"/>
                <w:sz w:val="16"/>
              </w:rPr>
              <w:t>Week</w:t>
            </w:r>
          </w:p>
        </w:tc>
        <w:tc>
          <w:tcPr>
            <w:tcW w:type="dxa" w:w="5040"/>
            <w:shd w:fill="0E2B3B"/>
            <w:vAlign w:val="center"/>
            <w:tcBorders>
              <w:bottom w:val="single" w:sz="8" w:color="D6A13C"/>
            </w:tcBorders>
          </w:tcPr>
          <w:p>
            <w:pPr>
              <w:jc w:val="center"/>
            </w:pPr>
            <w:r>
              <w:rPr>
                <w:b/>
                <w:color w:val="FFFFFF"/>
                <w:sz w:val="16"/>
              </w:rPr>
              <w:t>Primary work</w:t>
            </w:r>
          </w:p>
        </w:tc>
        <w:tc>
          <w:tcPr>
            <w:tcW w:type="dxa" w:w="4032"/>
            <w:shd w:fill="0E2B3B"/>
            <w:vAlign w:val="center"/>
            <w:tcBorders>
              <w:bottom w:val="single" w:sz="8" w:color="D6A13C"/>
            </w:tcBorders>
          </w:tcPr>
          <w:p>
            <w:pPr>
              <w:jc w:val="center"/>
            </w:pPr>
            <w:r>
              <w:rPr>
                <w:b/>
                <w:color w:val="FFFFFF"/>
                <w:sz w:val="16"/>
              </w:rPr>
              <w:t>Required receipt</w:t>
            </w:r>
          </w:p>
        </w:tc>
      </w:tr>
      <w:tr>
        <w:trPr>
          <w:cantSplit/>
        </w:trPr>
        <w:tc>
          <w:tcPr>
            <w:tcW w:type="dxa" w:w="1008"/>
            <w:vAlign w:val="top"/>
            <w:tcBorders>
              <w:bottom w:val="single" w:sz="2" w:color="D7DFE5"/>
            </w:tcBorders>
          </w:tcPr>
          <w:p>
            <w:pPr>
              <w:spacing w:after="20"/>
            </w:pPr>
            <w:r>
              <w:rPr>
                <w:b/>
                <w:color w:val="071827"/>
                <w:sz w:val="15"/>
              </w:rPr>
              <w:t>1</w:t>
            </w:r>
          </w:p>
        </w:tc>
        <w:tc>
          <w:tcPr>
            <w:tcW w:type="dxa" w:w="5040"/>
            <w:vAlign w:val="top"/>
            <w:tcBorders>
              <w:bottom w:val="single" w:sz="2" w:color="D7DFE5"/>
            </w:tcBorders>
          </w:tcPr>
          <w:p>
            <w:pPr>
              <w:spacing w:after="20"/>
            </w:pPr>
            <w:r>
              <w:rPr>
                <w:color w:val="24313D"/>
                <w:sz w:val="15"/>
              </w:rPr>
              <w:t>ICP, offer, prices, scope, cost and rights freeze</w:t>
            </w:r>
          </w:p>
        </w:tc>
        <w:tc>
          <w:tcPr>
            <w:tcW w:type="dxa" w:w="4032"/>
            <w:vAlign w:val="top"/>
            <w:tcBorders>
              <w:bottom w:val="single" w:sz="2" w:color="D7DFE5"/>
            </w:tcBorders>
          </w:tcPr>
          <w:p>
            <w:pPr>
              <w:spacing w:after="20"/>
            </w:pPr>
            <w:r>
              <w:rPr>
                <w:color w:val="24313D"/>
                <w:sz w:val="15"/>
              </w:rPr>
              <w:t>Approved launch constitution</w:t>
            </w:r>
          </w:p>
        </w:tc>
      </w:tr>
      <w:tr>
        <w:trPr>
          <w:cantSplit/>
        </w:trPr>
        <w:tc>
          <w:tcPr>
            <w:tcW w:type="dxa" w:w="1008"/>
            <w:vAlign w:val="top"/>
            <w:shd w:fill="F2F5F7"/>
            <w:tcBorders>
              <w:bottom w:val="single" w:sz="2" w:color="D7DFE5"/>
            </w:tcBorders>
          </w:tcPr>
          <w:p>
            <w:pPr>
              <w:spacing w:after="20"/>
            </w:pPr>
            <w:r>
              <w:rPr>
                <w:b/>
                <w:color w:val="071827"/>
                <w:sz w:val="15"/>
              </w:rPr>
              <w:t>2</w:t>
            </w:r>
          </w:p>
        </w:tc>
        <w:tc>
          <w:tcPr>
            <w:tcW w:type="dxa" w:w="5040"/>
            <w:vAlign w:val="top"/>
            <w:shd w:fill="F2F5F7"/>
            <w:tcBorders>
              <w:bottom w:val="single" w:sz="2" w:color="D7DFE5"/>
            </w:tcBorders>
          </w:tcPr>
          <w:p>
            <w:pPr>
              <w:spacing w:after="20"/>
            </w:pPr>
            <w:r>
              <w:rPr>
                <w:color w:val="24313D"/>
                <w:sz w:val="15"/>
              </w:rPr>
              <w:t>Contract lane, checkout, secure intake, claim library</w:t>
            </w:r>
          </w:p>
        </w:tc>
        <w:tc>
          <w:tcPr>
            <w:tcW w:type="dxa" w:w="4032"/>
            <w:vAlign w:val="top"/>
            <w:shd w:fill="F2F5F7"/>
            <w:tcBorders>
              <w:bottom w:val="single" w:sz="2" w:color="D7DFE5"/>
            </w:tcBorders>
          </w:tcPr>
          <w:p>
            <w:pPr>
              <w:spacing w:after="20"/>
            </w:pPr>
            <w:r>
              <w:rPr>
                <w:color w:val="24313D"/>
                <w:sz w:val="15"/>
              </w:rPr>
              <w:t>End-to-end transaction dry run</w:t>
            </w:r>
          </w:p>
        </w:tc>
      </w:tr>
      <w:tr>
        <w:trPr>
          <w:cantSplit/>
        </w:trPr>
        <w:tc>
          <w:tcPr>
            <w:tcW w:type="dxa" w:w="1008"/>
            <w:vAlign w:val="top"/>
            <w:tcBorders>
              <w:bottom w:val="single" w:sz="2" w:color="D7DFE5"/>
            </w:tcBorders>
          </w:tcPr>
          <w:p>
            <w:pPr>
              <w:spacing w:after="20"/>
            </w:pPr>
            <w:r>
              <w:rPr>
                <w:b/>
                <w:color w:val="071827"/>
                <w:sz w:val="15"/>
              </w:rPr>
              <w:t>3</w:t>
            </w:r>
          </w:p>
        </w:tc>
        <w:tc>
          <w:tcPr>
            <w:tcW w:type="dxa" w:w="5040"/>
            <w:vAlign w:val="top"/>
            <w:tcBorders>
              <w:bottom w:val="single" w:sz="2" w:color="D7DFE5"/>
            </w:tcBorders>
          </w:tcPr>
          <w:p>
            <w:pPr>
              <w:spacing w:after="20"/>
            </w:pPr>
            <w:r>
              <w:rPr>
                <w:color w:val="24313D"/>
                <w:sz w:val="15"/>
              </w:rPr>
              <w:t>Readiness Scan and deal room live</w:t>
            </w:r>
          </w:p>
        </w:tc>
        <w:tc>
          <w:tcPr>
            <w:tcW w:type="dxa" w:w="4032"/>
            <w:vAlign w:val="top"/>
            <w:tcBorders>
              <w:bottom w:val="single" w:sz="2" w:color="D7DFE5"/>
            </w:tcBorders>
          </w:tcPr>
          <w:p>
            <w:pPr>
              <w:spacing w:after="20"/>
            </w:pPr>
            <w:r>
              <w:rPr>
                <w:color w:val="24313D"/>
                <w:sz w:val="15"/>
              </w:rPr>
              <w:t>First qualified scans</w:t>
            </w:r>
          </w:p>
        </w:tc>
      </w:tr>
      <w:tr>
        <w:trPr>
          <w:cantSplit/>
        </w:trPr>
        <w:tc>
          <w:tcPr>
            <w:tcW w:type="dxa" w:w="1008"/>
            <w:vAlign w:val="top"/>
            <w:shd w:fill="F2F5F7"/>
            <w:tcBorders>
              <w:bottom w:val="single" w:sz="2" w:color="D7DFE5"/>
            </w:tcBorders>
          </w:tcPr>
          <w:p>
            <w:pPr>
              <w:spacing w:after="20"/>
            </w:pPr>
            <w:r>
              <w:rPr>
                <w:b/>
                <w:color w:val="071827"/>
                <w:sz w:val="15"/>
              </w:rPr>
              <w:t>4</w:t>
            </w:r>
          </w:p>
        </w:tc>
        <w:tc>
          <w:tcPr>
            <w:tcW w:type="dxa" w:w="5040"/>
            <w:vAlign w:val="top"/>
            <w:shd w:fill="F2F5F7"/>
            <w:tcBorders>
              <w:bottom w:val="single" w:sz="2" w:color="D7DFE5"/>
            </w:tcBorders>
          </w:tcPr>
          <w:p>
            <w:pPr>
              <w:spacing w:after="20"/>
            </w:pPr>
            <w:r>
              <w:rPr>
                <w:color w:val="24313D"/>
                <w:sz w:val="15"/>
              </w:rPr>
              <w:t>Founding Activation deliveries</w:t>
            </w:r>
          </w:p>
        </w:tc>
        <w:tc>
          <w:tcPr>
            <w:tcW w:type="dxa" w:w="4032"/>
            <w:vAlign w:val="top"/>
            <w:shd w:fill="F2F5F7"/>
            <w:tcBorders>
              <w:bottom w:val="single" w:sz="2" w:color="D7DFE5"/>
            </w:tcBorders>
          </w:tcPr>
          <w:p>
            <w:pPr>
              <w:spacing w:after="20"/>
            </w:pPr>
            <w:r>
              <w:rPr>
                <w:color w:val="24313D"/>
                <w:sz w:val="15"/>
              </w:rPr>
              <w:t>First paid receipt and Activation Docket</w:t>
            </w:r>
          </w:p>
        </w:tc>
      </w:tr>
      <w:tr>
        <w:trPr>
          <w:cantSplit/>
        </w:trPr>
        <w:tc>
          <w:tcPr>
            <w:tcW w:type="dxa" w:w="1008"/>
            <w:vAlign w:val="top"/>
            <w:tcBorders>
              <w:bottom w:val="single" w:sz="2" w:color="D7DFE5"/>
            </w:tcBorders>
          </w:tcPr>
          <w:p>
            <w:pPr>
              <w:spacing w:after="20"/>
            </w:pPr>
            <w:r>
              <w:rPr>
                <w:b/>
                <w:color w:val="071827"/>
                <w:sz w:val="15"/>
              </w:rPr>
              <w:t>5</w:t>
            </w:r>
          </w:p>
        </w:tc>
        <w:tc>
          <w:tcPr>
            <w:tcW w:type="dxa" w:w="5040"/>
            <w:vAlign w:val="top"/>
            <w:tcBorders>
              <w:bottom w:val="single" w:sz="2" w:color="D7DFE5"/>
            </w:tcBorders>
          </w:tcPr>
          <w:p>
            <w:pPr>
              <w:spacing w:after="20"/>
            </w:pPr>
            <w:r>
              <w:rPr>
                <w:color w:val="24313D"/>
                <w:sz w:val="15"/>
              </w:rPr>
              <w:t>Mission 1 starts</w:t>
            </w:r>
          </w:p>
        </w:tc>
        <w:tc>
          <w:tcPr>
            <w:tcW w:type="dxa" w:w="4032"/>
            <w:vAlign w:val="top"/>
            <w:tcBorders>
              <w:bottom w:val="single" w:sz="2" w:color="D7DFE5"/>
            </w:tcBorders>
          </w:tcPr>
          <w:p>
            <w:pPr>
              <w:spacing w:after="20"/>
            </w:pPr>
            <w:r>
              <w:rPr>
                <w:color w:val="24313D"/>
                <w:sz w:val="15"/>
              </w:rPr>
              <w:t>Frozen Mission Contract</w:t>
            </w:r>
          </w:p>
        </w:tc>
      </w:tr>
      <w:tr>
        <w:trPr>
          <w:cantSplit/>
        </w:trPr>
        <w:tc>
          <w:tcPr>
            <w:tcW w:type="dxa" w:w="1008"/>
            <w:vAlign w:val="top"/>
            <w:shd w:fill="F2F5F7"/>
            <w:tcBorders>
              <w:bottom w:val="single" w:sz="2" w:color="D7DFE5"/>
            </w:tcBorders>
          </w:tcPr>
          <w:p>
            <w:pPr>
              <w:spacing w:after="20"/>
            </w:pPr>
            <w:r>
              <w:rPr>
                <w:b/>
                <w:color w:val="071827"/>
                <w:sz w:val="15"/>
              </w:rPr>
              <w:t>6</w:t>
            </w:r>
          </w:p>
        </w:tc>
        <w:tc>
          <w:tcPr>
            <w:tcW w:type="dxa" w:w="5040"/>
            <w:vAlign w:val="top"/>
            <w:shd w:fill="F2F5F7"/>
            <w:tcBorders>
              <w:bottom w:val="single" w:sz="2" w:color="D7DFE5"/>
            </w:tcBorders>
          </w:tcPr>
          <w:p>
            <w:pPr>
              <w:spacing w:after="20"/>
            </w:pPr>
            <w:r>
              <w:rPr>
                <w:color w:val="24313D"/>
                <w:sz w:val="15"/>
              </w:rPr>
              <w:t>Missions 2 and 3 start</w:t>
            </w:r>
          </w:p>
        </w:tc>
        <w:tc>
          <w:tcPr>
            <w:tcW w:type="dxa" w:w="4032"/>
            <w:vAlign w:val="top"/>
            <w:shd w:fill="F2F5F7"/>
            <w:tcBorders>
              <w:bottom w:val="single" w:sz="2" w:color="D7DFE5"/>
            </w:tcBorders>
          </w:tcPr>
          <w:p>
            <w:pPr>
              <w:spacing w:after="20"/>
            </w:pPr>
            <w:r>
              <w:rPr>
                <w:color w:val="24313D"/>
                <w:sz w:val="15"/>
              </w:rPr>
              <w:t>Three comparable missions</w:t>
            </w:r>
          </w:p>
        </w:tc>
      </w:tr>
      <w:tr>
        <w:trPr>
          <w:cantSplit/>
        </w:trPr>
        <w:tc>
          <w:tcPr>
            <w:tcW w:type="dxa" w:w="1008"/>
            <w:vAlign w:val="top"/>
            <w:tcBorders>
              <w:bottom w:val="single" w:sz="2" w:color="D7DFE5"/>
            </w:tcBorders>
          </w:tcPr>
          <w:p>
            <w:pPr>
              <w:spacing w:after="20"/>
            </w:pPr>
            <w:r>
              <w:rPr>
                <w:b/>
                <w:color w:val="071827"/>
                <w:sz w:val="15"/>
              </w:rPr>
              <w:t>7</w:t>
            </w:r>
          </w:p>
        </w:tc>
        <w:tc>
          <w:tcPr>
            <w:tcW w:type="dxa" w:w="5040"/>
            <w:vAlign w:val="top"/>
            <w:tcBorders>
              <w:bottom w:val="single" w:sz="2" w:color="D7DFE5"/>
            </w:tcBorders>
          </w:tcPr>
          <w:p>
            <w:pPr>
              <w:spacing w:after="20"/>
            </w:pPr>
            <w:r>
              <w:rPr>
                <w:color w:val="24313D"/>
                <w:sz w:val="15"/>
              </w:rPr>
              <w:t>Execution and evidence</w:t>
            </w:r>
          </w:p>
        </w:tc>
        <w:tc>
          <w:tcPr>
            <w:tcW w:type="dxa" w:w="4032"/>
            <w:vAlign w:val="top"/>
            <w:tcBorders>
              <w:bottom w:val="single" w:sz="2" w:color="D7DFE5"/>
            </w:tcBorders>
          </w:tcPr>
          <w:p>
            <w:pPr>
              <w:spacing w:after="20"/>
            </w:pPr>
            <w:r>
              <w:rPr>
                <w:color w:val="24313D"/>
                <w:sz w:val="15"/>
              </w:rPr>
              <w:t>Costed Evidence Dockets</w:t>
            </w:r>
          </w:p>
        </w:tc>
      </w:tr>
      <w:tr>
        <w:trPr>
          <w:cantSplit/>
        </w:trPr>
        <w:tc>
          <w:tcPr>
            <w:tcW w:type="dxa" w:w="1008"/>
            <w:vAlign w:val="top"/>
            <w:shd w:fill="F2F5F7"/>
            <w:tcBorders>
              <w:bottom w:val="single" w:sz="2" w:color="D7DFE5"/>
            </w:tcBorders>
          </w:tcPr>
          <w:p>
            <w:pPr>
              <w:spacing w:after="20"/>
            </w:pPr>
            <w:r>
              <w:rPr>
                <w:b/>
                <w:color w:val="071827"/>
                <w:sz w:val="15"/>
              </w:rPr>
              <w:t>8</w:t>
            </w:r>
          </w:p>
        </w:tc>
        <w:tc>
          <w:tcPr>
            <w:tcW w:type="dxa" w:w="5040"/>
            <w:vAlign w:val="top"/>
            <w:shd w:fill="F2F5F7"/>
            <w:tcBorders>
              <w:bottom w:val="single" w:sz="2" w:color="D7DFE5"/>
            </w:tcBorders>
          </w:tcPr>
          <w:p>
            <w:pPr>
              <w:spacing w:after="20"/>
            </w:pPr>
            <w:r>
              <w:rPr>
                <w:color w:val="24313D"/>
                <w:sz w:val="15"/>
              </w:rPr>
              <w:t>Customer acceptance and review</w:t>
            </w:r>
          </w:p>
        </w:tc>
        <w:tc>
          <w:tcPr>
            <w:tcW w:type="dxa" w:w="4032"/>
            <w:vAlign w:val="top"/>
            <w:shd w:fill="F2F5F7"/>
            <w:tcBorders>
              <w:bottom w:val="single" w:sz="2" w:color="D7DFE5"/>
            </w:tcBorders>
          </w:tcPr>
          <w:p>
            <w:pPr>
              <w:spacing w:after="20"/>
            </w:pPr>
            <w:r>
              <w:rPr>
                <w:color w:val="24313D"/>
                <w:sz w:val="15"/>
              </w:rPr>
              <w:t>Terminal decisions</w:t>
            </w:r>
          </w:p>
        </w:tc>
      </w:tr>
      <w:tr>
        <w:trPr>
          <w:cantSplit/>
        </w:trPr>
        <w:tc>
          <w:tcPr>
            <w:tcW w:type="dxa" w:w="1008"/>
            <w:vAlign w:val="top"/>
            <w:tcBorders>
              <w:bottom w:val="single" w:sz="2" w:color="D7DFE5"/>
            </w:tcBorders>
          </w:tcPr>
          <w:p>
            <w:pPr>
              <w:spacing w:after="20"/>
            </w:pPr>
            <w:r>
              <w:rPr>
                <w:b/>
                <w:color w:val="071827"/>
                <w:sz w:val="15"/>
              </w:rPr>
              <w:t>9</w:t>
            </w:r>
          </w:p>
        </w:tc>
        <w:tc>
          <w:tcPr>
            <w:tcW w:type="dxa" w:w="5040"/>
            <w:vAlign w:val="top"/>
            <w:tcBorders>
              <w:bottom w:val="single" w:sz="2" w:color="D7DFE5"/>
            </w:tcBorders>
          </w:tcPr>
          <w:p>
            <w:pPr>
              <w:spacing w:after="20"/>
            </w:pPr>
            <w:r>
              <w:rPr>
                <w:color w:val="24313D"/>
                <w:sz w:val="15"/>
              </w:rPr>
              <w:t>Proof Office proposal</w:t>
            </w:r>
          </w:p>
        </w:tc>
        <w:tc>
          <w:tcPr>
            <w:tcW w:type="dxa" w:w="4032"/>
            <w:vAlign w:val="top"/>
            <w:tcBorders>
              <w:bottom w:val="single" w:sz="2" w:color="D7DFE5"/>
            </w:tcBorders>
          </w:tcPr>
          <w:p>
            <w:pPr>
              <w:spacing w:after="20"/>
            </w:pPr>
            <w:r>
              <w:rPr>
                <w:color w:val="24313D"/>
                <w:sz w:val="15"/>
              </w:rPr>
              <w:t>First recurring transaction</w:t>
            </w:r>
          </w:p>
        </w:tc>
      </w:tr>
      <w:tr>
        <w:trPr>
          <w:cantSplit/>
        </w:trPr>
        <w:tc>
          <w:tcPr>
            <w:tcW w:type="dxa" w:w="1008"/>
            <w:vAlign w:val="top"/>
            <w:shd w:fill="F2F5F7"/>
            <w:tcBorders>
              <w:bottom w:val="single" w:sz="2" w:color="D7DFE5"/>
            </w:tcBorders>
          </w:tcPr>
          <w:p>
            <w:pPr>
              <w:spacing w:after="20"/>
            </w:pPr>
            <w:r>
              <w:rPr>
                <w:b/>
                <w:color w:val="071827"/>
                <w:sz w:val="15"/>
              </w:rPr>
              <w:t>10</w:t>
            </w:r>
          </w:p>
        </w:tc>
        <w:tc>
          <w:tcPr>
            <w:tcW w:type="dxa" w:w="5040"/>
            <w:vAlign w:val="top"/>
            <w:shd w:fill="F2F5F7"/>
            <w:tcBorders>
              <w:bottom w:val="single" w:sz="2" w:color="D7DFE5"/>
            </w:tcBorders>
          </w:tcPr>
          <w:p>
            <w:pPr>
              <w:spacing w:after="20"/>
            </w:pPr>
            <w:r>
              <w:rPr>
                <w:color w:val="24313D"/>
                <w:sz w:val="15"/>
              </w:rPr>
              <w:t>Candidate skill passport</w:t>
            </w:r>
          </w:p>
        </w:tc>
        <w:tc>
          <w:tcPr>
            <w:tcW w:type="dxa" w:w="4032"/>
            <w:vAlign w:val="top"/>
            <w:shd w:fill="F2F5F7"/>
            <w:tcBorders>
              <w:bottom w:val="single" w:sz="2" w:color="D7DFE5"/>
            </w:tcBorders>
          </w:tcPr>
          <w:p>
            <w:pPr>
              <w:spacing w:after="20"/>
            </w:pPr>
            <w:r>
              <w:rPr>
                <w:color w:val="24313D"/>
                <w:sz w:val="15"/>
              </w:rPr>
              <w:t>Rights and evidence review</w:t>
            </w:r>
          </w:p>
        </w:tc>
      </w:tr>
      <w:tr>
        <w:trPr>
          <w:cantSplit/>
        </w:trPr>
        <w:tc>
          <w:tcPr>
            <w:tcW w:type="dxa" w:w="1008"/>
            <w:vAlign w:val="top"/>
            <w:tcBorders>
              <w:bottom w:val="single" w:sz="2" w:color="D7DFE5"/>
            </w:tcBorders>
          </w:tcPr>
          <w:p>
            <w:pPr>
              <w:spacing w:after="20"/>
            </w:pPr>
            <w:r>
              <w:rPr>
                <w:b/>
                <w:color w:val="071827"/>
                <w:sz w:val="15"/>
              </w:rPr>
              <w:t>11</w:t>
            </w:r>
          </w:p>
        </w:tc>
        <w:tc>
          <w:tcPr>
            <w:tcW w:type="dxa" w:w="5040"/>
            <w:vAlign w:val="top"/>
            <w:tcBorders>
              <w:bottom w:val="single" w:sz="2" w:color="D7DFE5"/>
            </w:tcBorders>
          </w:tcPr>
          <w:p>
            <w:pPr>
              <w:spacing w:after="20"/>
            </w:pPr>
            <w:r>
              <w:rPr>
                <w:color w:val="24313D"/>
                <w:sz w:val="15"/>
              </w:rPr>
              <w:t>Fresh successor test</w:t>
            </w:r>
          </w:p>
        </w:tc>
        <w:tc>
          <w:tcPr>
            <w:tcW w:type="dxa" w:w="4032"/>
            <w:vAlign w:val="top"/>
            <w:tcBorders>
              <w:bottom w:val="single" w:sz="2" w:color="D7DFE5"/>
            </w:tcBorders>
          </w:tcPr>
          <w:p>
            <w:pPr>
              <w:spacing w:after="20"/>
            </w:pPr>
            <w:r>
              <w:rPr>
                <w:color w:val="24313D"/>
                <w:sz w:val="15"/>
              </w:rPr>
              <w:t>Preregistered comparison</w:t>
            </w:r>
          </w:p>
        </w:tc>
      </w:tr>
      <w:tr>
        <w:trPr>
          <w:cantSplit/>
        </w:trPr>
        <w:tc>
          <w:tcPr>
            <w:tcW w:type="dxa" w:w="1008"/>
            <w:vAlign w:val="top"/>
            <w:shd w:fill="F2F5F7"/>
            <w:tcBorders>
              <w:bottom w:val="single" w:sz="2" w:color="D7DFE5"/>
            </w:tcBorders>
          </w:tcPr>
          <w:p>
            <w:pPr>
              <w:spacing w:after="20"/>
            </w:pPr>
            <w:r>
              <w:rPr>
                <w:b/>
                <w:color w:val="071827"/>
                <w:sz w:val="15"/>
              </w:rPr>
              <w:t>12–13</w:t>
            </w:r>
          </w:p>
        </w:tc>
        <w:tc>
          <w:tcPr>
            <w:tcW w:type="dxa" w:w="5040"/>
            <w:vAlign w:val="top"/>
            <w:shd w:fill="F2F5F7"/>
            <w:tcBorders>
              <w:bottom w:val="single" w:sz="2" w:color="D7DFE5"/>
            </w:tcBorders>
          </w:tcPr>
          <w:p>
            <w:pPr>
              <w:spacing w:after="20"/>
            </w:pPr>
            <w:r>
              <w:rPr>
                <w:color w:val="24313D"/>
                <w:sz w:val="15"/>
              </w:rPr>
              <w:t>Review, Chronicle, public proof and board decision</w:t>
            </w:r>
          </w:p>
        </w:tc>
        <w:tc>
          <w:tcPr>
            <w:tcW w:type="dxa" w:w="4032"/>
            <w:vAlign w:val="top"/>
            <w:shd w:fill="F2F5F7"/>
            <w:tcBorders>
              <w:bottom w:val="single" w:sz="2" w:color="D7DFE5"/>
            </w:tcBorders>
          </w:tcPr>
          <w:p>
            <w:pPr>
              <w:spacing w:after="20"/>
            </w:pPr>
            <w:r>
              <w:rPr>
                <w:color w:val="24313D"/>
                <w:sz w:val="15"/>
              </w:rPr>
              <w:t>GO / CONDITIONAL GO / STOP</w:t>
            </w:r>
          </w:p>
        </w:tc>
      </w:tr>
    </w:tbl>
    <w:p>
      <w:pPr>
        <w:spacing w:after="0"/>
      </w:pPr>
    </w:p>
    <w:p>
      <w:pPr>
        <w:pStyle w:val="Heading1"/>
      </w:pPr>
      <w:r>
        <w:t>7. 90-day budget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0E2B3B"/>
            <w:vAlign w:val="center"/>
            <w:tcBorders>
              <w:bottom w:val="single" w:sz="8" w:color="D6A13C"/>
            </w:tcBorders>
          </w:tcPr>
          <w:p>
            <w:pPr>
              <w:jc w:val="center"/>
            </w:pPr>
            <w:r>
              <w:rPr>
                <w:b/>
                <w:color w:val="FFFFFF"/>
                <w:sz w:val="18"/>
              </w:rPr>
              <w:t>Category</w:t>
            </w:r>
          </w:p>
        </w:tc>
        <w:tc>
          <w:tcPr>
            <w:tcW w:type="dxa" w:w="1728"/>
            <w:shd w:fill="0E2B3B"/>
            <w:vAlign w:val="center"/>
            <w:tcBorders>
              <w:bottom w:val="single" w:sz="8" w:color="D6A13C"/>
            </w:tcBorders>
          </w:tcPr>
          <w:p>
            <w:pPr>
              <w:jc w:val="center"/>
            </w:pPr>
            <w:r>
              <w:rPr>
                <w:b/>
                <w:color w:val="FFFFFF"/>
                <w:sz w:val="18"/>
              </w:rPr>
              <w:t>Ceiling</w:t>
            </w:r>
          </w:p>
        </w:tc>
        <w:tc>
          <w:tcPr>
            <w:tcW w:type="dxa" w:w="4896"/>
            <w:shd w:fill="0E2B3B"/>
            <w:vAlign w:val="center"/>
            <w:tcBorders>
              <w:bottom w:val="single" w:sz="8" w:color="D6A13C"/>
            </w:tcBorders>
          </w:tcPr>
          <w:p>
            <w:pPr>
              <w:jc w:val="center"/>
            </w:pPr>
            <w:r>
              <w:rPr>
                <w:b/>
                <w:color w:val="FFFFFF"/>
                <w:sz w:val="18"/>
              </w:rPr>
              <w:t>Purpose</w:t>
            </w:r>
          </w:p>
        </w:tc>
      </w:tr>
      <w:tr>
        <w:trPr>
          <w:cantSplit/>
        </w:trPr>
        <w:tc>
          <w:tcPr>
            <w:tcW w:type="dxa" w:w="3456"/>
            <w:vAlign w:val="top"/>
            <w:tcBorders>
              <w:bottom w:val="single" w:sz="2" w:color="D7DFE5"/>
            </w:tcBorders>
          </w:tcPr>
          <w:p>
            <w:pPr>
              <w:spacing w:after="20"/>
            </w:pPr>
            <w:r>
              <w:rPr>
                <w:b/>
                <w:color w:val="071827"/>
                <w:sz w:val="17"/>
              </w:rPr>
              <w:t>Product and automation</w:t>
            </w:r>
          </w:p>
        </w:tc>
        <w:tc>
          <w:tcPr>
            <w:tcW w:type="dxa" w:w="1728"/>
            <w:vAlign w:val="top"/>
            <w:tcBorders>
              <w:bottom w:val="single" w:sz="2" w:color="D7DFE5"/>
            </w:tcBorders>
          </w:tcPr>
          <w:p>
            <w:pPr>
              <w:spacing w:after="20"/>
            </w:pPr>
            <w:r>
              <w:rPr>
                <w:color w:val="24313D"/>
                <w:sz w:val="17"/>
              </w:rPr>
              <w:t>$90,000</w:t>
            </w:r>
          </w:p>
        </w:tc>
        <w:tc>
          <w:tcPr>
            <w:tcW w:type="dxa" w:w="4896"/>
            <w:vAlign w:val="top"/>
            <w:tcBorders>
              <w:bottom w:val="single" w:sz="2" w:color="D7DFE5"/>
            </w:tcBorders>
          </w:tcPr>
          <w:p>
            <w:pPr>
              <w:spacing w:after="20"/>
            </w:pPr>
            <w:r>
              <w:rPr>
                <w:color w:val="24313D"/>
                <w:sz w:val="17"/>
              </w:rPr>
              <w:t>Scan, deal room, transaction, Mission Contract and Docket</w:t>
            </w:r>
          </w:p>
        </w:tc>
      </w:tr>
      <w:tr>
        <w:trPr>
          <w:cantSplit/>
        </w:trPr>
        <w:tc>
          <w:tcPr>
            <w:tcW w:type="dxa" w:w="3456"/>
            <w:vAlign w:val="top"/>
            <w:shd w:fill="F2F5F7"/>
            <w:tcBorders>
              <w:bottom w:val="single" w:sz="2" w:color="D7DFE5"/>
            </w:tcBorders>
          </w:tcPr>
          <w:p>
            <w:pPr>
              <w:spacing w:after="20"/>
            </w:pPr>
            <w:r>
              <w:rPr>
                <w:b/>
                <w:color w:val="071827"/>
                <w:sz w:val="17"/>
              </w:rPr>
              <w:t>Mission delivery and tools</w:t>
            </w:r>
          </w:p>
        </w:tc>
        <w:tc>
          <w:tcPr>
            <w:tcW w:type="dxa" w:w="1728"/>
            <w:vAlign w:val="top"/>
            <w:shd w:fill="F2F5F7"/>
            <w:tcBorders>
              <w:bottom w:val="single" w:sz="2" w:color="D7DFE5"/>
            </w:tcBorders>
          </w:tcPr>
          <w:p>
            <w:pPr>
              <w:spacing w:after="20"/>
            </w:pPr>
            <w:r>
              <w:rPr>
                <w:color w:val="24313D"/>
                <w:sz w:val="17"/>
              </w:rPr>
              <w:t>$45,000</w:t>
            </w:r>
          </w:p>
        </w:tc>
        <w:tc>
          <w:tcPr>
            <w:tcW w:type="dxa" w:w="4896"/>
            <w:vAlign w:val="top"/>
            <w:shd w:fill="F2F5F7"/>
            <w:tcBorders>
              <w:bottom w:val="single" w:sz="2" w:color="D7DFE5"/>
            </w:tcBorders>
          </w:tcPr>
          <w:p>
            <w:pPr>
              <w:spacing w:after="20"/>
            </w:pPr>
            <w:r>
              <w:rPr>
                <w:color w:val="24313D"/>
                <w:sz w:val="17"/>
              </w:rPr>
              <w:t>Models, data, environments, testing and support</w:t>
            </w:r>
          </w:p>
        </w:tc>
      </w:tr>
      <w:tr>
        <w:trPr>
          <w:cantSplit/>
        </w:trPr>
        <w:tc>
          <w:tcPr>
            <w:tcW w:type="dxa" w:w="3456"/>
            <w:vAlign w:val="top"/>
            <w:tcBorders>
              <w:bottom w:val="single" w:sz="2" w:color="D7DFE5"/>
            </w:tcBorders>
          </w:tcPr>
          <w:p>
            <w:pPr>
              <w:spacing w:after="20"/>
            </w:pPr>
            <w:r>
              <w:rPr>
                <w:b/>
                <w:color w:val="071827"/>
                <w:sz w:val="17"/>
              </w:rPr>
              <w:t>Independent review and security</w:t>
            </w:r>
          </w:p>
        </w:tc>
        <w:tc>
          <w:tcPr>
            <w:tcW w:type="dxa" w:w="1728"/>
            <w:vAlign w:val="top"/>
            <w:tcBorders>
              <w:bottom w:val="single" w:sz="2" w:color="D7DFE5"/>
            </w:tcBorders>
          </w:tcPr>
          <w:p>
            <w:pPr>
              <w:spacing w:after="20"/>
            </w:pPr>
            <w:r>
              <w:rPr>
                <w:color w:val="24313D"/>
                <w:sz w:val="17"/>
              </w:rPr>
              <w:t>$35,000</w:t>
            </w:r>
          </w:p>
        </w:tc>
        <w:tc>
          <w:tcPr>
            <w:tcW w:type="dxa" w:w="4896"/>
            <w:vAlign w:val="top"/>
            <w:tcBorders>
              <w:bottom w:val="single" w:sz="2" w:color="D7DFE5"/>
            </w:tcBorders>
          </w:tcPr>
          <w:p>
            <w:pPr>
              <w:spacing w:after="20"/>
            </w:pPr>
            <w:r>
              <w:rPr>
                <w:color w:val="24313D"/>
                <w:sz w:val="17"/>
              </w:rPr>
              <w:t>Evaluator, counsel, privacy and architecture review</w:t>
            </w:r>
          </w:p>
        </w:tc>
      </w:tr>
      <w:tr>
        <w:trPr>
          <w:cantSplit/>
        </w:trPr>
        <w:tc>
          <w:tcPr>
            <w:tcW w:type="dxa" w:w="3456"/>
            <w:vAlign w:val="top"/>
            <w:shd w:fill="F2F5F7"/>
            <w:tcBorders>
              <w:bottom w:val="single" w:sz="2" w:color="D7DFE5"/>
            </w:tcBorders>
          </w:tcPr>
          <w:p>
            <w:pPr>
              <w:spacing w:after="20"/>
            </w:pPr>
            <w:r>
              <w:rPr>
                <w:b/>
                <w:color w:val="071827"/>
                <w:sz w:val="17"/>
              </w:rPr>
              <w:t>Demand and communications</w:t>
            </w:r>
          </w:p>
        </w:tc>
        <w:tc>
          <w:tcPr>
            <w:tcW w:type="dxa" w:w="1728"/>
            <w:vAlign w:val="top"/>
            <w:shd w:fill="F2F5F7"/>
            <w:tcBorders>
              <w:bottom w:val="single" w:sz="2" w:color="D7DFE5"/>
            </w:tcBorders>
          </w:tcPr>
          <w:p>
            <w:pPr>
              <w:spacing w:after="20"/>
            </w:pPr>
            <w:r>
              <w:rPr>
                <w:color w:val="24313D"/>
                <w:sz w:val="17"/>
              </w:rPr>
              <w:t>$30,000</w:t>
            </w:r>
          </w:p>
        </w:tc>
        <w:tc>
          <w:tcPr>
            <w:tcW w:type="dxa" w:w="4896"/>
            <w:vAlign w:val="top"/>
            <w:shd w:fill="F2F5F7"/>
            <w:tcBorders>
              <w:bottom w:val="single" w:sz="2" w:color="D7DFE5"/>
            </w:tcBorders>
          </w:tcPr>
          <w:p>
            <w:pPr>
              <w:spacing w:after="20"/>
            </w:pPr>
            <w:r>
              <w:rPr>
                <w:color w:val="24313D"/>
                <w:sz w:val="17"/>
              </w:rPr>
              <w:t>Permissioned campaigns, MasterClass, partner activation</w:t>
            </w:r>
          </w:p>
        </w:tc>
      </w:tr>
      <w:tr>
        <w:trPr>
          <w:cantSplit/>
        </w:trPr>
        <w:tc>
          <w:tcPr>
            <w:tcW w:type="dxa" w:w="3456"/>
            <w:vAlign w:val="top"/>
            <w:tcBorders>
              <w:bottom w:val="single" w:sz="2" w:color="D7DFE5"/>
            </w:tcBorders>
          </w:tcPr>
          <w:p>
            <w:pPr>
              <w:spacing w:after="20"/>
            </w:pPr>
            <w:r>
              <w:rPr>
                <w:b/>
                <w:color w:val="071827"/>
                <w:sz w:val="17"/>
              </w:rPr>
              <w:t>Legal, finance and insurance</w:t>
            </w:r>
          </w:p>
        </w:tc>
        <w:tc>
          <w:tcPr>
            <w:tcW w:type="dxa" w:w="1728"/>
            <w:vAlign w:val="top"/>
            <w:tcBorders>
              <w:bottom w:val="single" w:sz="2" w:color="D7DFE5"/>
            </w:tcBorders>
          </w:tcPr>
          <w:p>
            <w:pPr>
              <w:spacing w:after="20"/>
            </w:pPr>
            <w:r>
              <w:rPr>
                <w:color w:val="24313D"/>
                <w:sz w:val="17"/>
              </w:rPr>
              <w:t>$25,000</w:t>
            </w:r>
          </w:p>
        </w:tc>
        <w:tc>
          <w:tcPr>
            <w:tcW w:type="dxa" w:w="4896"/>
            <w:vAlign w:val="top"/>
            <w:tcBorders>
              <w:bottom w:val="single" w:sz="2" w:color="D7DFE5"/>
            </w:tcBorders>
          </w:tcPr>
          <w:p>
            <w:pPr>
              <w:spacing w:after="20"/>
            </w:pPr>
            <w:r>
              <w:rPr>
                <w:color w:val="24313D"/>
                <w:sz w:val="17"/>
              </w:rPr>
              <w:t>Commercial documents, rights, accounting and risk</w:t>
            </w:r>
          </w:p>
        </w:tc>
      </w:tr>
      <w:tr>
        <w:trPr>
          <w:cantSplit/>
        </w:trPr>
        <w:tc>
          <w:tcPr>
            <w:tcW w:type="dxa" w:w="3456"/>
            <w:vAlign w:val="top"/>
            <w:shd w:fill="F2F5F7"/>
            <w:tcBorders>
              <w:bottom w:val="single" w:sz="2" w:color="D7DFE5"/>
            </w:tcBorders>
          </w:tcPr>
          <w:p>
            <w:pPr>
              <w:spacing w:after="20"/>
            </w:pPr>
            <w:r>
              <w:rPr>
                <w:b/>
                <w:color w:val="071827"/>
                <w:sz w:val="17"/>
              </w:rPr>
              <w:t>Contingency</w:t>
            </w:r>
          </w:p>
        </w:tc>
        <w:tc>
          <w:tcPr>
            <w:tcW w:type="dxa" w:w="1728"/>
            <w:vAlign w:val="top"/>
            <w:shd w:fill="F2F5F7"/>
            <w:tcBorders>
              <w:bottom w:val="single" w:sz="2" w:color="D7DFE5"/>
            </w:tcBorders>
          </w:tcPr>
          <w:p>
            <w:pPr>
              <w:spacing w:after="20"/>
            </w:pPr>
            <w:r>
              <w:rPr>
                <w:color w:val="24313D"/>
                <w:sz w:val="17"/>
              </w:rPr>
              <w:t>$25,000</w:t>
            </w:r>
          </w:p>
        </w:tc>
        <w:tc>
          <w:tcPr>
            <w:tcW w:type="dxa" w:w="4896"/>
            <w:vAlign w:val="top"/>
            <w:shd w:fill="F2F5F7"/>
            <w:tcBorders>
              <w:bottom w:val="single" w:sz="2" w:color="D7DFE5"/>
            </w:tcBorders>
          </w:tcPr>
          <w:p>
            <w:pPr>
              <w:spacing w:after="20"/>
            </w:pPr>
            <w:r>
              <w:rPr>
                <w:color w:val="24313D"/>
                <w:sz w:val="17"/>
              </w:rPr>
              <w:t>Unknown delivery and integration burden</w:t>
            </w:r>
          </w:p>
        </w:tc>
      </w:tr>
      <w:tr>
        <w:trPr>
          <w:cantSplit/>
        </w:trPr>
        <w:tc>
          <w:tcPr>
            <w:tcW w:type="dxa" w:w="3456"/>
            <w:vAlign w:val="top"/>
            <w:tcBorders>
              <w:bottom w:val="single" w:sz="2" w:color="D7DFE5"/>
            </w:tcBorders>
          </w:tcPr>
          <w:p>
            <w:pPr>
              <w:spacing w:after="20"/>
            </w:pPr>
            <w:r>
              <w:rPr>
                <w:b/>
                <w:color w:val="071827"/>
                <w:sz w:val="17"/>
              </w:rPr>
              <w:t>Total</w:t>
            </w:r>
          </w:p>
        </w:tc>
        <w:tc>
          <w:tcPr>
            <w:tcW w:type="dxa" w:w="1728"/>
            <w:vAlign w:val="top"/>
            <w:tcBorders>
              <w:bottom w:val="single" w:sz="2" w:color="D7DFE5"/>
            </w:tcBorders>
          </w:tcPr>
          <w:p>
            <w:pPr>
              <w:spacing w:after="20"/>
            </w:pPr>
            <w:r>
              <w:rPr>
                <w:color w:val="24313D"/>
                <w:sz w:val="17"/>
              </w:rPr>
              <w:t>$250,000</w:t>
            </w:r>
          </w:p>
        </w:tc>
        <w:tc>
          <w:tcPr>
            <w:tcW w:type="dxa" w:w="4896"/>
            <w:vAlign w:val="top"/>
            <w:tcBorders>
              <w:bottom w:val="single" w:sz="2" w:color="D7DFE5"/>
            </w:tcBorders>
          </w:tcPr>
          <w:p>
            <w:pPr>
              <w:spacing w:after="20"/>
            </w:pPr>
            <w:r>
              <w:rPr>
                <w:color w:val="24313D"/>
                <w:sz w:val="17"/>
              </w:rPr>
              <w:t>Released through explicit gates</w:t>
            </w:r>
          </w:p>
        </w:tc>
      </w:tr>
    </w:tbl>
    <w:p>
      <w:pPr>
        <w:spacing w:after="0"/>
      </w:pPr>
    </w:p>
    <w:p>
      <w:pPr>
        <w:pStyle w:val="Heading1"/>
      </w:pPr>
      <w:r>
        <w:t>8. Success dashboard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336"/>
            <w:shd w:fill="0E2B3B"/>
            <w:vAlign w:val="center"/>
            <w:tcBorders>
              <w:bottom w:val="single" w:sz="8" w:color="D6A13C"/>
            </w:tcBorders>
          </w:tcPr>
          <w:p>
            <w:pPr>
              <w:jc w:val="center"/>
            </w:pPr>
            <w:r>
              <w:rPr>
                <w:b/>
                <w:color w:val="FFFFFF"/>
                <w:sz w:val="18"/>
              </w:rPr>
              <w:t>Metric</w:t>
            </w:r>
          </w:p>
        </w:tc>
        <w:tc>
          <w:tcPr>
            <w:tcW w:type="dxa" w:w="3744"/>
            <w:shd w:fill="0E2B3B"/>
            <w:vAlign w:val="center"/>
            <w:tcBorders>
              <w:bottom w:val="single" w:sz="8" w:color="D6A13C"/>
            </w:tcBorders>
          </w:tcPr>
          <w:p>
            <w:pPr>
              <w:jc w:val="center"/>
            </w:pPr>
            <w:r>
              <w:rPr>
                <w:b/>
                <w:color w:val="FFFFFF"/>
                <w:sz w:val="18"/>
              </w:rPr>
              <w:t>Target</w:t>
            </w:r>
          </w:p>
        </w:tc>
      </w:tr>
      <w:tr>
        <w:trPr>
          <w:cantSplit/>
        </w:trPr>
        <w:tc>
          <w:tcPr>
            <w:tcW w:type="dxa" w:w="6336"/>
            <w:vAlign w:val="top"/>
            <w:tcBorders>
              <w:bottom w:val="single" w:sz="2" w:color="D7DFE5"/>
            </w:tcBorders>
          </w:tcPr>
          <w:p>
            <w:pPr>
              <w:spacing w:after="20"/>
            </w:pPr>
            <w:r>
              <w:rPr>
                <w:b/>
                <w:color w:val="071827"/>
                <w:sz w:val="17"/>
              </w:rPr>
              <w:t>Paying customers</w:t>
            </w:r>
          </w:p>
        </w:tc>
        <w:tc>
          <w:tcPr>
            <w:tcW w:type="dxa" w:w="3744"/>
            <w:vAlign w:val="top"/>
            <w:tcBorders>
              <w:bottom w:val="single" w:sz="2" w:color="D7DFE5"/>
            </w:tcBorders>
          </w:tcPr>
          <w:p>
            <w:pPr>
              <w:spacing w:after="20"/>
            </w:pPr>
            <w:r>
              <w:rPr>
                <w:color w:val="24313D"/>
                <w:sz w:val="17"/>
              </w:rPr>
              <w:t>3 unrelated</w:t>
            </w:r>
          </w:p>
        </w:tc>
      </w:tr>
      <w:tr>
        <w:trPr>
          <w:cantSplit/>
        </w:trPr>
        <w:tc>
          <w:tcPr>
            <w:tcW w:type="dxa" w:w="6336"/>
            <w:vAlign w:val="top"/>
            <w:shd w:fill="F2F5F7"/>
            <w:tcBorders>
              <w:bottom w:val="single" w:sz="2" w:color="D7DFE5"/>
            </w:tcBorders>
          </w:tcPr>
          <w:p>
            <w:pPr>
              <w:spacing w:after="20"/>
            </w:pPr>
            <w:r>
              <w:rPr>
                <w:b/>
                <w:color w:val="071827"/>
                <w:sz w:val="17"/>
              </w:rPr>
              <w:t>Substantially identical missions</w:t>
            </w:r>
          </w:p>
        </w:tc>
        <w:tc>
          <w:tcPr>
            <w:tcW w:type="dxa" w:w="3744"/>
            <w:vAlign w:val="top"/>
            <w:shd w:fill="F2F5F7"/>
            <w:tcBorders>
              <w:bottom w:val="single" w:sz="2" w:color="D7DFE5"/>
            </w:tcBorders>
          </w:tcPr>
          <w:p>
            <w:pPr>
              <w:spacing w:after="20"/>
            </w:pPr>
            <w:r>
              <w:rPr>
                <w:color w:val="24313D"/>
                <w:sz w:val="17"/>
              </w:rPr>
              <w:t>3</w:t>
            </w:r>
          </w:p>
        </w:tc>
      </w:tr>
      <w:tr>
        <w:trPr>
          <w:cantSplit/>
        </w:trPr>
        <w:tc>
          <w:tcPr>
            <w:tcW w:type="dxa" w:w="6336"/>
            <w:vAlign w:val="top"/>
            <w:tcBorders>
              <w:bottom w:val="single" w:sz="2" w:color="D7DFE5"/>
            </w:tcBorders>
          </w:tcPr>
          <w:p>
            <w:pPr>
              <w:spacing w:after="20"/>
            </w:pPr>
            <w:r>
              <w:rPr>
                <w:b/>
                <w:color w:val="071827"/>
                <w:sz w:val="17"/>
              </w:rPr>
              <w:t>Independent review</w:t>
            </w:r>
          </w:p>
        </w:tc>
        <w:tc>
          <w:tcPr>
            <w:tcW w:type="dxa" w:w="3744"/>
            <w:vAlign w:val="top"/>
            <w:tcBorders>
              <w:bottom w:val="single" w:sz="2" w:color="D7DFE5"/>
            </w:tcBorders>
          </w:tcPr>
          <w:p>
            <w:pPr>
              <w:spacing w:after="20"/>
            </w:pPr>
            <w:r>
              <w:rPr>
                <w:color w:val="24313D"/>
                <w:sz w:val="17"/>
              </w:rPr>
              <w:t>≥1</w:t>
            </w:r>
          </w:p>
        </w:tc>
      </w:tr>
      <w:tr>
        <w:trPr>
          <w:cantSplit/>
        </w:trPr>
        <w:tc>
          <w:tcPr>
            <w:tcW w:type="dxa" w:w="6336"/>
            <w:vAlign w:val="top"/>
            <w:shd w:fill="F2F5F7"/>
            <w:tcBorders>
              <w:bottom w:val="single" w:sz="2" w:color="D7DFE5"/>
            </w:tcBorders>
          </w:tcPr>
          <w:p>
            <w:pPr>
              <w:spacing w:after="20"/>
            </w:pPr>
            <w:r>
              <w:rPr>
                <w:b/>
                <w:color w:val="071827"/>
                <w:sz w:val="17"/>
              </w:rPr>
              <w:t>Repeat / renewal / expansion</w:t>
            </w:r>
          </w:p>
        </w:tc>
        <w:tc>
          <w:tcPr>
            <w:tcW w:type="dxa" w:w="3744"/>
            <w:vAlign w:val="top"/>
            <w:shd w:fill="F2F5F7"/>
            <w:tcBorders>
              <w:bottom w:val="single" w:sz="2" w:color="D7DFE5"/>
            </w:tcBorders>
          </w:tcPr>
          <w:p>
            <w:pPr>
              <w:spacing w:after="20"/>
            </w:pPr>
            <w:r>
              <w:rPr>
                <w:color w:val="24313D"/>
                <w:sz w:val="17"/>
              </w:rPr>
              <w:t>≥1</w:t>
            </w:r>
          </w:p>
        </w:tc>
      </w:tr>
      <w:tr>
        <w:trPr>
          <w:cantSplit/>
        </w:trPr>
        <w:tc>
          <w:tcPr>
            <w:tcW w:type="dxa" w:w="6336"/>
            <w:vAlign w:val="top"/>
            <w:tcBorders>
              <w:bottom w:val="single" w:sz="2" w:color="D7DFE5"/>
            </w:tcBorders>
          </w:tcPr>
          <w:p>
            <w:pPr>
              <w:spacing w:after="20"/>
            </w:pPr>
            <w:r>
              <w:rPr>
                <w:b/>
                <w:color w:val="071827"/>
                <w:sz w:val="17"/>
              </w:rPr>
              <w:t>Positive attributable contribution</w:t>
            </w:r>
          </w:p>
        </w:tc>
        <w:tc>
          <w:tcPr>
            <w:tcW w:type="dxa" w:w="3744"/>
            <w:vAlign w:val="top"/>
            <w:tcBorders>
              <w:bottom w:val="single" w:sz="2" w:color="D7DFE5"/>
            </w:tcBorders>
          </w:tcPr>
          <w:p>
            <w:pPr>
              <w:spacing w:after="20"/>
            </w:pPr>
            <w:r>
              <w:rPr>
                <w:color w:val="24313D"/>
                <w:sz w:val="17"/>
              </w:rPr>
              <w:t>Yes</w:t>
            </w:r>
          </w:p>
        </w:tc>
      </w:tr>
      <w:tr>
        <w:trPr>
          <w:cantSplit/>
        </w:trPr>
        <w:tc>
          <w:tcPr>
            <w:tcW w:type="dxa" w:w="6336"/>
            <w:vAlign w:val="top"/>
            <w:shd w:fill="F2F5F7"/>
            <w:tcBorders>
              <w:bottom w:val="single" w:sz="2" w:color="D7DFE5"/>
            </w:tcBorders>
          </w:tcPr>
          <w:p>
            <w:pPr>
              <w:spacing w:after="20"/>
            </w:pPr>
            <w:r>
              <w:rPr>
                <w:b/>
                <w:color w:val="071827"/>
                <w:sz w:val="17"/>
              </w:rPr>
              <w:t>Public-safe customer-authorized Docket</w:t>
            </w:r>
          </w:p>
        </w:tc>
        <w:tc>
          <w:tcPr>
            <w:tcW w:type="dxa" w:w="3744"/>
            <w:vAlign w:val="top"/>
            <w:shd w:fill="F2F5F7"/>
            <w:tcBorders>
              <w:bottom w:val="single" w:sz="2" w:color="D7DFE5"/>
            </w:tcBorders>
          </w:tcPr>
          <w:p>
            <w:pPr>
              <w:spacing w:after="20"/>
            </w:pPr>
            <w:r>
              <w:rPr>
                <w:color w:val="24313D"/>
                <w:sz w:val="17"/>
              </w:rPr>
              <w:t>≥1</w:t>
            </w:r>
          </w:p>
        </w:tc>
      </w:tr>
      <w:tr>
        <w:trPr>
          <w:cantSplit/>
        </w:trPr>
        <w:tc>
          <w:tcPr>
            <w:tcW w:type="dxa" w:w="6336"/>
            <w:vAlign w:val="top"/>
            <w:tcBorders>
              <w:bottom w:val="single" w:sz="2" w:color="D7DFE5"/>
            </w:tcBorders>
          </w:tcPr>
          <w:p>
            <w:pPr>
              <w:spacing w:after="20"/>
            </w:pPr>
            <w:r>
              <w:rPr>
                <w:b/>
                <w:color w:val="071827"/>
                <w:sz w:val="17"/>
              </w:rPr>
              <w:t>Rights-cleared Chronicle capability</w:t>
            </w:r>
          </w:p>
        </w:tc>
        <w:tc>
          <w:tcPr>
            <w:tcW w:type="dxa" w:w="3744"/>
            <w:vAlign w:val="top"/>
            <w:tcBorders>
              <w:bottom w:val="single" w:sz="2" w:color="D7DFE5"/>
            </w:tcBorders>
          </w:tcPr>
          <w:p>
            <w:pPr>
              <w:spacing w:after="20"/>
            </w:pPr>
            <w:r>
              <w:rPr>
                <w:color w:val="24313D"/>
                <w:sz w:val="17"/>
              </w:rPr>
              <w:t>≥1</w:t>
            </w:r>
          </w:p>
        </w:tc>
      </w:tr>
      <w:tr>
        <w:trPr>
          <w:cantSplit/>
        </w:trPr>
        <w:tc>
          <w:tcPr>
            <w:tcW w:type="dxa" w:w="6336"/>
            <w:vAlign w:val="top"/>
            <w:shd w:fill="F2F5F7"/>
            <w:tcBorders>
              <w:bottom w:val="single" w:sz="2" w:color="D7DFE5"/>
            </w:tcBorders>
          </w:tcPr>
          <w:p>
            <w:pPr>
              <w:spacing w:after="20"/>
            </w:pPr>
            <w:r>
              <w:rPr>
                <w:b/>
                <w:color w:val="071827"/>
                <w:sz w:val="17"/>
              </w:rPr>
              <w:t>Fresh successor improvement</w:t>
            </w:r>
          </w:p>
        </w:tc>
        <w:tc>
          <w:tcPr>
            <w:tcW w:type="dxa" w:w="3744"/>
            <w:vAlign w:val="top"/>
            <w:shd w:fill="F2F5F7"/>
            <w:tcBorders>
              <w:bottom w:val="single" w:sz="2" w:color="D7DFE5"/>
            </w:tcBorders>
          </w:tcPr>
          <w:p>
            <w:pPr>
              <w:spacing w:after="20"/>
            </w:pPr>
            <w:r>
              <w:rPr>
                <w:color w:val="24313D"/>
                <w:sz w:val="17"/>
              </w:rPr>
              <w:t>≥1 preregistered metric</w:t>
            </w:r>
          </w:p>
        </w:tc>
      </w:tr>
      <w:tr>
        <w:trPr>
          <w:cantSplit/>
        </w:trPr>
        <w:tc>
          <w:tcPr>
            <w:tcW w:type="dxa" w:w="6336"/>
            <w:vAlign w:val="top"/>
            <w:tcBorders>
              <w:bottom w:val="single" w:sz="2" w:color="D7DFE5"/>
            </w:tcBorders>
          </w:tcPr>
          <w:p>
            <w:pPr>
              <w:spacing w:after="20"/>
            </w:pPr>
            <w:r>
              <w:rPr>
                <w:b/>
                <w:color w:val="071827"/>
                <w:sz w:val="17"/>
              </w:rPr>
              <w:t>Material trust breaches</w:t>
            </w:r>
          </w:p>
        </w:tc>
        <w:tc>
          <w:tcPr>
            <w:tcW w:type="dxa" w:w="3744"/>
            <w:vAlign w:val="top"/>
            <w:tcBorders>
              <w:bottom w:val="single" w:sz="2" w:color="D7DFE5"/>
            </w:tcBorders>
          </w:tcPr>
          <w:p>
            <w:pPr>
              <w:spacing w:after="20"/>
            </w:pPr>
            <w:r>
              <w:rPr>
                <w:color w:val="24313D"/>
                <w:sz w:val="17"/>
              </w:rPr>
              <w:t>0</w:t>
            </w:r>
          </w:p>
        </w:tc>
      </w:tr>
      <w:tr>
        <w:trPr>
          <w:cantSplit/>
        </w:trPr>
        <w:tc>
          <w:tcPr>
            <w:tcW w:type="dxa" w:w="6336"/>
            <w:vAlign w:val="top"/>
            <w:shd w:fill="F2F5F7"/>
            <w:tcBorders>
              <w:bottom w:val="single" w:sz="2" w:color="D7DFE5"/>
            </w:tcBorders>
          </w:tcPr>
          <w:p>
            <w:pPr>
              <w:spacing w:after="20"/>
            </w:pPr>
            <w:r>
              <w:rPr>
                <w:b/>
                <w:color w:val="071827"/>
                <w:sz w:val="17"/>
              </w:rPr>
              <w:t>Founder seller minutes in standard lane</w:t>
            </w:r>
          </w:p>
        </w:tc>
        <w:tc>
          <w:tcPr>
            <w:tcW w:type="dxa" w:w="3744"/>
            <w:vAlign w:val="top"/>
            <w:shd w:fill="F2F5F7"/>
            <w:tcBorders>
              <w:bottom w:val="single" w:sz="2" w:color="D7DFE5"/>
            </w:tcBorders>
          </w:tcPr>
          <w:p>
            <w:pPr>
              <w:spacing w:after="20"/>
            </w:pPr>
            <w:r>
              <w:rPr>
                <w:color w:val="24313D"/>
                <w:sz w:val="17"/>
              </w:rPr>
              <w:t>0</w:t>
            </w:r>
          </w:p>
        </w:tc>
      </w:tr>
      <w:tr>
        <w:trPr>
          <w:cantSplit/>
        </w:trPr>
        <w:tc>
          <w:tcPr>
            <w:tcW w:type="dxa" w:w="6336"/>
            <w:vAlign w:val="top"/>
            <w:tcBorders>
              <w:bottom w:val="single" w:sz="2" w:color="D7DFE5"/>
            </w:tcBorders>
          </w:tcPr>
          <w:p>
            <w:pPr>
              <w:spacing w:after="20"/>
            </w:pPr>
            <w:r>
              <w:rPr>
                <w:b/>
                <w:color w:val="071827"/>
                <w:sz w:val="17"/>
              </w:rPr>
              <w:t>All human interventions costed</w:t>
            </w:r>
          </w:p>
        </w:tc>
        <w:tc>
          <w:tcPr>
            <w:tcW w:type="dxa" w:w="3744"/>
            <w:vAlign w:val="top"/>
            <w:tcBorders>
              <w:bottom w:val="single" w:sz="2" w:color="D7DFE5"/>
            </w:tcBorders>
          </w:tcPr>
          <w:p>
            <w:pPr>
              <w:spacing w:after="20"/>
            </w:pPr>
            <w:r>
              <w:rPr>
                <w:color w:val="24313D"/>
                <w:sz w:val="17"/>
              </w:rPr>
              <w:t>100%</w:t>
            </w:r>
          </w:p>
        </w:tc>
      </w:tr>
    </w:tbl>
    <w:p>
      <w:pPr>
        <w:spacing w:after="0"/>
      </w:pPr>
    </w:p>
    <w:p>
      <w:pPr>
        <w:pStyle w:val="Heading1"/>
      </w:pPr>
      <w:r>
        <w:t>9. Gate decisions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0E2B3B"/>
            <w:vAlign w:val="center"/>
            <w:tcBorders>
              <w:bottom w:val="single" w:sz="8" w:color="D6A13C"/>
            </w:tcBorders>
          </w:tcPr>
          <w:p>
            <w:pPr>
              <w:jc w:val="center"/>
            </w:pPr>
            <w:r>
              <w:rPr>
                <w:b/>
                <w:color w:val="FFFFFF"/>
                <w:sz w:val="18"/>
              </w:rPr>
              <w:t>Decision</w:t>
            </w:r>
          </w:p>
        </w:tc>
        <w:tc>
          <w:tcPr>
            <w:tcW w:type="dxa" w:w="7488"/>
            <w:shd w:fill="0E2B3B"/>
            <w:vAlign w:val="center"/>
            <w:tcBorders>
              <w:bottom w:val="single" w:sz="8" w:color="D6A13C"/>
            </w:tcBorders>
          </w:tcPr>
          <w:p>
            <w:pPr>
              <w:jc w:val="center"/>
            </w:pPr>
            <w:r>
              <w:rPr>
                <w:b/>
                <w:color w:val="FFFFFF"/>
                <w:sz w:val="18"/>
              </w:rPr>
              <w:t>Conditions</w:t>
            </w:r>
          </w:p>
        </w:tc>
      </w:tr>
      <w:tr>
        <w:trPr>
          <w:cantSplit/>
        </w:trPr>
        <w:tc>
          <w:tcPr>
            <w:tcW w:type="dxa" w:w="2592"/>
            <w:vAlign w:val="top"/>
            <w:tcBorders>
              <w:bottom w:val="single" w:sz="2" w:color="D7DFE5"/>
            </w:tcBorders>
          </w:tcPr>
          <w:p>
            <w:pPr>
              <w:spacing w:after="20"/>
            </w:pPr>
            <w:r>
              <w:rPr>
                <w:b/>
                <w:color w:val="071827"/>
                <w:sz w:val="17"/>
              </w:rPr>
              <w:t>GO</w:t>
            </w:r>
          </w:p>
        </w:tc>
        <w:tc>
          <w:tcPr>
            <w:tcW w:type="dxa" w:w="7488"/>
            <w:vAlign w:val="top"/>
            <w:tcBorders>
              <w:bottom w:val="single" w:sz="2" w:color="D7DFE5"/>
            </w:tcBorders>
          </w:tcPr>
          <w:p>
            <w:pPr>
              <w:spacing w:after="20"/>
            </w:pPr>
            <w:r>
              <w:rPr>
                <w:color w:val="24313D"/>
                <w:sz w:val="17"/>
              </w:rPr>
              <w:t>3 paid missions; positive contribution; one repeat; one reviewed outcome; one transferable capability; no material trust breach</w:t>
            </w:r>
          </w:p>
        </w:tc>
      </w:tr>
      <w:tr>
        <w:trPr>
          <w:cantSplit/>
        </w:trPr>
        <w:tc>
          <w:tcPr>
            <w:tcW w:type="dxa" w:w="2592"/>
            <w:vAlign w:val="top"/>
            <w:shd w:fill="F2F5F7"/>
            <w:tcBorders>
              <w:bottom w:val="single" w:sz="2" w:color="D7DFE5"/>
            </w:tcBorders>
          </w:tcPr>
          <w:p>
            <w:pPr>
              <w:spacing w:after="20"/>
            </w:pPr>
            <w:r>
              <w:rPr>
                <w:b/>
                <w:color w:val="071827"/>
                <w:sz w:val="17"/>
              </w:rPr>
              <w:t>CONDITIONAL GO</w:t>
            </w:r>
          </w:p>
        </w:tc>
        <w:tc>
          <w:tcPr>
            <w:tcW w:type="dxa" w:w="7488"/>
            <w:vAlign w:val="top"/>
            <w:shd w:fill="F2F5F7"/>
            <w:tcBorders>
              <w:bottom w:val="single" w:sz="2" w:color="D7DFE5"/>
            </w:tcBorders>
          </w:tcPr>
          <w:p>
            <w:pPr>
              <w:spacing w:after="20"/>
            </w:pPr>
            <w:r>
              <w:rPr>
                <w:color w:val="24313D"/>
                <w:sz w:val="17"/>
              </w:rPr>
              <w:t>Demand and customer value supported, but recurrence, margin, review or transfer requires a defined repair mission</w:t>
            </w:r>
          </w:p>
        </w:tc>
      </w:tr>
      <w:tr>
        <w:trPr>
          <w:cantSplit/>
        </w:trPr>
        <w:tc>
          <w:tcPr>
            <w:tcW w:type="dxa" w:w="2592"/>
            <w:vAlign w:val="top"/>
            <w:tcBorders>
              <w:bottom w:val="single" w:sz="2" w:color="D7DFE5"/>
            </w:tcBorders>
          </w:tcPr>
          <w:p>
            <w:pPr>
              <w:spacing w:after="20"/>
            </w:pPr>
            <w:r>
              <w:rPr>
                <w:b/>
                <w:color w:val="071827"/>
                <w:sz w:val="17"/>
              </w:rPr>
              <w:t>STOP / REPOSITION</w:t>
            </w:r>
          </w:p>
        </w:tc>
        <w:tc>
          <w:tcPr>
            <w:tcW w:type="dxa" w:w="7488"/>
            <w:vAlign w:val="top"/>
            <w:tcBorders>
              <w:bottom w:val="single" w:sz="2" w:color="D7DFE5"/>
            </w:tcBorders>
          </w:tcPr>
          <w:p>
            <w:pPr>
              <w:spacing w:after="20"/>
            </w:pPr>
            <w:r>
              <w:rPr>
                <w:color w:val="24313D"/>
                <w:sz w:val="17"/>
              </w:rPr>
              <w:t>Weak paid demand, negative economics, unmanageable risk, no defensible recurring need, or inability to separate evidence and authority</w:t>
            </w:r>
          </w:p>
        </w:tc>
      </w:tr>
    </w:tbl>
    <w:p>
      <w:pPr>
        <w:spacing w:after="0"/>
      </w:pPr>
    </w:p>
    <w:p>
      <w:pPr>
        <w:pStyle w:val="Heading1"/>
      </w:pPr>
      <w:r>
        <w:t>10. Day-90 board questions</w:t>
      </w:r>
    </w:p>
    <w:p>
      <w:pPr>
        <w:spacing w:after="40"/>
        <w:ind w:left="259" w:hanging="259"/>
      </w:pPr>
      <w:r>
        <w:rPr>
          <w:b/>
        </w:rPr>
        <w:t xml:space="preserve">1. </w:t>
      </w:r>
      <w:r>
        <w:t>Did customers pay without founder-led persuasion?</w:t>
      </w:r>
    </w:p>
    <w:p>
      <w:pPr>
        <w:spacing w:after="40"/>
        <w:ind w:left="259" w:hanging="259"/>
      </w:pPr>
      <w:r>
        <w:rPr>
          <w:b/>
        </w:rPr>
        <w:t xml:space="preserve">2. </w:t>
      </w:r>
      <w:r>
        <w:t>Did the same product deliver three accepted or decision-useful outcomes?</w:t>
      </w:r>
    </w:p>
    <w:p>
      <w:pPr>
        <w:spacing w:after="40"/>
        <w:ind w:left="259" w:hanging="259"/>
      </w:pPr>
      <w:r>
        <w:rPr>
          <w:b/>
        </w:rPr>
        <w:t xml:space="preserve">3. </w:t>
      </w:r>
      <w:r>
        <w:t>What was the true direct cost after all human and failure costs?</w:t>
      </w:r>
    </w:p>
    <w:p>
      <w:pPr>
        <w:spacing w:after="40"/>
        <w:ind w:left="259" w:hanging="259"/>
      </w:pPr>
      <w:r>
        <w:rPr>
          <w:b/>
        </w:rPr>
        <w:t xml:space="preserve">4. </w:t>
      </w:r>
      <w:r>
        <w:t>Did at least one customer buy again or activate continuing control?</w:t>
      </w:r>
    </w:p>
    <w:p>
      <w:pPr>
        <w:spacing w:after="40"/>
        <w:ind w:left="259" w:hanging="259"/>
      </w:pPr>
      <w:r>
        <w:rPr>
          <w:b/>
        </w:rPr>
        <w:t xml:space="preserve">5. </w:t>
      </w:r>
      <w:r>
        <w:t>Did an independent reviewer support or appropriately limit a material claim?</w:t>
      </w:r>
    </w:p>
    <w:p>
      <w:pPr>
        <w:spacing w:after="40"/>
        <w:ind w:left="259" w:hanging="259"/>
      </w:pPr>
      <w:r>
        <w:rPr>
          <w:b/>
        </w:rPr>
        <w:t xml:space="preserve">6. </w:t>
      </w:r>
      <w:r>
        <w:t>Did any rights-cleared capability improve a fresh mission?</w:t>
      </w:r>
    </w:p>
    <w:p>
      <w:pPr>
        <w:spacing w:after="40"/>
        <w:ind w:left="259" w:hanging="259"/>
      </w:pPr>
      <w:r>
        <w:rPr>
          <w:b/>
        </w:rPr>
        <w:t xml:space="preserve">7. </w:t>
      </w:r>
      <w:r>
        <w:t>What Proof Debt must the next financing tranche retire?</w:t>
      </w:r>
    </w:p>
    <w:p>
      <w:pPr>
        <w:spacing w:after="40"/>
        <w:ind w:left="259" w:hanging="259"/>
      </w:pPr>
      <w:r>
        <w:rPr>
          <w:b/>
        </w:rPr>
        <w:t xml:space="preserve">8. </w:t>
      </w:r>
      <w:r>
        <w:t>Should GoalOS scale this wedge, repair it, or replace it?</w:t>
      </w:r>
    </w:p>
    <w:p>
      <w:pPr>
        <w:pStyle w:val="Heading1"/>
      </w:pPr>
      <w:r>
        <w:t>Selected sources and claim boundary</w:t>
      </w:r>
    </w:p>
    <w:p>
      <w:pPr>
        <w:pStyle w:val="Small"/>
      </w:pPr>
      <w:r>
        <w:t>External sources support market timing, technical feasibility, pricing context and comparative benchmarks. All GoalOS prices, volumes, margins, ROI, financing and valuation paths are editable management hypotheses—not audited forecasts, realized results, legal advice, investment advice, security certification or guarantees. Full URLs and source-use notes are provided in the package Source Register.</w:t>
      </w:r>
    </w:p>
    <w:p>
      <w:pPr>
        <w:pStyle w:val="Small"/>
        <w:spacing w:after="20"/>
      </w:pPr>
      <w:r>
        <w:rPr>
          <w:b/>
        </w:rPr>
        <w:t>S1 · OpenAI · Introducing workspace agents in ChatGPT.</w:t>
      </w:r>
    </w:p>
    <w:p>
      <w:pPr>
        <w:pStyle w:val="Small"/>
        <w:spacing w:after="20"/>
      </w:pPr>
      <w:r>
        <w:rPr>
          <w:b/>
        </w:rPr>
        <w:t>S2 · OpenAI · ChatGPT Enterprise and Edu release notes.</w:t>
      </w:r>
    </w:p>
    <w:p>
      <w:pPr>
        <w:pStyle w:val="Small"/>
        <w:spacing w:after="20"/>
      </w:pPr>
      <w:r>
        <w:rPr>
          <w:b/>
        </w:rPr>
        <w:t>S3 · OpenAI · API pricing.</w:t>
      </w:r>
    </w:p>
    <w:p>
      <w:pPr>
        <w:pStyle w:val="Small"/>
        <w:spacing w:after="20"/>
      </w:pPr>
      <w:r>
        <w:rPr>
          <w:b/>
        </w:rPr>
        <w:t>S4 · METR · Task-Completion Time Horizons.</w:t>
      </w:r>
    </w:p>
    <w:p>
      <w:pPr>
        <w:pStyle w:val="Small"/>
        <w:spacing w:after="20"/>
      </w:pPr>
      <w:r>
        <w:rPr>
          <w:b/>
        </w:rPr>
        <w:t>S5 · Google DeepMind · AlphaEvolve.</w:t>
      </w:r>
    </w:p>
    <w:p>
      <w:pPr>
        <w:pStyle w:val="Small"/>
        <w:spacing w:after="20"/>
      </w:pPr>
      <w:r>
        <w:rPr>
          <w:b/>
        </w:rPr>
        <w:t>S6 · Gartner · Worldwide AI spending forecast for 2026.</w:t>
      </w:r>
    </w:p>
    <w:p>
      <w:pPr>
        <w:pStyle w:val="Small"/>
        <w:spacing w:after="20"/>
      </w:pPr>
      <w:r>
        <w:rPr>
          <w:b/>
        </w:rPr>
        <w:t>S7 · European Commission · Article 50 AI Act transparency obligations.</w:t>
      </w:r>
    </w:p>
    <w:p>
      <w:pPr>
        <w:pStyle w:val="Small"/>
        <w:spacing w:after="20"/>
      </w:pPr>
      <w:r>
        <w:rPr>
          <w:b/>
        </w:rPr>
        <w:t>S8 · SaaS Capital · 2026 B2B SaaS benchmarks.</w:t>
      </w:r>
    </w:p>
    <w:p>
      <w:pPr>
        <w:pStyle w:val="Small"/>
        <w:spacing w:after="20"/>
      </w:pPr>
      <w:r>
        <w:rPr>
          <w:b/>
        </w:rPr>
        <w:t>S9 · Stripe · Payment Links.</w:t>
      </w:r>
    </w:p>
    <w:p>
      <w:pPr>
        <w:pStyle w:val="Small"/>
        <w:spacing w:after="20"/>
      </w:pPr>
      <w:r>
        <w:rPr>
          <w:b/>
        </w:rPr>
        <w:t>S10 · MONTREAL.AI Research · Merkle Roots for the Validated Skill Graph.</w:t>
      </w:r>
    </w:p>
    <w:p>
      <w:pPr>
        <w:pStyle w:val="Small"/>
        <w:spacing w:after="20"/>
      </w:pPr>
      <w:r>
        <w:rPr>
          <w:b/>
        </w:rPr>
        <w:t>S11 · MONTREAL.AI Research · Private On-Chain Validated Skill Graph.</w:t>
      </w:r>
    </w:p>
    <w:sectPr w:rsidR="00FC693F" w:rsidRPr="0006063C" w:rsidSect="00034616">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GoalOS Strategy Edition · 20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MONTREAL.AI  ×  GOALOS    |    THE OPTIMAL BUSINESS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Noto Serif" w:hAnsi="Noto Serif"/>
      <w:b/>
      <w:bCs/>
      <w:color w:val="07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0E2B3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D6A1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erif" w:hAnsi="Noto Serif"/>
      <w:b/>
      <w:color w:val="07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pPr>
    <w:rPr>
      <w:rFonts w:ascii="Noto Serif" w:hAnsi="Noto Serif"/>
      <w:i/>
      <w:color w:val="0E2B3B"/>
      <w:sz w:val="26"/>
    </w:rPr>
  </w:style>
  <w:style w:type="paragraph" w:customStyle="1" w:styleId="Small">
    <w:name w:val="Small"/>
    <w:rPr>
      <w:rFonts w:ascii="Noto Sans" w:hAnsi="Noto Sans"/>
      <w:color w:val="5D6873"/>
      <w:sz w:val="16"/>
    </w:rPr>
  </w:style>
  <w:style w:type="paragraph" w:customStyle="1" w:styleId="QuoteGoalOS">
    <w:name w:val="Quote GoalOS"/>
    <w:pPr>
      <w:spacing w:before="160" w:after="160"/>
      <w:ind w:left="432" w:right="432"/>
    </w:pPr>
    <w:rPr>
      <w:rFonts w:ascii="Noto Serif" w:hAnsi="Noto Serif"/>
      <w:b/>
      <w:color w:val="07182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90 Day Autonomous Commercial Launch Plan</dc:title>
  <dc:subject>GoalOS optimal business model</dc:subject>
  <dc:creator>MONTREAL.AI</dc:creator>
  <cp:keywords>GoalOS, Proof Mission, Proof Office, Validated Skill Graph, Chronicle, business model</cp:keywords>
  <dc:description>generated by python-docx</dc:description>
  <cp:lastModifiedBy/>
  <cp:revision>1</cp:revision>
  <dcterms:created xsi:type="dcterms:W3CDTF">2013-12-23T23:15:00Z</dcterms:created>
  <dcterms:modified xsi:type="dcterms:W3CDTF">2013-12-23T23:15:00Z</dcterms:modified>
  <cp:category/>
</cp:coreProperties>
</file>