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454"/>
      </w:tblGrid>
      <w:tr>
        <w:trPr>
          <w:trHeight w:val="13752"/>
        </w:trPr>
        <w:tc>
          <w:tcPr>
            <w:tcW w:type="dxa" w:w="10396"/>
            <w:shd w:fill="07182B"/>
            <w:tcMar>
              <w:top w:w="420" w:type="dxa"/>
              <w:start w:w="430" w:type="dxa"/>
              <w:bottom w:w="420" w:type="dxa"/>
              <w:end w:w="430" w:type="dxa"/>
            </w:tcMar>
            <w:tcBorders>
              <w:top w:val="single" w:sz="2" w:color="07182B"/>
              <w:left w:val="single" w:sz="2" w:color="07182B"/>
              <w:bottom w:val="single" w:sz="2" w:color="07182B"/>
              <w:right w:val="single" w:sz="2" w:color="07182B"/>
            </w:tcBorders>
            <w:vAlign w:val="center"/>
          </w:tcPr>
          <w:p>
            <w:pPr>
              <w:keepNext w:val="0"/>
              <w:spacing w:before="0" w:after="400" w:line="240" w:lineRule="auto"/>
              <w:jc w:val="left"/>
            </w:pPr>
            <w:r>
              <w:rPr>
                <w:rFonts w:ascii="Arial" w:hAnsi="Arial" w:eastAsia="Arial"/>
                <w:b/>
                <w:i w:val="0"/>
                <w:caps/>
                <w:color w:val="E9C87D"/>
                <w:sz w:val="17"/>
              </w:rPr>
              <w:t>GOALOS / EXECUTIVE PARTNER BRIEF</w:t>
            </w:r>
          </w:p>
          <w:p>
            <w:pPr>
              <w:keepNext w:val="0"/>
              <w:spacing w:before="0" w:after="280" w:line="240" w:lineRule="auto"/>
            </w:pPr>
            <w:r>
              <w:rPr>
                <w:rFonts w:ascii="Georgia" w:hAnsi="Georgia" w:eastAsia="Georgia"/>
                <w:b/>
                <w:i w:val="0"/>
                <w:caps w:val="0"/>
                <w:color w:val="FFFFFF"/>
                <w:sz w:val="62"/>
              </w:rPr>
              <w:t>The Proof OS for</w:t>
              <w:br/>
              <w:t>Autonomous AI Work</w:t>
            </w:r>
          </w:p>
          <w:p>
            <w:pPr>
              <w:keepNext w:val="0"/>
              <w:spacing w:before="0" w:after="480" w:line="269" w:lineRule="auto"/>
            </w:pPr>
            <w:r>
              <w:rPr>
                <w:rFonts w:ascii="Georgia" w:hAnsi="Georgia" w:eastAsia="Georgia"/>
                <w:b w:val="0"/>
                <w:i/>
                <w:caps w:val="0"/>
                <w:color w:val="C8D6E4"/>
                <w:sz w:val="29"/>
              </w:rPr>
              <w:t>A practical, inspectable operating system for turning one consequential objective into evidence, a bounded decision and reusable institutional capability.</w:t>
            </w:r>
          </w:p>
          <w:tbl>
            <w:tblPr>
              <w:tblW w:type="auto" w:w="0"/>
              <w:jc w:val="center"/>
              <w:tblLook w:firstColumn="1" w:firstRow="1" w:lastColumn="0" w:lastRow="0" w:noHBand="0" w:noVBand="1" w:val="04A0"/>
            </w:tblPr>
            <w:tblGrid>
              <w:gridCol w:w="10396"/>
            </w:tblGrid>
            <w:tr>
              <w:tc>
                <w:tcPr>
                  <w:tcW w:type="dxa" w:w="10396"/>
                  <w:shd w:fill="0C2744"/>
                  <w:tcMar>
                    <w:top w:w="150" w:type="dxa"/>
                    <w:start w:w="180" w:type="dxa"/>
                    <w:bottom w:w="150" w:type="dxa"/>
                    <w:end w:w="180" w:type="dxa"/>
                  </w:tcMar>
                  <w:tcBorders>
                    <w:top w:val="single" w:sz="10" w:color="E9C87D"/>
                    <w:left w:val="single" w:sz="10" w:color="E9C87D"/>
                    <w:bottom w:val="single" w:sz="10" w:color="E9C87D"/>
                    <w:right w:val="single" w:sz="10" w:color="E9C87D"/>
                  </w:tcBorders>
                </w:tcPr>
                <w:p>
                  <w:pPr>
                    <w:jc w:val="center"/>
                  </w:pPr>
                  <w:r>
                    <w:rPr>
                      <w:rFonts w:ascii="Georgia" w:hAnsi="Georgia" w:eastAsia="Georgia"/>
                      <w:b/>
                      <w:i w:val="0"/>
                      <w:caps w:val="0"/>
                      <w:color w:val="FFFFFF"/>
                      <w:sz w:val="29"/>
                    </w:rPr>
                    <w:t>AI creates output. GoalOS creates proof.</w:t>
                  </w:r>
                </w:p>
              </w:tc>
            </w:tr>
          </w:tbl>
          <w:p/>
          <w:p>
            <w:pPr>
              <w:keepNext w:val="0"/>
              <w:spacing w:before="440" w:after="100" w:line="240" w:lineRule="auto"/>
            </w:pPr>
            <w:r>
              <w:rPr>
                <w:rFonts w:ascii="Arial" w:hAnsi="Arial" w:eastAsia="Arial"/>
                <w:b/>
                <w:i w:val="0"/>
                <w:caps/>
                <w:color w:val="E9C87D"/>
                <w:sz w:val="16"/>
              </w:rPr>
              <w:t>FINAL PRODUCTION PARTNER EDITION · JULY 2026</w:t>
            </w:r>
          </w:p>
          <w:p>
            <w:pPr>
              <w:keepNext w:val="0"/>
              <w:spacing w:before="0" w:after="0" w:line="240" w:lineRule="auto"/>
            </w:pPr>
            <w:r>
              <w:rPr>
                <w:rFonts w:ascii="Arial" w:hAnsi="Arial" w:eastAsia="Arial"/>
                <w:b w:val="0"/>
                <w:i w:val="0"/>
                <w:caps w:val="0"/>
                <w:color w:val="AFC0D0"/>
                <w:sz w:val="17"/>
              </w:rPr>
              <w:t>Prepared for high-calibre business, technology and institutional discussions. Architecture, reference implementation, contractual participation controls and evidence operations are presented as one integrated partner system.</w:t>
            </w:r>
          </w:p>
        </w:tc>
      </w:tr>
    </w:tbl>
    <w:p>
      <w:r>
        <w:br w:type="page"/>
      </w:r>
    </w:p>
    <w:p>
      <w:pPr>
        <w:pStyle w:val="Eyebrow"/>
      </w:pPr>
      <w:r>
        <w:t>01 · THE PARTNER PROPOSITION</w:t>
      </w:r>
    </w:p>
    <w:p>
      <w:pPr>
        <w:pStyle w:val="Heading1"/>
      </w:pPr>
      <w:r>
        <w:t>One important decision. One inspectable proof process.</w:t>
      </w:r>
    </w:p>
    <w:p>
      <w:pPr>
        <w:keepNext w:val="0"/>
        <w:spacing w:before="0" w:after="80" w:line="259" w:lineRule="auto"/>
      </w:pPr>
      <w:r>
        <w:rPr>
          <w:rFonts w:ascii="Arial" w:hAnsi="Arial" w:eastAsia="Arial"/>
          <w:b w:val="0"/>
          <w:i w:val="0"/>
          <w:caps w:val="0"/>
          <w:color w:val="14263C"/>
          <w:sz w:val="18"/>
        </w:rPr>
        <w:t>Most AI systems optimize the production of answers. GoalOS addresses the harder institutional question: what must be proven before an answer can justify action, payment, memory, reuse or broader authority?</w:t>
      </w:r>
    </w:p>
    <w:tbl>
      <w:tblPr>
        <w:tblW w:type="auto" w:w="0"/>
        <w:jc w:val="center"/>
        <w:tblLayout w:type="fixed"/>
        <w:tblLook w:firstColumn="1" w:firstRow="1" w:lastColumn="0" w:lastRow="0" w:noHBand="0" w:noVBand="1" w:val="04A0"/>
      </w:tblPr>
      <w:tblGrid>
        <w:gridCol w:w="10454"/>
      </w:tblGrid>
      <w:tr>
        <w:tc>
          <w:tcPr>
            <w:tcW w:type="dxa" w:w="10339"/>
            <w:shd w:fill="B8872E"/>
            <w:tcMar>
              <w:top w:w="75" w:type="dxa"/>
              <w:start w:w="110" w:type="dxa"/>
              <w:bottom w:w="65" w:type="dxa"/>
              <w:end w:w="110" w:type="dxa"/>
            </w:tcMar>
            <w:tcBorders>
              <w:top w:val="single" w:sz="7" w:color="B8872E"/>
              <w:left w:val="single" w:sz="7" w:color="B8872E"/>
              <w:bottom w:val="single" w:sz="7" w:color="B8872E"/>
              <w:right w:val="single" w:sz="7" w:color="B8872E"/>
            </w:tcBorders>
          </w:tcPr>
          <w:p>
            <w:r>
              <w:rPr>
                <w:rFonts w:ascii="Arial" w:hAnsi="Arial" w:eastAsia="Arial"/>
                <w:b/>
                <w:i w:val="0"/>
                <w:caps/>
                <w:color w:val="FFFFFF"/>
                <w:sz w:val="15"/>
              </w:rPr>
              <w:t>CANONICAL THESIS</w:t>
            </w:r>
          </w:p>
        </w:tc>
      </w:tr>
      <w:tr>
        <w:tc>
          <w:tcPr>
            <w:tcW w:type="dxa" w:w="10339"/>
            <w:shd w:fill="FFF2CF"/>
            <w:tcMar>
              <w:top w:w="125" w:type="dxa"/>
              <w:start w:w="140" w:type="dxa"/>
              <w:bottom w:w="125" w:type="dxa"/>
              <w:end w:w="140" w:type="dxa"/>
            </w:tcMar>
            <w:tcBorders>
              <w:top w:val="single" w:sz="7" w:color="B8872E"/>
              <w:left w:val="single" w:sz="7" w:color="B8872E"/>
              <w:bottom w:val="single" w:sz="7" w:color="B8872E"/>
              <w:right w:val="single" w:sz="7" w:color="B8872E"/>
            </w:tcBorders>
          </w:tcPr>
          <w:p>
            <w:pPr>
              <w:jc w:val="center"/>
            </w:pPr>
            <w:r>
              <w:rPr>
                <w:rFonts w:ascii="Georgia" w:hAnsi="Georgia" w:eastAsia="Georgia"/>
                <w:b/>
                <w:i w:val="0"/>
                <w:caps w:val="0"/>
                <w:color w:val="14263C"/>
                <w:sz w:val="24"/>
              </w:rPr>
              <w:t>A model may answer. An agent may act. An institution must prove.</w:t>
            </w:r>
          </w:p>
        </w:tc>
      </w:tr>
    </w:tbl>
    <w:p>
      <w:pPr>
        <w:spacing w:after="0"/>
      </w:pPr>
    </w:p>
    <w:p>
      <w:pPr>
        <w:keepNext w:val="0"/>
        <w:spacing w:before="0" w:after="40" w:line="240" w:lineRule="auto"/>
        <w:jc w:val="center"/>
      </w:pPr>
      <w:r>
        <w:drawing>
          <wp:inline xmlns:a="http://schemas.openxmlformats.org/drawingml/2006/main" xmlns:pic="http://schemas.openxmlformats.org/drawingml/2006/picture">
            <wp:extent cx="6446520" cy="4029075"/>
            <wp:docPr id="1" name="Picture 1" title="GoalOS Partner Demonstrator overview" descr="GoalOS Partner Demonstrator overview showing a governed decision state and the proof-to-capability workflow."/>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446520" cy="4029075"/>
                    </a:xfrm>
                    <a:prstGeom prst="rect"/>
                  </pic:spPr>
                </pic:pic>
              </a:graphicData>
            </a:graphic>
          </wp:inline>
        </w:drawing>
      </w:r>
    </w:p>
    <w:p>
      <w:pPr>
        <w:keepNext w:val="0"/>
        <w:spacing w:before="0" w:after="100" w:line="240" w:lineRule="auto"/>
        <w:jc w:val="center"/>
      </w:pPr>
      <w:r>
        <w:rPr>
          <w:rFonts w:ascii="Arial" w:hAnsi="Arial" w:eastAsia="Arial"/>
          <w:b w:val="0"/>
          <w:i/>
          <w:caps w:val="0"/>
          <w:color w:val="68788D"/>
          <w:sz w:val="15"/>
        </w:rPr>
        <w:t>The standalone partner demonstrator: a browser-local proof institution with no external asset dependency.</w:t>
      </w:r>
    </w:p>
    <w:tbl>
      <w:tblPr>
        <w:tblW w:type="auto" w:w="0"/>
        <w:jc w:val="center"/>
        <w:tblLayout w:type="fixed"/>
        <w:tblLook w:firstColumn="1" w:firstRow="1" w:lastColumn="0" w:lastRow="0" w:noHBand="0" w:noVBand="1" w:val="04A0"/>
      </w:tblPr>
      <w:tblGrid>
        <w:gridCol w:w="5227"/>
        <w:gridCol w:w="5227"/>
      </w:tblGrid>
      <w:tr>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The input</w:t>
            </w:r>
          </w:p>
          <w:p>
            <w:pPr>
              <w:keepNext w:val="0"/>
              <w:spacing w:before="0" w:after="0" w:line="250" w:lineRule="auto"/>
            </w:pPr>
            <w:r>
              <w:rPr>
                <w:rFonts w:ascii="Arial" w:hAnsi="Arial" w:eastAsia="Arial"/>
                <w:b w:val="0"/>
                <w:i w:val="0"/>
                <w:caps w:val="0"/>
                <w:color w:val="68788D"/>
                <w:sz w:val="16"/>
              </w:rPr>
              <w:t>A consequential objective, decision deadline, scope, risk class, proof level, named reviewers and rollback conditions.</w:t>
            </w:r>
          </w:p>
        </w:tc>
        <w:tc>
          <w:tcPr>
            <w:tcW w:type="dxa" w:w="5097"/>
            <w:shd w:fill="EFF9F4"/>
            <w:tcMar>
              <w:top w:w="120" w:type="dxa"/>
              <w:start w:w="130" w:type="dxa"/>
              <w:bottom w:w="120" w:type="dxa"/>
              <w:end w:w="130" w:type="dxa"/>
            </w:tcMar>
            <w:tcBorders>
              <w:top w:val="single" w:sz="8" w:color="21805A"/>
              <w:left w:val="single" w:sz="8" w:color="21805A"/>
              <w:bottom w:val="single" w:sz="8" w:color="21805A"/>
              <w:right w:val="single" w:sz="8" w:color="21805A"/>
            </w:tcBorders>
          </w:tcPr>
          <w:p>
            <w:r>
              <w:rPr>
                <w:rFonts w:ascii="Georgia" w:hAnsi="Georgia" w:eastAsia="Georgia"/>
                <w:b/>
                <w:i w:val="0"/>
                <w:caps w:val="0"/>
                <w:color w:val="07182B"/>
                <w:sz w:val="23"/>
              </w:rPr>
              <w:t>The output</w:t>
            </w:r>
          </w:p>
          <w:p>
            <w:pPr>
              <w:keepNext w:val="0"/>
              <w:spacing w:before="0" w:after="0" w:line="250" w:lineRule="auto"/>
            </w:pPr>
            <w:r>
              <w:rPr>
                <w:rFonts w:ascii="Arial" w:hAnsi="Arial" w:eastAsia="Arial"/>
                <w:b w:val="0"/>
                <w:i w:val="0"/>
                <w:caps w:val="0"/>
                <w:color w:val="68788D"/>
                <w:sz w:val="16"/>
              </w:rPr>
              <w:t>A Governed Decision State: claims, sources, contradictions, Evidence Docket, verifier report, risk, action and memory disposition.</w:t>
            </w:r>
          </w:p>
        </w:tc>
      </w:tr>
      <w:tr>
        <w:tc>
          <w:tcPr>
            <w:tcW w:type="dxa" w:w="5097"/>
            <w:shd w:fill="FFF7DF"/>
            <w:tcMar>
              <w:top w:w="120" w:type="dxa"/>
              <w:start w:w="130" w:type="dxa"/>
              <w:bottom w:w="120" w:type="dxa"/>
              <w:end w:w="130" w:type="dxa"/>
            </w:tcMar>
            <w:tcBorders>
              <w:top w:val="single" w:sz="8" w:color="B8872E"/>
              <w:left w:val="single" w:sz="8" w:color="B8872E"/>
              <w:bottom w:val="single" w:sz="8" w:color="B8872E"/>
              <w:right w:val="single" w:sz="8" w:color="B8872E"/>
            </w:tcBorders>
          </w:tcPr>
          <w:p>
            <w:r>
              <w:rPr>
                <w:rFonts w:ascii="Georgia" w:hAnsi="Georgia" w:eastAsia="Georgia"/>
                <w:b/>
                <w:i w:val="0"/>
                <w:caps w:val="0"/>
                <w:color w:val="07182B"/>
                <w:sz w:val="23"/>
              </w:rPr>
              <w:t>The operating law</w:t>
            </w:r>
          </w:p>
          <w:p>
            <w:pPr>
              <w:keepNext w:val="0"/>
              <w:spacing w:before="0" w:after="0" w:line="250" w:lineRule="auto"/>
            </w:pPr>
            <w:r>
              <w:rPr>
                <w:rFonts w:ascii="Arial" w:hAnsi="Arial" w:eastAsia="Arial"/>
                <w:b w:val="0"/>
                <w:i w:val="0"/>
                <w:caps w:val="0"/>
                <w:color w:val="68788D"/>
                <w:sz w:val="16"/>
              </w:rPr>
              <w:t>Unsupported claims become Proof Debt. Missing evidence blocks authority rather than disappearing into confident prose.</w:t>
            </w:r>
          </w:p>
        </w:tc>
        <w:tc>
          <w:tcPr>
            <w:tcW w:type="dxa" w:w="5097"/>
            <w:shd w:fill="F3EFFB"/>
            <w:tcMar>
              <w:top w:w="120" w:type="dxa"/>
              <w:start w:w="130" w:type="dxa"/>
              <w:bottom w:w="120" w:type="dxa"/>
              <w:end w:w="130" w:type="dxa"/>
            </w:tcMar>
            <w:tcBorders>
              <w:top w:val="single" w:sz="8" w:color="6753A6"/>
              <w:left w:val="single" w:sz="8" w:color="6753A6"/>
              <w:bottom w:val="single" w:sz="8" w:color="6753A6"/>
              <w:right w:val="single" w:sz="8" w:color="6753A6"/>
            </w:tcBorders>
          </w:tcPr>
          <w:p>
            <w:r>
              <w:rPr>
                <w:rFonts w:ascii="Georgia" w:hAnsi="Georgia" w:eastAsia="Georgia"/>
                <w:b/>
                <w:i w:val="0"/>
                <w:caps w:val="0"/>
                <w:color w:val="07182B"/>
                <w:sz w:val="23"/>
              </w:rPr>
              <w:t>The durable asset</w:t>
            </w:r>
          </w:p>
          <w:p>
            <w:pPr>
              <w:keepNext w:val="0"/>
              <w:spacing w:before="0" w:after="0" w:line="250" w:lineRule="auto"/>
            </w:pPr>
            <w:r>
              <w:rPr>
                <w:rFonts w:ascii="Arial" w:hAnsi="Arial" w:eastAsia="Arial"/>
                <w:b w:val="0"/>
                <w:i w:val="0"/>
                <w:caps w:val="0"/>
                <w:color w:val="68788D"/>
                <w:sz w:val="16"/>
              </w:rPr>
              <w:t>Only admitted, scoped, replayable and revocable capability may become institutional memory or influence future missions.</w:t>
            </w:r>
          </w:p>
        </w:tc>
      </w:tr>
    </w:tbl>
    <w:p>
      <w:r>
        <w:br w:type="page"/>
      </w:r>
    </w:p>
    <w:p>
      <w:pPr>
        <w:pStyle w:val="Eyebrow"/>
      </w:pPr>
      <w:r>
        <w:t>02 · HOW THE SYSTEM WORKS</w:t>
      </w:r>
    </w:p>
    <w:p>
      <w:pPr>
        <w:pStyle w:val="Heading1"/>
      </w:pPr>
      <w:r>
        <w:t>Authority appears only after the next gate passes.</w:t>
      </w:r>
    </w:p>
    <w:p>
      <w:pPr>
        <w:keepNext w:val="0"/>
        <w:spacing w:before="0" w:after="80" w:line="259" w:lineRule="auto"/>
      </w:pPr>
      <w:r>
        <w:rPr>
          <w:rFonts w:ascii="Arial" w:hAnsi="Arial" w:eastAsia="Arial"/>
          <w:b w:val="0"/>
          <w:i w:val="0"/>
          <w:caps w:val="0"/>
          <w:color w:val="14263C"/>
          <w:sz w:val="18"/>
        </w:rPr>
        <w:t>GoalOS separates generation from authority, evidence from memory, and memory from settlement. Each object has a narrow purpose and an explicit failure branch.</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792"/>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Gate</w:t>
            </w:r>
          </w:p>
        </w:tc>
        <w:tc>
          <w:tcPr>
            <w:tcW w:type="dxa" w:w="3240"/>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Institutional object</w:t>
            </w:r>
          </w:p>
        </w:tc>
        <w:tc>
          <w:tcPr>
            <w:tcW w:type="dxa" w:w="6307"/>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What it controls</w:t>
            </w:r>
          </w:p>
        </w:tc>
      </w:tr>
      <w:tr>
        <w:tc>
          <w:tcPr>
            <w:tcW w:type="dxa" w:w="79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1</w:t>
            </w:r>
          </w:p>
        </w:tc>
        <w:tc>
          <w:tcPr>
            <w:tcW w:type="dxa" w:w="32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Objective / Mission Contract</w:t>
            </w:r>
          </w:p>
        </w:tc>
        <w:tc>
          <w:tcPr>
            <w:tcW w:type="dxa" w:w="630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Freeze decision, scope, proof level, risk, validators and rollback.</w:t>
            </w:r>
          </w:p>
        </w:tc>
      </w:tr>
      <w:tr>
        <w:tc>
          <w:tcPr>
            <w:tcW w:type="dxa" w:w="79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2</w:t>
            </w:r>
          </w:p>
        </w:tc>
        <w:tc>
          <w:tcPr>
            <w:tcW w:type="dxa" w:w="32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Proof Debt / AGI Jobs</w:t>
            </w:r>
          </w:p>
        </w:tc>
        <w:tc>
          <w:tcPr>
            <w:tcW w:type="dxa" w:w="630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Expose unsupported claims and create mission-specific proof-producing work.</w:t>
            </w:r>
          </w:p>
        </w:tc>
      </w:tr>
      <w:tr>
        <w:tc>
          <w:tcPr>
            <w:tcW w:type="dxa" w:w="79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3</w:t>
            </w:r>
          </w:p>
        </w:tc>
        <w:tc>
          <w:tcPr>
            <w:tcW w:type="dxa" w:w="32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ProofBundles / Evidence Docket</w:t>
            </w:r>
          </w:p>
        </w:tc>
        <w:tc>
          <w:tcPr>
            <w:tcW w:type="dxa" w:w="630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Package evidence, provenance, tests, costs, risks and replay paths.</w:t>
            </w:r>
          </w:p>
        </w:tc>
      </w:tr>
      <w:tr>
        <w:tc>
          <w:tcPr>
            <w:tcW w:type="dxa" w:w="79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4</w:t>
            </w:r>
          </w:p>
        </w:tc>
        <w:tc>
          <w:tcPr>
            <w:tcW w:type="dxa" w:w="32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Validation / Chronicle</w:t>
            </w:r>
          </w:p>
        </w:tc>
        <w:tc>
          <w:tcPr>
            <w:tcW w:type="dxa" w:w="630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Independent review decides what passes, fails, requires repair or remains blocked.</w:t>
            </w:r>
          </w:p>
        </w:tc>
      </w:tr>
      <w:tr>
        <w:tc>
          <w:tcPr>
            <w:tcW w:type="dxa" w:w="792"/>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5</w:t>
            </w:r>
          </w:p>
        </w:tc>
        <w:tc>
          <w:tcPr>
            <w:tcW w:type="dxa" w:w="3240"/>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Validated Skill / Merkle Root</w:t>
            </w:r>
          </w:p>
        </w:tc>
        <w:tc>
          <w:tcPr>
            <w:tcW w:type="dxa" w:w="630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Admitted capability becomes scoped, versioned, replayable and revocable.</w:t>
            </w:r>
          </w:p>
        </w:tc>
      </w:tr>
      <w:tr>
        <w:tc>
          <w:tcPr>
            <w:tcW w:type="dxa" w:w="792"/>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6"/>
              </w:rPr>
              <w:t>6</w:t>
            </w:r>
          </w:p>
        </w:tc>
        <w:tc>
          <w:tcPr>
            <w:tcW w:type="dxa" w:w="3240"/>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Bonded settlement / harder mission</w:t>
            </w:r>
          </w:p>
        </w:tc>
        <w:tc>
          <w:tcPr>
            <w:tcW w:type="dxa" w:w="630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6"/>
              </w:rPr>
              <w:t>Accepted proof becomes economically consequential and is tested on future work.</w:t>
            </w:r>
          </w:p>
        </w:tc>
      </w:tr>
    </w:tbl>
    <w:p>
      <w:pPr>
        <w:spacing w:after="0"/>
      </w:pPr>
    </w:p>
    <w:p>
      <w:pPr>
        <w:pStyle w:val="Heading2"/>
      </w:pPr>
      <w:r>
        <w:t>Where it is immediately useful</w:t>
      </w:r>
    </w:p>
    <w:tbl>
      <w:tblPr>
        <w:tblW w:type="auto" w:w="0"/>
        <w:jc w:val="center"/>
        <w:tblLayout w:type="fixed"/>
        <w:tblLook w:firstColumn="1" w:firstRow="1" w:lastColumn="0" w:lastRow="0" w:noHBand="0" w:noVBand="1" w:val="04A0"/>
      </w:tblPr>
      <w:tblGrid>
        <w:gridCol w:w="5227"/>
        <w:gridCol w:w="5227"/>
      </w:tblGrid>
      <w:tr>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Strategic partnership diligence</w:t>
            </w:r>
          </w:p>
          <w:p>
            <w:pPr>
              <w:keepNext w:val="0"/>
              <w:spacing w:before="0" w:after="0" w:line="250" w:lineRule="auto"/>
            </w:pPr>
            <w:r>
              <w:rPr>
                <w:rFonts w:ascii="Arial" w:hAnsi="Arial" w:eastAsia="Arial"/>
                <w:b w:val="0"/>
                <w:i w:val="0"/>
                <w:caps w:val="0"/>
                <w:color w:val="68788D"/>
                <w:sz w:val="16"/>
              </w:rPr>
              <w:t>Turn a partnership thesis into a bounded pilot decision with explicit closing conditions.</w:t>
            </w:r>
          </w:p>
        </w:tc>
        <w:tc>
          <w:tcPr>
            <w:tcW w:type="dxa" w:w="5097"/>
            <w:shd w:fill="FFF7DF"/>
            <w:tcMar>
              <w:top w:w="120" w:type="dxa"/>
              <w:start w:w="130" w:type="dxa"/>
              <w:bottom w:w="120" w:type="dxa"/>
              <w:end w:w="130" w:type="dxa"/>
            </w:tcMar>
            <w:tcBorders>
              <w:top w:val="single" w:sz="8" w:color="B8872E"/>
              <w:left w:val="single" w:sz="8" w:color="B8872E"/>
              <w:bottom w:val="single" w:sz="8" w:color="B8872E"/>
              <w:right w:val="single" w:sz="8" w:color="B8872E"/>
            </w:tcBorders>
          </w:tcPr>
          <w:p>
            <w:r>
              <w:rPr>
                <w:rFonts w:ascii="Georgia" w:hAnsi="Georgia" w:eastAsia="Georgia"/>
                <w:b/>
                <w:i w:val="0"/>
                <w:caps w:val="0"/>
                <w:color w:val="07182B"/>
                <w:sz w:val="23"/>
              </w:rPr>
              <w:t>Enterprise AI procurement</w:t>
            </w:r>
          </w:p>
          <w:p>
            <w:pPr>
              <w:keepNext w:val="0"/>
              <w:spacing w:before="0" w:after="0" w:line="250" w:lineRule="auto"/>
            </w:pPr>
            <w:r>
              <w:rPr>
                <w:rFonts w:ascii="Arial" w:hAnsi="Arial" w:eastAsia="Arial"/>
                <w:b w:val="0"/>
                <w:i w:val="0"/>
                <w:caps w:val="0"/>
                <w:color w:val="68788D"/>
                <w:sz w:val="16"/>
              </w:rPr>
              <w:t>Compare vendors under common tasks, budgets, data boundaries, risks and replay requirements.</w:t>
            </w:r>
          </w:p>
        </w:tc>
      </w:tr>
      <w:tr>
        <w:tc>
          <w:tcPr>
            <w:tcW w:type="dxa" w:w="5097"/>
            <w:shd w:fill="EFF9F4"/>
            <w:tcMar>
              <w:top w:w="120" w:type="dxa"/>
              <w:start w:w="130" w:type="dxa"/>
              <w:bottom w:w="120" w:type="dxa"/>
              <w:end w:w="130" w:type="dxa"/>
            </w:tcMar>
            <w:tcBorders>
              <w:top w:val="single" w:sz="8" w:color="21805A"/>
              <w:left w:val="single" w:sz="8" w:color="21805A"/>
              <w:bottom w:val="single" w:sz="8" w:color="21805A"/>
              <w:right w:val="single" w:sz="8" w:color="21805A"/>
            </w:tcBorders>
          </w:tcPr>
          <w:p>
            <w:r>
              <w:rPr>
                <w:rFonts w:ascii="Georgia" w:hAnsi="Georgia" w:eastAsia="Georgia"/>
                <w:b/>
                <w:i w:val="0"/>
                <w:caps w:val="0"/>
                <w:color w:val="07182B"/>
                <w:sz w:val="23"/>
              </w:rPr>
              <w:t>AI product launch readiness</w:t>
            </w:r>
          </w:p>
          <w:p>
            <w:pPr>
              <w:keepNext w:val="0"/>
              <w:spacing w:before="0" w:after="0" w:line="250" w:lineRule="auto"/>
            </w:pPr>
            <w:r>
              <w:rPr>
                <w:rFonts w:ascii="Arial" w:hAnsi="Arial" w:eastAsia="Arial"/>
                <w:b w:val="0"/>
                <w:i w:val="0"/>
                <w:caps w:val="0"/>
                <w:color w:val="68788D"/>
                <w:sz w:val="16"/>
              </w:rPr>
              <w:t>Determine what is ready for canary release, what requires repair and what remains prohibited.</w:t>
            </w:r>
          </w:p>
        </w:tc>
        <w:tc>
          <w:tcPr>
            <w:tcW w:type="dxa" w:w="5097"/>
            <w:shd w:fill="F3EFFB"/>
            <w:tcMar>
              <w:top w:w="120" w:type="dxa"/>
              <w:start w:w="130" w:type="dxa"/>
              <w:bottom w:w="120" w:type="dxa"/>
              <w:end w:w="130" w:type="dxa"/>
            </w:tcMar>
            <w:tcBorders>
              <w:top w:val="single" w:sz="8" w:color="6753A6"/>
              <w:left w:val="single" w:sz="8" w:color="6753A6"/>
              <w:bottom w:val="single" w:sz="8" w:color="6753A6"/>
              <w:right w:val="single" w:sz="8" w:color="6753A6"/>
            </w:tcBorders>
          </w:tcPr>
          <w:p>
            <w:r>
              <w:rPr>
                <w:rFonts w:ascii="Georgia" w:hAnsi="Georgia" w:eastAsia="Georgia"/>
                <w:b/>
                <w:i w:val="0"/>
                <w:caps w:val="0"/>
                <w:color w:val="07182B"/>
                <w:sz w:val="23"/>
              </w:rPr>
              <w:t>M&amp;A and technology diligence</w:t>
            </w:r>
          </w:p>
          <w:p>
            <w:pPr>
              <w:keepNext w:val="0"/>
              <w:spacing w:before="0" w:after="0" w:line="250" w:lineRule="auto"/>
            </w:pPr>
            <w:r>
              <w:rPr>
                <w:rFonts w:ascii="Arial" w:hAnsi="Arial" w:eastAsia="Arial"/>
                <w:b w:val="0"/>
                <w:i w:val="0"/>
                <w:caps w:val="0"/>
                <w:color w:val="68788D"/>
                <w:sz w:val="16"/>
              </w:rPr>
              <w:t>Separate claims, assets, dependencies, customer evidence, security and integration risk.</w:t>
            </w:r>
          </w:p>
        </w:tc>
      </w:tr>
      <w:tr>
        <w:tc>
          <w:tcPr>
            <w:tcW w:type="dxa" w:w="5097"/>
            <w:shd w:fill="F7E3E7"/>
            <w:tcMar>
              <w:top w:w="120" w:type="dxa"/>
              <w:start w:w="130" w:type="dxa"/>
              <w:bottom w:w="120" w:type="dxa"/>
              <w:end w:w="130" w:type="dxa"/>
            </w:tcMar>
            <w:tcBorders>
              <w:top w:val="single" w:sz="8" w:color="B74A5E"/>
              <w:left w:val="single" w:sz="8" w:color="B74A5E"/>
              <w:bottom w:val="single" w:sz="8" w:color="B74A5E"/>
              <w:right w:val="single" w:sz="8" w:color="B74A5E"/>
            </w:tcBorders>
          </w:tcPr>
          <w:p>
            <w:r>
              <w:rPr>
                <w:rFonts w:ascii="Georgia" w:hAnsi="Georgia" w:eastAsia="Georgia"/>
                <w:b/>
                <w:i w:val="0"/>
                <w:caps w:val="0"/>
                <w:color w:val="07182B"/>
                <w:sz w:val="23"/>
              </w:rPr>
              <w:t>Defensive cybersecurity remediation</w:t>
            </w:r>
          </w:p>
          <w:p>
            <w:pPr>
              <w:keepNext w:val="0"/>
              <w:spacing w:before="0" w:after="0" w:line="250" w:lineRule="auto"/>
            </w:pPr>
            <w:r>
              <w:rPr>
                <w:rFonts w:ascii="Arial" w:hAnsi="Arial" w:eastAsia="Arial"/>
                <w:b w:val="0"/>
                <w:i w:val="0"/>
                <w:caps w:val="0"/>
                <w:color w:val="68788D"/>
                <w:sz w:val="16"/>
              </w:rPr>
              <w:t>Produce evidence-bearing, human-reviewed improvements without unsafe autonomy.</w:t>
            </w:r>
          </w:p>
        </w:tc>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R&amp;D portfolio and capability reuse</w:t>
            </w:r>
          </w:p>
          <w:p>
            <w:pPr>
              <w:keepNext w:val="0"/>
              <w:spacing w:before="0" w:after="0" w:line="250" w:lineRule="auto"/>
            </w:pPr>
            <w:r>
              <w:rPr>
                <w:rFonts w:ascii="Arial" w:hAnsi="Arial" w:eastAsia="Arial"/>
                <w:b w:val="0"/>
                <w:i w:val="0"/>
                <w:caps w:val="0"/>
                <w:color w:val="68788D"/>
                <w:sz w:val="16"/>
              </w:rPr>
              <w:t>Preserve validated methods and outcomes as governed capability, not raw prompt history.</w:t>
            </w:r>
          </w:p>
        </w:tc>
      </w:tr>
    </w:tbl>
    <w:p>
      <w:r>
        <w:br w:type="page"/>
      </w:r>
    </w:p>
    <w:p>
      <w:pPr>
        <w:pStyle w:val="Eyebrow"/>
      </w:pPr>
      <w:r>
        <w:t>03 · WHAT A PARTNER RECEIVES</w:t>
      </w:r>
    </w:p>
    <w:p>
      <w:pPr>
        <w:pStyle w:val="Heading1"/>
      </w:pPr>
      <w:r>
        <w:t>A proof room - not a marketing page.</w:t>
      </w:r>
    </w:p>
    <w:p>
      <w:pPr>
        <w:keepNext w:val="0"/>
        <w:spacing w:before="0" w:after="40" w:line="240" w:lineRule="auto"/>
        <w:jc w:val="center"/>
      </w:pPr>
      <w:r>
        <w:drawing>
          <wp:inline xmlns:a="http://schemas.openxmlformats.org/drawingml/2006/main" xmlns:pic="http://schemas.openxmlformats.org/drawingml/2006/picture">
            <wp:extent cx="6446520" cy="4029075"/>
            <wp:docPr id="2" name="Picture 2" title="GoalOS Evidence Docket" descr="GoalOS Evidence Docket showing the claims matrix, proof debt, contradictions and replay-ready artifacts."/>
            <wp:cNvGraphicFramePr>
              <a:graphicFrameLocks noChangeAspect="1"/>
            </wp:cNvGraphicFramePr>
            <a:graphic>
              <a:graphicData uri="http://schemas.openxmlformats.org/drawingml/2006/picture">
                <pic:pic>
                  <pic:nvPicPr>
                    <pic:cNvPr id="0" name="docket.png"/>
                    <pic:cNvPicPr/>
                  </pic:nvPicPr>
                  <pic:blipFill>
                    <a:blip r:embed="rId12"/>
                    <a:stretch>
                      <a:fillRect/>
                    </a:stretch>
                  </pic:blipFill>
                  <pic:spPr>
                    <a:xfrm>
                      <a:off x="0" y="0"/>
                      <a:ext cx="6446520" cy="4029075"/>
                    </a:xfrm>
                    <a:prstGeom prst="rect"/>
                  </pic:spPr>
                </pic:pic>
              </a:graphicData>
            </a:graphic>
          </wp:inline>
        </w:drawing>
      </w:r>
    </w:p>
    <w:p>
      <w:pPr>
        <w:keepNext w:val="0"/>
        <w:spacing w:before="0" w:after="100" w:line="240" w:lineRule="auto"/>
        <w:jc w:val="center"/>
      </w:pPr>
      <w:r>
        <w:rPr>
          <w:rFonts w:ascii="Arial" w:hAnsi="Arial" w:eastAsia="Arial"/>
          <w:b w:val="0"/>
          <w:i/>
          <w:caps w:val="0"/>
          <w:color w:val="68788D"/>
          <w:sz w:val="15"/>
        </w:rPr>
        <w:t>Illustrative Evidence Docket showing claim states, proof debt, contradictions, validator disposition and replay path.</w:t>
      </w:r>
    </w:p>
    <w:p>
      <w:pPr>
        <w:pStyle w:val="Heading2"/>
      </w:pPr>
      <w:r>
        <w:t>Flagship deliverable: the Governed Decision State</w:t>
      </w:r>
    </w:p>
    <w:p>
      <w:pPr>
        <w:pStyle w:val="ListBullet"/>
        <w:spacing w:after="40" w:line="250" w:lineRule="auto"/>
        <w:ind w:left="259" w:hanging="173"/>
      </w:pPr>
      <w:r>
        <w:rPr>
          <w:rFonts w:ascii="Arial" w:hAnsi="Arial" w:eastAsia="Arial"/>
          <w:b w:val="0"/>
          <w:i w:val="0"/>
          <w:caps w:val="0"/>
          <w:color w:val="14263C"/>
          <w:sz w:val="17"/>
        </w:rPr>
        <w:t>Mission Contract: the objective, decision, boundaries, authority and definition of done.</w:t>
      </w:r>
    </w:p>
    <w:p>
      <w:pPr>
        <w:pStyle w:val="ListBullet"/>
        <w:spacing w:after="40" w:line="250" w:lineRule="auto"/>
        <w:ind w:left="259" w:hanging="173"/>
      </w:pPr>
      <w:r>
        <w:rPr>
          <w:rFonts w:ascii="Arial" w:hAnsi="Arial" w:eastAsia="Arial"/>
          <w:b w:val="0"/>
          <w:i w:val="0"/>
          <w:caps w:val="0"/>
          <w:color w:val="14263C"/>
          <w:sz w:val="17"/>
        </w:rPr>
        <w:t>Claims Matrix: every consequential claim tied to evidence, uncertainty and authority consequence.</w:t>
      </w:r>
    </w:p>
    <w:p>
      <w:pPr>
        <w:pStyle w:val="ListBullet"/>
        <w:spacing w:after="40" w:line="250" w:lineRule="auto"/>
        <w:ind w:left="259" w:hanging="173"/>
      </w:pPr>
      <w:r>
        <w:rPr>
          <w:rFonts w:ascii="Arial" w:hAnsi="Arial" w:eastAsia="Arial"/>
          <w:b w:val="0"/>
          <w:i w:val="0"/>
          <w:caps w:val="0"/>
          <w:color w:val="14263C"/>
          <w:sz w:val="17"/>
        </w:rPr>
        <w:t>Proof Debt Register: missing proof remains visible work and blocks stronger claims.</w:t>
      </w:r>
    </w:p>
    <w:p>
      <w:pPr>
        <w:pStyle w:val="ListBullet"/>
        <w:spacing w:after="40" w:line="250" w:lineRule="auto"/>
        <w:ind w:left="259" w:hanging="173"/>
      </w:pPr>
      <w:r>
        <w:rPr>
          <w:rFonts w:ascii="Arial" w:hAnsi="Arial" w:eastAsia="Arial"/>
          <w:b w:val="0"/>
          <w:i w:val="0"/>
          <w:caps w:val="0"/>
          <w:color w:val="14263C"/>
          <w:sz w:val="17"/>
        </w:rPr>
        <w:t>Evidence Docket and Verifier Report: reviewer-ready proof room and explicit pass, repair, reject or hold status.</w:t>
      </w:r>
    </w:p>
    <w:p>
      <w:pPr>
        <w:pStyle w:val="ListBullet"/>
        <w:spacing w:after="40" w:line="250" w:lineRule="auto"/>
        <w:ind w:left="259" w:hanging="173"/>
      </w:pPr>
      <w:r>
        <w:rPr>
          <w:rFonts w:ascii="Arial" w:hAnsi="Arial" w:eastAsia="Arial"/>
          <w:b w:val="0"/>
          <w:i w:val="0"/>
          <w:caps w:val="0"/>
          <w:color w:val="14263C"/>
          <w:sz w:val="17"/>
        </w:rPr>
        <w:t>Risk and Cost Ledgers: downside, resource burden, legal boundaries and assumptions remain inspectable.</w:t>
      </w:r>
    </w:p>
    <w:p>
      <w:pPr>
        <w:pStyle w:val="ListBullet"/>
        <w:spacing w:after="40" w:line="250" w:lineRule="auto"/>
        <w:ind w:left="259" w:hanging="173"/>
      </w:pPr>
      <w:r>
        <w:rPr>
          <w:rFonts w:ascii="Arial" w:hAnsi="Arial" w:eastAsia="Arial"/>
          <w:b w:val="0"/>
          <w:i w:val="0"/>
          <w:caps w:val="0"/>
          <w:color w:val="14263C"/>
          <w:sz w:val="17"/>
        </w:rPr>
        <w:t>Action Graph: owners, dependencies, approvals, stop conditions and rollback path.</w:t>
      </w:r>
    </w:p>
    <w:p>
      <w:pPr>
        <w:pStyle w:val="ListBullet"/>
        <w:spacing w:after="40" w:line="250" w:lineRule="auto"/>
        <w:ind w:left="259" w:hanging="173"/>
      </w:pPr>
      <w:r>
        <w:rPr>
          <w:rFonts w:ascii="Arial" w:hAnsi="Arial" w:eastAsia="Arial"/>
          <w:b w:val="0"/>
          <w:i w:val="0"/>
          <w:caps w:val="0"/>
          <w:color w:val="14263C"/>
          <w:sz w:val="17"/>
        </w:rPr>
        <w:t>Chronicle Verdict and Capability Passport: what may enter memory, under what scope, and how it can be revoked.</w:t>
      </w:r>
    </w:p>
    <w:tbl>
      <w:tblPr>
        <w:tblW w:type="auto" w:w="0"/>
        <w:jc w:val="center"/>
        <w:tblLayout w:type="fixed"/>
        <w:tblLook w:firstColumn="1" w:firstRow="1" w:lastColumn="0" w:lastRow="0" w:noHBand="0" w:noVBand="1" w:val="04A0"/>
      </w:tblPr>
      <w:tblGrid>
        <w:gridCol w:w="10454"/>
      </w:tblGrid>
      <w:tr>
        <w:tc>
          <w:tcPr>
            <w:tcW w:type="dxa" w:w="10339"/>
            <w:shd w:fill="21805A"/>
            <w:tcMar>
              <w:top w:w="75" w:type="dxa"/>
              <w:start w:w="110" w:type="dxa"/>
              <w:bottom w:w="65" w:type="dxa"/>
              <w:end w:w="110" w:type="dxa"/>
            </w:tcMar>
            <w:tcBorders>
              <w:top w:val="single" w:sz="7" w:color="21805A"/>
              <w:left w:val="single" w:sz="7" w:color="21805A"/>
              <w:bottom w:val="single" w:sz="7" w:color="21805A"/>
              <w:right w:val="single" w:sz="7" w:color="21805A"/>
            </w:tcBorders>
          </w:tcPr>
          <w:p>
            <w:r>
              <w:rPr>
                <w:rFonts w:ascii="Arial" w:hAnsi="Arial" w:eastAsia="Arial"/>
                <w:b/>
                <w:i w:val="0"/>
                <w:caps/>
                <w:color w:val="FFFFFF"/>
                <w:sz w:val="15"/>
              </w:rPr>
              <w:t>PARTNER VALUE</w:t>
            </w:r>
          </w:p>
        </w:tc>
      </w:tr>
      <w:tr>
        <w:tc>
          <w:tcPr>
            <w:tcW w:type="dxa" w:w="10339"/>
            <w:shd w:fill="EFF9F4"/>
            <w:tcMar>
              <w:top w:w="125" w:type="dxa"/>
              <w:start w:w="140" w:type="dxa"/>
              <w:bottom w:w="125" w:type="dxa"/>
              <w:end w:w="140" w:type="dxa"/>
            </w:tcMar>
            <w:tcBorders>
              <w:top w:val="single" w:sz="7" w:color="21805A"/>
              <w:left w:val="single" w:sz="7" w:color="21805A"/>
              <w:bottom w:val="single" w:sz="7" w:color="21805A"/>
              <w:right w:val="single" w:sz="7" w:color="21805A"/>
            </w:tcBorders>
          </w:tcPr>
          <w:p>
            <w:pPr>
              <w:jc w:val="center"/>
            </w:pPr>
            <w:r>
              <w:rPr>
                <w:rFonts w:ascii="Georgia" w:hAnsi="Georgia" w:eastAsia="Georgia"/>
                <w:b/>
                <w:i w:val="0"/>
                <w:caps w:val="0"/>
                <w:color w:val="14263C"/>
                <w:sz w:val="24"/>
              </w:rPr>
              <w:t>The durable asset is accumulated method + evidence + scope + validator history + delayed outcomes + policy + lineage - not prompt text.</w:t>
            </w:r>
          </w:p>
        </w:tc>
      </w:tr>
    </w:tbl>
    <w:p>
      <w:pPr>
        <w:spacing w:after="0"/>
      </w:pPr>
    </w:p>
    <w:p>
      <w:r>
        <w:br w:type="page"/>
      </w:r>
    </w:p>
    <w:p>
      <w:pPr>
        <w:pStyle w:val="Eyebrow"/>
      </w:pPr>
      <w:r>
        <w:t>04 · COMMERCIAL EXPANSION</w:t>
      </w:r>
    </w:p>
    <w:p>
      <w:pPr>
        <w:pStyle w:val="Heading1"/>
      </w:pPr>
      <w:r>
        <w:t>Land with proof. Expand with capability.</w:t>
      </w:r>
    </w:p>
    <w:p>
      <w:pPr>
        <w:keepNext w:val="0"/>
        <w:spacing w:before="0" w:after="80" w:line="259" w:lineRule="auto"/>
      </w:pPr>
      <w:r>
        <w:rPr>
          <w:rFonts w:ascii="Arial" w:hAnsi="Arial" w:eastAsia="Arial"/>
          <w:b w:val="0"/>
          <w:i w:val="0"/>
          <w:caps w:val="0"/>
          <w:color w:val="14263C"/>
          <w:sz w:val="18"/>
        </w:rPr>
        <w:t>The initial commercial wedge is intentionally narrow: prove one consequential mission. Recurring workflows, governed memory and network effects are earned only after bilateral value is visible.</w:t>
      </w:r>
    </w:p>
    <w:p>
      <w:pPr>
        <w:pStyle w:val="Heading2"/>
      </w:pPr>
      <w:r>
        <w:t>Commercial adoption path</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64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Step</w:t>
            </w:r>
          </w:p>
        </w:tc>
        <w:tc>
          <w:tcPr>
            <w:tcW w:type="dxa" w:w="2304"/>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Offer</w:t>
            </w:r>
          </w:p>
        </w:tc>
        <w:tc>
          <w:tcPr>
            <w:tcW w:type="dxa" w:w="4824"/>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Partner outcome</w:t>
            </w:r>
          </w:p>
        </w:tc>
        <w:tc>
          <w:tcPr>
            <w:tcW w:type="dxa" w:w="2563"/>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Economic role</w:t>
            </w:r>
          </w:p>
        </w:tc>
      </w:tr>
      <w:tr>
        <w:tc>
          <w:tcPr>
            <w:tcW w:type="dxa" w:w="6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1</w:t>
            </w:r>
          </w:p>
        </w:tc>
        <w:tc>
          <w:tcPr>
            <w:tcW w:type="dxa" w:w="230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Proof Mission Sprint</w:t>
            </w:r>
          </w:p>
        </w:tc>
        <w:tc>
          <w:tcPr>
            <w:tcW w:type="dxa" w:w="48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One bounded objective becomes a reviewer-ready decision state.</w:t>
            </w:r>
          </w:p>
        </w:tc>
        <w:tc>
          <w:tcPr>
            <w:tcW w:type="dxa" w:w="256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Services wedge and real evidence.</w:t>
            </w:r>
          </w:p>
        </w:tc>
      </w:tr>
      <w:tr>
        <w:tc>
          <w:tcPr>
            <w:tcW w:type="dxa" w:w="64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2</w:t>
            </w:r>
          </w:p>
        </w:tc>
        <w:tc>
          <w:tcPr>
            <w:tcW w:type="dxa" w:w="230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Enterprise Proof OS</w:t>
            </w:r>
          </w:p>
        </w:tc>
        <w:tc>
          <w:tcPr>
            <w:tcW w:type="dxa" w:w="48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Recurring missions, Dockets, Chronicle and audit workflows.</w:t>
            </w:r>
          </w:p>
        </w:tc>
        <w:tc>
          <w:tcPr>
            <w:tcW w:type="dxa" w:w="256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Annual recurring revenue.</w:t>
            </w:r>
          </w:p>
        </w:tc>
      </w:tr>
      <w:tr>
        <w:tc>
          <w:tcPr>
            <w:tcW w:type="dxa" w:w="6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3</w:t>
            </w:r>
          </w:p>
        </w:tc>
        <w:tc>
          <w:tcPr>
            <w:tcW w:type="dxa" w:w="230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Private Validated Skill Graph</w:t>
            </w:r>
          </w:p>
        </w:tc>
        <w:tc>
          <w:tcPr>
            <w:tcW w:type="dxa" w:w="48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Customer-specific governed capability memory.</w:t>
            </w:r>
          </w:p>
        </w:tc>
        <w:tc>
          <w:tcPr>
            <w:tcW w:type="dxa" w:w="256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Implementation + recurring assurance.</w:t>
            </w:r>
          </w:p>
        </w:tc>
      </w:tr>
      <w:tr>
        <w:tc>
          <w:tcPr>
            <w:tcW w:type="dxa" w:w="64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4</w:t>
            </w:r>
          </w:p>
        </w:tc>
        <w:tc>
          <w:tcPr>
            <w:tcW w:type="dxa" w:w="230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Managed AGI Node Council</w:t>
            </w:r>
          </w:p>
        </w:tc>
        <w:tc>
          <w:tcPr>
            <w:tcW w:type="dxa" w:w="482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Independent validation without infrastructure burden.</w:t>
            </w:r>
          </w:p>
        </w:tc>
        <w:tc>
          <w:tcPr>
            <w:tcW w:type="dxa" w:w="2563"/>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ARR + metered usage.</w:t>
            </w:r>
          </w:p>
        </w:tc>
      </w:tr>
      <w:tr>
        <w:tc>
          <w:tcPr>
            <w:tcW w:type="dxa" w:w="64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5</w:t>
            </w:r>
          </w:p>
        </w:tc>
        <w:tc>
          <w:tcPr>
            <w:tcW w:type="dxa" w:w="230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Cross-Institution Proof Network</w:t>
            </w:r>
          </w:p>
        </w:tc>
        <w:tc>
          <w:tcPr>
            <w:tcW w:type="dxa" w:w="482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Jobs, validators, challenges and skill passports across organizations.</w:t>
            </w:r>
          </w:p>
        </w:tc>
        <w:tc>
          <w:tcPr>
            <w:tcW w:type="dxa" w:w="2563"/>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Network effects and proof throughput.</w:t>
            </w:r>
          </w:p>
        </w:tc>
      </w:tr>
    </w:tbl>
    <w:p>
      <w:pPr>
        <w:spacing w:after="0"/>
      </w:pPr>
    </w:p>
    <w:tbl>
      <w:tblPr>
        <w:tblW w:type="auto" w:w="0"/>
        <w:jc w:val="center"/>
        <w:tblLayout w:type="fixed"/>
        <w:tblLook w:firstColumn="1" w:firstRow="1" w:lastColumn="0" w:lastRow="0" w:noHBand="0" w:noVBand="1" w:val="04A0"/>
      </w:tblPr>
      <w:tblGrid>
        <w:gridCol w:w="5227"/>
        <w:gridCol w:w="5227"/>
      </w:tblGrid>
      <w:tr>
        <w:tc>
          <w:tcPr>
            <w:tcW w:type="dxa" w:w="5097"/>
            <w:shd w:fill="EEF5FB"/>
            <w:tcMar>
              <w:top w:w="120" w:type="dxa"/>
              <w:start w:w="130" w:type="dxa"/>
              <w:bottom w:w="120" w:type="dxa"/>
              <w:end w:w="130" w:type="dxa"/>
            </w:tcMar>
            <w:tcBorders>
              <w:top w:val="single" w:sz="8" w:color="387FB7"/>
              <w:left w:val="single" w:sz="8" w:color="387FB7"/>
              <w:bottom w:val="single" w:sz="8" w:color="387FB7"/>
              <w:right w:val="single" w:sz="8" w:color="387FB7"/>
            </w:tcBorders>
          </w:tcPr>
          <w:p>
            <w:r>
              <w:rPr>
                <w:rFonts w:ascii="Georgia" w:hAnsi="Georgia" w:eastAsia="Georgia"/>
                <w:b/>
                <w:i w:val="0"/>
                <w:caps w:val="0"/>
                <w:color w:val="07182B"/>
                <w:sz w:val="23"/>
              </w:rPr>
              <w:t>Company value</w:t>
            </w:r>
          </w:p>
          <w:p>
            <w:pPr>
              <w:keepNext w:val="0"/>
              <w:spacing w:before="0" w:after="0" w:line="250" w:lineRule="auto"/>
            </w:pPr>
            <w:r>
              <w:rPr>
                <w:rFonts w:ascii="Arial" w:hAnsi="Arial" w:eastAsia="Arial"/>
                <w:b w:val="0"/>
                <w:i w:val="0"/>
                <w:caps w:val="0"/>
                <w:color w:val="68788D"/>
                <w:sz w:val="16"/>
              </w:rPr>
              <w:t>Services, subscriptions and implementation are tied to real customer decisions and recurring assurance.</w:t>
            </w:r>
          </w:p>
        </w:tc>
        <w:tc>
          <w:tcPr>
            <w:tcW w:type="dxa" w:w="5097"/>
            <w:shd w:fill="EFF9F4"/>
            <w:tcMar>
              <w:top w:w="120" w:type="dxa"/>
              <w:start w:w="130" w:type="dxa"/>
              <w:bottom w:w="120" w:type="dxa"/>
              <w:end w:w="130" w:type="dxa"/>
            </w:tcMar>
            <w:tcBorders>
              <w:top w:val="single" w:sz="8" w:color="21805A"/>
              <w:left w:val="single" w:sz="8" w:color="21805A"/>
              <w:bottom w:val="single" w:sz="8" w:color="21805A"/>
              <w:right w:val="single" w:sz="8" w:color="21805A"/>
            </w:tcBorders>
          </w:tcPr>
          <w:p>
            <w:r>
              <w:rPr>
                <w:rFonts w:ascii="Georgia" w:hAnsi="Georgia" w:eastAsia="Georgia"/>
                <w:b/>
                <w:i w:val="0"/>
                <w:caps w:val="0"/>
                <w:color w:val="07182B"/>
                <w:sz w:val="23"/>
              </w:rPr>
              <w:t>Protocol value</w:t>
            </w:r>
          </w:p>
          <w:p>
            <w:pPr>
              <w:keepNext w:val="0"/>
              <w:spacing w:before="0" w:after="0" w:line="250" w:lineRule="auto"/>
            </w:pPr>
            <w:r>
              <w:rPr>
                <w:rFonts w:ascii="Arial" w:hAnsi="Arial" w:eastAsia="Arial"/>
                <w:b w:val="0"/>
                <w:i w:val="0"/>
                <w:caps w:val="0"/>
                <w:color w:val="68788D"/>
                <w:sz w:val="16"/>
              </w:rPr>
              <w:t>Verified-work throughput, bonded security and reusable capability increase only as useful authority transitions occur.</w:t>
            </w:r>
          </w:p>
        </w:tc>
      </w:tr>
      <w:tr>
        <w:tc>
          <w:tcPr>
            <w:tcW w:type="dxa" w:w="5097"/>
            <w:shd w:fill="FFF7DF"/>
            <w:tcMar>
              <w:top w:w="120" w:type="dxa"/>
              <w:start w:w="130" w:type="dxa"/>
              <w:bottom w:w="120" w:type="dxa"/>
              <w:end w:w="130" w:type="dxa"/>
            </w:tcMar>
            <w:tcBorders>
              <w:top w:val="single" w:sz="8" w:color="B8872E"/>
              <w:left w:val="single" w:sz="8" w:color="B8872E"/>
              <w:bottom w:val="single" w:sz="8" w:color="B8872E"/>
              <w:right w:val="single" w:sz="8" w:color="B8872E"/>
            </w:tcBorders>
          </w:tcPr>
          <w:p>
            <w:r>
              <w:rPr>
                <w:rFonts w:ascii="Georgia" w:hAnsi="Georgia" w:eastAsia="Georgia"/>
                <w:b/>
                <w:i w:val="0"/>
                <w:caps w:val="0"/>
                <w:color w:val="07182B"/>
                <w:sz w:val="23"/>
              </w:rPr>
              <w:t>Customer posture</w:t>
            </w:r>
          </w:p>
          <w:p>
            <w:pPr>
              <w:keepNext w:val="0"/>
              <w:spacing w:before="0" w:after="0" w:line="250" w:lineRule="auto"/>
            </w:pPr>
            <w:r>
              <w:rPr>
                <w:rFonts w:ascii="Arial" w:hAnsi="Arial" w:eastAsia="Arial"/>
                <w:b w:val="0"/>
                <w:i w:val="0"/>
                <w:caps w:val="0"/>
                <w:color w:val="68788D"/>
                <w:sz w:val="16"/>
              </w:rPr>
              <w:t>A normal enterprise buyer can remain tokenless by default while professional operators supply bonded protocol security.</w:t>
            </w:r>
          </w:p>
        </w:tc>
        <w:tc>
          <w:tcPr>
            <w:tcW w:type="dxa" w:w="5097"/>
            <w:shd w:fill="F3EFFB"/>
            <w:tcMar>
              <w:top w:w="120" w:type="dxa"/>
              <w:start w:w="130" w:type="dxa"/>
              <w:bottom w:w="120" w:type="dxa"/>
              <w:end w:w="130" w:type="dxa"/>
            </w:tcMar>
            <w:tcBorders>
              <w:top w:val="single" w:sz="8" w:color="6753A6"/>
              <w:left w:val="single" w:sz="8" w:color="6753A6"/>
              <w:bottom w:val="single" w:sz="8" w:color="6753A6"/>
              <w:right w:val="single" w:sz="8" w:color="6753A6"/>
            </w:tcBorders>
          </w:tcPr>
          <w:p>
            <w:r>
              <w:rPr>
                <w:rFonts w:ascii="Georgia" w:hAnsi="Georgia" w:eastAsia="Georgia"/>
                <w:b/>
                <w:i w:val="0"/>
                <w:caps w:val="0"/>
                <w:color w:val="07182B"/>
                <w:sz w:val="23"/>
              </w:rPr>
              <w:t>Expansion rule</w:t>
            </w:r>
          </w:p>
          <w:p>
            <w:pPr>
              <w:keepNext w:val="0"/>
              <w:spacing w:before="0" w:after="0" w:line="250" w:lineRule="auto"/>
            </w:pPr>
            <w:r>
              <w:rPr>
                <w:rFonts w:ascii="Arial" w:hAnsi="Arial" w:eastAsia="Arial"/>
                <w:b w:val="0"/>
                <w:i w:val="0"/>
                <w:caps w:val="0"/>
                <w:color w:val="68788D"/>
                <w:sz w:val="16"/>
              </w:rPr>
              <w:t>No network-first scaling. Convert repeated proof demand into capability, then expand only when the evidence supports it.</w:t>
            </w:r>
          </w:p>
        </w:tc>
      </w:tr>
    </w:tbl>
    <w:p>
      <w:r>
        <w:br w:type="page"/>
      </w:r>
    </w:p>
    <w:p>
      <w:pPr>
        <w:pStyle w:val="Eyebrow"/>
      </w:pPr>
      <w:r>
        <w:t>05 · THE FIRST PARTNER PILOT</w:t>
      </w:r>
    </w:p>
    <w:p>
      <w:pPr>
        <w:pStyle w:val="Heading1"/>
      </w:pPr>
      <w:r>
        <w:t>Fifteen business days to one inspectable decision.</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563"/>
            <w:shd w:fill="EEF5FB"/>
            <w:tcMar>
              <w:top w:w="90" w:type="dxa"/>
              <w:start w:w="95" w:type="dxa"/>
              <w:bottom w:w="90" w:type="dxa"/>
              <w:end w:w="95" w:type="dxa"/>
            </w:tcMar>
            <w:tcBorders>
              <w:top w:val="single" w:sz="8" w:color="387FB7"/>
              <w:left w:val="single" w:sz="8" w:color="387FB7"/>
              <w:bottom w:val="single" w:sz="8" w:color="387FB7"/>
              <w:right w:val="single" w:sz="8" w:color="387FB7"/>
            </w:tcBorders>
          </w:tcPr>
          <w:p>
            <w:r>
              <w:rPr>
                <w:rFonts w:ascii="Arial" w:hAnsi="Arial" w:eastAsia="Arial"/>
                <w:b/>
                <w:i w:val="0"/>
                <w:caps/>
                <w:color w:val="387FB7"/>
                <w:sz w:val="14"/>
              </w:rPr>
              <w:t>DAYS 1-2</w:t>
            </w:r>
          </w:p>
          <w:p>
            <w:pPr>
              <w:keepNext w:val="0"/>
              <w:spacing w:before="0" w:after="80" w:line="240" w:lineRule="auto"/>
            </w:pPr>
            <w:r>
              <w:rPr>
                <w:rFonts w:ascii="Georgia" w:hAnsi="Georgia" w:eastAsia="Georgia"/>
                <w:b/>
                <w:i w:val="0"/>
                <w:caps w:val="0"/>
                <w:color w:val="07182B"/>
                <w:sz w:val="20"/>
              </w:rPr>
              <w:t>Freeze the mission</w:t>
            </w:r>
          </w:p>
          <w:p>
            <w:pPr>
              <w:keepNext w:val="0"/>
              <w:spacing w:before="0" w:after="0" w:line="245" w:lineRule="auto"/>
            </w:pPr>
            <w:r>
              <w:rPr>
                <w:rFonts w:ascii="Arial" w:hAnsi="Arial" w:eastAsia="Arial"/>
                <w:b w:val="0"/>
                <w:i w:val="0"/>
                <w:caps w:val="0"/>
                <w:color w:val="68788D"/>
                <w:sz w:val="14"/>
              </w:rPr>
              <w:t>Decision, scope, proof level, validators, blocked claims and rollback.</w:t>
            </w:r>
          </w:p>
        </w:tc>
        <w:tc>
          <w:tcPr>
            <w:tcW w:type="dxa" w:w="2563"/>
            <w:shd w:fill="FFF7DF"/>
            <w:tcMar>
              <w:top w:w="90" w:type="dxa"/>
              <w:start w:w="95" w:type="dxa"/>
              <w:bottom w:w="90" w:type="dxa"/>
              <w:end w:w="95" w:type="dxa"/>
            </w:tcMar>
            <w:tcBorders>
              <w:top w:val="single" w:sz="8" w:color="B8872E"/>
              <w:left w:val="single" w:sz="8" w:color="B8872E"/>
              <w:bottom w:val="single" w:sz="8" w:color="B8872E"/>
              <w:right w:val="single" w:sz="8" w:color="B8872E"/>
            </w:tcBorders>
          </w:tcPr>
          <w:p>
            <w:r>
              <w:rPr>
                <w:rFonts w:ascii="Arial" w:hAnsi="Arial" w:eastAsia="Arial"/>
                <w:b/>
                <w:i w:val="0"/>
                <w:caps/>
                <w:color w:val="B8872E"/>
                <w:sz w:val="14"/>
              </w:rPr>
              <w:t>DAYS 3-8</w:t>
            </w:r>
          </w:p>
          <w:p>
            <w:pPr>
              <w:keepNext w:val="0"/>
              <w:spacing w:before="0" w:after="80" w:line="240" w:lineRule="auto"/>
            </w:pPr>
            <w:r>
              <w:rPr>
                <w:rFonts w:ascii="Georgia" w:hAnsi="Georgia" w:eastAsia="Georgia"/>
                <w:b/>
                <w:i w:val="0"/>
                <w:caps w:val="0"/>
                <w:color w:val="07182B"/>
                <w:sz w:val="20"/>
              </w:rPr>
              <w:t>Produce proof</w:t>
            </w:r>
          </w:p>
          <w:p>
            <w:pPr>
              <w:keepNext w:val="0"/>
              <w:spacing w:before="0" w:after="0" w:line="245" w:lineRule="auto"/>
            </w:pPr>
            <w:r>
              <w:rPr>
                <w:rFonts w:ascii="Arial" w:hAnsi="Arial" w:eastAsia="Arial"/>
                <w:b w:val="0"/>
                <w:i w:val="0"/>
                <w:caps w:val="0"/>
                <w:color w:val="68788D"/>
                <w:sz w:val="14"/>
              </w:rPr>
              <w:t>AGI Jobs, source map, ProofBundles, contradictions, cost and risk.</w:t>
            </w:r>
          </w:p>
        </w:tc>
        <w:tc>
          <w:tcPr>
            <w:tcW w:type="dxa" w:w="2563"/>
            <w:shd w:fill="EFF9F4"/>
            <w:tcMar>
              <w:top w:w="90" w:type="dxa"/>
              <w:start w:w="95" w:type="dxa"/>
              <w:bottom w:w="90" w:type="dxa"/>
              <w:end w:w="95" w:type="dxa"/>
            </w:tcMar>
            <w:tcBorders>
              <w:top w:val="single" w:sz="8" w:color="21805A"/>
              <w:left w:val="single" w:sz="8" w:color="21805A"/>
              <w:bottom w:val="single" w:sz="8" w:color="21805A"/>
              <w:right w:val="single" w:sz="8" w:color="21805A"/>
            </w:tcBorders>
          </w:tcPr>
          <w:p>
            <w:r>
              <w:rPr>
                <w:rFonts w:ascii="Arial" w:hAnsi="Arial" w:eastAsia="Arial"/>
                <w:b/>
                <w:i w:val="0"/>
                <w:caps/>
                <w:color w:val="21805A"/>
                <w:sz w:val="14"/>
              </w:rPr>
              <w:t>DAYS 9-12</w:t>
            </w:r>
          </w:p>
          <w:p>
            <w:pPr>
              <w:keepNext w:val="0"/>
              <w:spacing w:before="0" w:after="80" w:line="240" w:lineRule="auto"/>
            </w:pPr>
            <w:r>
              <w:rPr>
                <w:rFonts w:ascii="Georgia" w:hAnsi="Georgia" w:eastAsia="Georgia"/>
                <w:b/>
                <w:i w:val="0"/>
                <w:caps w:val="0"/>
                <w:color w:val="07182B"/>
                <w:sz w:val="20"/>
              </w:rPr>
              <w:t>Validate and replay</w:t>
            </w:r>
          </w:p>
          <w:p>
            <w:pPr>
              <w:keepNext w:val="0"/>
              <w:spacing w:before="0" w:after="0" w:line="245" w:lineRule="auto"/>
            </w:pPr>
            <w:r>
              <w:rPr>
                <w:rFonts w:ascii="Arial" w:hAnsi="Arial" w:eastAsia="Arial"/>
                <w:b w:val="0"/>
                <w:i w:val="0"/>
                <w:caps w:val="0"/>
                <w:color w:val="68788D"/>
                <w:sz w:val="14"/>
              </w:rPr>
              <w:t>Independent review, repair loop, challenge handling and packaging.</w:t>
            </w:r>
          </w:p>
        </w:tc>
        <w:tc>
          <w:tcPr>
            <w:tcW w:type="dxa" w:w="2563"/>
            <w:shd w:fill="F3EFFB"/>
            <w:tcMar>
              <w:top w:w="90" w:type="dxa"/>
              <w:start w:w="95" w:type="dxa"/>
              <w:bottom w:w="90" w:type="dxa"/>
              <w:end w:w="95" w:type="dxa"/>
            </w:tcMar>
            <w:tcBorders>
              <w:top w:val="single" w:sz="8" w:color="6753A6"/>
              <w:left w:val="single" w:sz="8" w:color="6753A6"/>
              <w:bottom w:val="single" w:sz="8" w:color="6753A6"/>
              <w:right w:val="single" w:sz="8" w:color="6753A6"/>
            </w:tcBorders>
          </w:tcPr>
          <w:p>
            <w:r>
              <w:rPr>
                <w:rFonts w:ascii="Arial" w:hAnsi="Arial" w:eastAsia="Arial"/>
                <w:b/>
                <w:i w:val="0"/>
                <w:caps/>
                <w:color w:val="6753A6"/>
                <w:sz w:val="14"/>
              </w:rPr>
              <w:t>DAYS 13-15</w:t>
            </w:r>
          </w:p>
          <w:p>
            <w:pPr>
              <w:keepNext w:val="0"/>
              <w:spacing w:before="0" w:after="80" w:line="240" w:lineRule="auto"/>
            </w:pPr>
            <w:r>
              <w:rPr>
                <w:rFonts w:ascii="Georgia" w:hAnsi="Georgia" w:eastAsia="Georgia"/>
                <w:b/>
                <w:i w:val="0"/>
                <w:caps w:val="0"/>
                <w:color w:val="07182B"/>
                <w:sz w:val="20"/>
              </w:rPr>
              <w:t>Decide and package</w:t>
            </w:r>
          </w:p>
          <w:p>
            <w:pPr>
              <w:keepNext w:val="0"/>
              <w:spacing w:before="0" w:after="0" w:line="245" w:lineRule="auto"/>
            </w:pPr>
            <w:r>
              <w:rPr>
                <w:rFonts w:ascii="Arial" w:hAnsi="Arial" w:eastAsia="Arial"/>
                <w:b w:val="0"/>
                <w:i w:val="0"/>
                <w:caps w:val="0"/>
                <w:color w:val="68788D"/>
                <w:sz w:val="14"/>
              </w:rPr>
              <w:t>Decision State, Action Graph, Chronicle and capability passport.</w:t>
            </w:r>
          </w:p>
        </w:tc>
      </w:tr>
    </w:tbl>
    <w:p>
      <w:pPr>
        <w:pStyle w:val="Heading2"/>
      </w:pPr>
      <w:r>
        <w:t>Partner inputs</w:t>
      </w:r>
    </w:p>
    <w:p>
      <w:pPr>
        <w:pStyle w:val="ListBullet"/>
        <w:spacing w:after="40" w:line="250" w:lineRule="auto"/>
        <w:ind w:left="259" w:hanging="173"/>
      </w:pPr>
      <w:r>
        <w:rPr>
          <w:rFonts w:ascii="Arial" w:hAnsi="Arial" w:eastAsia="Arial"/>
          <w:b w:val="0"/>
          <w:i w:val="0"/>
          <w:caps w:val="0"/>
          <w:color w:val="14263C"/>
          <w:sz w:val="18"/>
        </w:rPr>
        <w:t>One consequential but reversible objective with a real decision deadline.</w:t>
      </w:r>
    </w:p>
    <w:p>
      <w:pPr>
        <w:pStyle w:val="ListBullet"/>
        <w:spacing w:after="40" w:line="250" w:lineRule="auto"/>
        <w:ind w:left="259" w:hanging="173"/>
      </w:pPr>
      <w:r>
        <w:rPr>
          <w:rFonts w:ascii="Arial" w:hAnsi="Arial" w:eastAsia="Arial"/>
          <w:b w:val="0"/>
          <w:i w:val="0"/>
          <w:caps w:val="0"/>
          <w:color w:val="14263C"/>
          <w:sz w:val="18"/>
        </w:rPr>
        <w:t>One executive sponsor and access to relevant evidence and subject-matter contacts.</w:t>
      </w:r>
    </w:p>
    <w:p>
      <w:pPr>
        <w:pStyle w:val="ListBullet"/>
        <w:spacing w:after="40" w:line="250" w:lineRule="auto"/>
        <w:ind w:left="259" w:hanging="173"/>
      </w:pPr>
      <w:r>
        <w:rPr>
          <w:rFonts w:ascii="Arial" w:hAnsi="Arial" w:eastAsia="Arial"/>
          <w:b w:val="0"/>
          <w:i w:val="0"/>
          <w:caps w:val="0"/>
          <w:color w:val="14263C"/>
          <w:sz w:val="18"/>
        </w:rPr>
        <w:t>One independent reviewer or review group able to challenge the result.</w:t>
      </w:r>
    </w:p>
    <w:p>
      <w:pPr>
        <w:pStyle w:val="ListBullet"/>
        <w:spacing w:after="40" w:line="250" w:lineRule="auto"/>
        <w:ind w:left="259" w:hanging="173"/>
      </w:pPr>
      <w:r>
        <w:rPr>
          <w:rFonts w:ascii="Arial" w:hAnsi="Arial" w:eastAsia="Arial"/>
          <w:b w:val="0"/>
          <w:i w:val="0"/>
          <w:caps w:val="0"/>
          <w:color w:val="14263C"/>
          <w:sz w:val="18"/>
        </w:rPr>
        <w:t>A defined public/private boundary and a clear list of prohibited actions.</w:t>
      </w:r>
    </w:p>
    <w:p>
      <w:pPr>
        <w:pStyle w:val="ListBullet"/>
        <w:spacing w:after="40" w:line="250" w:lineRule="auto"/>
        <w:ind w:left="259" w:hanging="173"/>
      </w:pPr>
      <w:r>
        <w:rPr>
          <w:rFonts w:ascii="Arial" w:hAnsi="Arial" w:eastAsia="Arial"/>
          <w:b w:val="0"/>
          <w:i w:val="0"/>
          <w:caps w:val="0"/>
          <w:color w:val="14263C"/>
          <w:sz w:val="18"/>
        </w:rPr>
        <w:t>Agreement on what “done,” “blocked,” “repair,” and “rollback” mean before work begins.</w:t>
      </w:r>
    </w:p>
    <w:p>
      <w:pPr>
        <w:pStyle w:val="Heading2"/>
      </w:pPr>
      <w:r>
        <w:t>Evidence status and claim boundary</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168"/>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Layer</w:t>
            </w:r>
          </w:p>
        </w:tc>
        <w:tc>
          <w:tcPr>
            <w:tcW w:type="dxa" w:w="1944"/>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Status</w:t>
            </w:r>
          </w:p>
        </w:tc>
        <w:tc>
          <w:tcPr>
            <w:tcW w:type="dxa" w:w="5227"/>
            <w:shd w:fill="07182B"/>
            <w:tcMar>
              <w:top w:w="85" w:type="dxa"/>
              <w:start w:w="90" w:type="dxa"/>
              <w:bottom w:w="85" w:type="dxa"/>
              <w:end w:w="90" w:type="dxa"/>
            </w:tcMar>
            <w:tcBorders>
              <w:top w:val="single" w:sz="6" w:color="07182B"/>
              <w:left w:val="single" w:sz="6" w:color="07182B"/>
              <w:bottom w:val="single" w:sz="6" w:color="07182B"/>
              <w:right w:val="single" w:sz="6" w:color="07182B"/>
            </w:tcBorders>
          </w:tcPr>
          <w:p>
            <w:r>
              <w:rPr>
                <w:rFonts w:ascii="Arial" w:hAnsi="Arial" w:eastAsia="Arial"/>
                <w:b/>
                <w:i w:val="0"/>
                <w:caps w:val="0"/>
                <w:color w:val="FFFFFF"/>
                <w:sz w:val="15"/>
              </w:rPr>
              <w:t>Meaning</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Doctrine and object model</w:t>
            </w:r>
          </w:p>
        </w:tc>
        <w:tc>
          <w:tcPr>
            <w:tcW w:type="dxa" w:w="194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SPECIFIED</w:t>
            </w:r>
          </w:p>
        </w:tc>
        <w:tc>
          <w:tcPr>
            <w:tcW w:type="dxa" w:w="522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Mission OS, PROOF_LOOPS, AEP-001, Chronicle, Dockets and VSG.</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Browser institution</w:t>
            </w:r>
          </w:p>
        </w:tc>
        <w:tc>
          <w:tcPr>
            <w:tcW w:type="dxa" w:w="194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IMPLEMENTED</w:t>
            </w:r>
          </w:p>
        </w:tc>
        <w:tc>
          <w:tcPr>
            <w:tcW w:type="dxa" w:w="522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Standalone offline demonstrator and operating surfaces.</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Runtime and contract packages</w:t>
            </w:r>
          </w:p>
        </w:tc>
        <w:tc>
          <w:tcPr>
            <w:tcW w:type="dxa" w:w="194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REFERENCE-READY</w:t>
            </w:r>
          </w:p>
        </w:tc>
        <w:tc>
          <w:tcPr>
            <w:tcW w:type="dxa" w:w="522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Reference runtime, registries, schemas, tests and deployment packs.</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Business and economics</w:t>
            </w:r>
          </w:p>
        </w:tc>
        <w:tc>
          <w:tcPr>
            <w:tcW w:type="dxa" w:w="194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PLANNING-READY</w:t>
            </w:r>
          </w:p>
        </w:tc>
        <w:tc>
          <w:tcPr>
            <w:tcW w:type="dxa" w:w="522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Proof Mission, recurring Proof OS, private VSG and managed validation.</w:t>
            </w:r>
          </w:p>
        </w:tc>
      </w:tr>
      <w:tr>
        <w:tc>
          <w:tcPr>
            <w:tcW w:type="dxa" w:w="3168"/>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Reviewed live deployment</w:t>
            </w:r>
          </w:p>
        </w:tc>
        <w:tc>
          <w:tcPr>
            <w:tcW w:type="dxa" w:w="1944"/>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PENDING</w:t>
            </w:r>
          </w:p>
        </w:tc>
        <w:tc>
          <w:tcPr>
            <w:tcW w:type="dxa" w:w="5227"/>
            <w:shd w:fill="FFFDF8"/>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Audited contracts, governed keys, independent controls, incident response, insurance and production observability.</w:t>
            </w:r>
          </w:p>
        </w:tc>
      </w:tr>
      <w:tr>
        <w:tc>
          <w:tcPr>
            <w:tcW w:type="dxa" w:w="3168"/>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i w:val="0"/>
                <w:caps w:val="0"/>
                <w:color w:val="14263C"/>
                <w:sz w:val="15"/>
              </w:rPr>
              <w:t>Independent replay / empirical compounding</w:t>
            </w:r>
          </w:p>
        </w:tc>
        <w:tc>
          <w:tcPr>
            <w:tcW w:type="dxa" w:w="1944"/>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PENDING</w:t>
            </w:r>
          </w:p>
        </w:tc>
        <w:tc>
          <w:tcPr>
            <w:tcW w:type="dxa" w:w="5227"/>
            <w:shd w:fill="F8F4EC"/>
            <w:tcMar>
              <w:top w:w="75" w:type="dxa"/>
              <w:start w:w="85" w:type="dxa"/>
              <w:bottom w:w="75" w:type="dxa"/>
              <w:end w:w="85" w:type="dxa"/>
            </w:tcMar>
            <w:tcBorders>
              <w:top w:val="single" w:sz="4" w:color="D9D0C1"/>
              <w:left w:val="single" w:sz="4" w:color="D9D0C1"/>
              <w:bottom w:val="single" w:sz="4" w:color="D9D0C1"/>
              <w:right w:val="single" w:sz="4" w:color="D9D0C1"/>
            </w:tcBorders>
          </w:tcPr>
          <w:p>
            <w:r>
              <w:rPr>
                <w:rFonts w:ascii="Arial" w:hAnsi="Arial" w:eastAsia="Arial"/>
                <w:b w:val="0"/>
                <w:i w:val="0"/>
                <w:caps w:val="0"/>
                <w:color w:val="14263C"/>
                <w:sz w:val="15"/>
              </w:rPr>
              <w:t>External reviewers, delayed outcomes and harder transfer missions.</w:t>
            </w:r>
          </w:p>
        </w:tc>
      </w:tr>
    </w:tbl>
    <w:p>
      <w:pPr>
        <w:spacing w:after="0"/>
      </w:pPr>
    </w:p>
    <w:tbl>
      <w:tblPr>
        <w:tblW w:type="auto" w:w="0"/>
        <w:jc w:val="center"/>
        <w:tblLayout w:type="fixed"/>
        <w:tblLook w:firstColumn="1" w:firstRow="1" w:lastColumn="0" w:lastRow="0" w:noHBand="0" w:noVBand="1" w:val="04A0"/>
      </w:tblPr>
      <w:tblGrid>
        <w:gridCol w:w="10454"/>
      </w:tblGrid>
      <w:tr>
        <w:tc>
          <w:tcPr>
            <w:tcW w:type="dxa" w:w="10339"/>
            <w:shd w:fill="B8872E"/>
            <w:tcMar>
              <w:top w:w="75" w:type="dxa"/>
              <w:start w:w="110" w:type="dxa"/>
              <w:bottom w:w="65" w:type="dxa"/>
              <w:end w:w="110" w:type="dxa"/>
            </w:tcMar>
            <w:tcBorders>
              <w:top w:val="single" w:sz="7" w:color="B8872E"/>
              <w:left w:val="single" w:sz="7" w:color="B8872E"/>
              <w:bottom w:val="single" w:sz="7" w:color="B8872E"/>
              <w:right w:val="single" w:sz="7" w:color="B8872E"/>
            </w:tcBorders>
          </w:tcPr>
          <w:p>
            <w:r>
              <w:rPr>
                <w:rFonts w:ascii="Arial" w:hAnsi="Arial" w:eastAsia="Arial"/>
                <w:b/>
                <w:i w:val="0"/>
                <w:caps/>
                <w:color w:val="FFFFFF"/>
                <w:sz w:val="15"/>
              </w:rPr>
              <w:t>THE ASK</w:t>
            </w:r>
          </w:p>
        </w:tc>
      </w:tr>
      <w:tr>
        <w:tc>
          <w:tcPr>
            <w:tcW w:type="dxa" w:w="10339"/>
            <w:shd w:fill="FFF2CF"/>
            <w:tcMar>
              <w:top w:w="125" w:type="dxa"/>
              <w:start w:w="140" w:type="dxa"/>
              <w:bottom w:w="125" w:type="dxa"/>
              <w:end w:w="140" w:type="dxa"/>
            </w:tcMar>
            <w:tcBorders>
              <w:top w:val="single" w:sz="7" w:color="B8872E"/>
              <w:left w:val="single" w:sz="7" w:color="B8872E"/>
              <w:bottom w:val="single" w:sz="7" w:color="B8872E"/>
              <w:right w:val="single" w:sz="7" w:color="B8872E"/>
            </w:tcBorders>
          </w:tcPr>
          <w:p>
            <w:pPr>
              <w:jc w:val="center"/>
            </w:pPr>
            <w:r>
              <w:rPr>
                <w:rFonts w:ascii="Georgia" w:hAnsi="Georgia" w:eastAsia="Georgia"/>
                <w:b/>
                <w:i w:val="0"/>
                <w:caps w:val="0"/>
                <w:color w:val="14263C"/>
                <w:sz w:val="24"/>
              </w:rPr>
              <w:t>Select one mission. Prove the operating loop before broader adoption.</w:t>
            </w:r>
          </w:p>
        </w:tc>
      </w:tr>
    </w:tbl>
    <w:p>
      <w:pPr>
        <w:spacing w:after="0"/>
      </w:pPr>
    </w:p>
    <w:p>
      <w:pPr>
        <w:keepNext w:val="0"/>
        <w:spacing w:before="0" w:after="80" w:line="259" w:lineRule="auto"/>
      </w:pPr>
      <w:r>
        <w:rPr>
          <w:rFonts w:ascii="Arial" w:hAnsi="Arial" w:eastAsia="Arial"/>
          <w:b w:val="0"/>
          <w:i w:val="0"/>
          <w:caps w:val="0"/>
          <w:color w:val="68788D"/>
          <w:sz w:val="15"/>
        </w:rPr>
        <w:t>Participation is conditioned on affirmative, versioned acceptance of the GoalOS Enterprise User Responsibility Framework. Each Participant acts solely for its own account and remains exclusively responsible for its objectives, instructions, content, data, systems, personnel, wallets, keys, transactions, taxes, reporting, licences, regulatory compliance, security, insurance, decisions and downstream deployment. Each Participant also assumes the applicable technical and economic risks and accepts release, non-recourse, hold-harmless for Participant-caused matters and non-joinder obligations in favour of the Protected Parties. User-to-user matters remain between the relevant Participants. Permitted professional disputes follow particularized notice, evidence preservation, confidential Montréal mediation and Montréal-seated arbitration.</w:t>
      </w:r>
    </w:p>
    <w:sectPr w:rsidR="00FC693F" w:rsidRPr="0006063C" w:rsidSect="00034616">
      <w:headerReference w:type="default" r:id="rId9"/>
      <w:footerReference w:type="default" r:id="rId10"/>
      <w:headerReference w:type="first" r:id="rId13"/>
      <w:headerReference w:type="even" r:id="rId14"/>
      <w:footerReference w:type="first" r:id="rId15"/>
      <w:footerReference w:type="even" r:id="rId16"/>
      <w:pgSz w:w="12240" w:h="15840"/>
      <w:pgMar w:top="749" w:right="893" w:bottom="749" w:left="893" w:header="360"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227"/>
      <w:gridCol w:w="5227"/>
    </w:tblGrid>
    <w:tr>
      <w:tc>
        <w:tcPr>
          <w:tcW w:type="dxa" w:w="8352"/>
          <w:shd w:fill="FFFDF8"/>
          <w:tcMar>
            <w:top w:w="35" w:type="dxa"/>
            <w:start w:w="0" w:type="dxa"/>
            <w:bottom w:w="0" w:type="dxa"/>
            <w:end w:w="0" w:type="dxa"/>
          </w:tcMar>
          <w:tcBorders>
            <w:top w:val="single" w:sz="6" w:color="D9D0C1"/>
          </w:tcBorders>
        </w:tcPr>
        <w:p>
          <w:r>
            <w:rPr>
              <w:rFonts w:ascii="Arial" w:hAnsi="Arial" w:eastAsia="Arial"/>
              <w:b/>
              <w:i w:val="0"/>
              <w:caps w:val="0"/>
              <w:color w:val="68788D"/>
              <w:sz w:val="15"/>
            </w:rPr>
            <w:t>GOALOS / AGI ALPHA RESEARCH ARCHITECTURE · JULY 2026</w:t>
          </w:r>
        </w:p>
      </w:tc>
      <w:tc>
        <w:tcPr>
          <w:tcW w:type="dxa" w:w="2102"/>
          <w:shd w:fill="FFFDF8"/>
          <w:tcMar>
            <w:top w:w="35" w:type="dxa"/>
            <w:start w:w="0" w:type="dxa"/>
            <w:bottom w:w="0" w:type="dxa"/>
            <w:end w:w="0" w:type="dxa"/>
          </w:tcMar>
          <w:tcBorders>
            <w:top w:val="single" w:sz="6" w:color="D9D0C1"/>
          </w:tcBorders>
        </w:tcPr>
        <w:p>
          <w:pPr>
            <w:jc w:val="right"/>
          </w:pPr>
          <w:r>
            <w:rPr>
              <w:rFonts w:ascii="Arial" w:hAnsi="Arial" w:eastAsia="Arial"/>
              <w:b/>
              <w:i w:val="0"/>
              <w:caps w:val="0"/>
              <w:color w:val="68788D"/>
              <w:sz w:val="16"/>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27"/>
      <w:gridCol w:w="5227"/>
    </w:tblGrid>
    <w:tr>
      <w:tc>
        <w:tcPr>
          <w:tcW w:type="dxa" w:w="5227"/>
          <w:shd w:fill="FFFDF8"/>
          <w:tcMar>
            <w:top w:w="0" w:type="dxa"/>
            <w:start w:w="0" w:type="dxa"/>
            <w:bottom w:w="40" w:type="dxa"/>
            <w:end w:w="0" w:type="dxa"/>
          </w:tcMar>
          <w:tcBorders>
            <w:bottom w:val="single" w:sz="6" w:color="D9D0C1"/>
          </w:tcBorders>
        </w:tcPr>
        <w:p>
          <w:r>
            <w:rPr>
              <w:rFonts w:ascii="Arial" w:hAnsi="Arial" w:eastAsia="Arial"/>
              <w:b/>
              <w:i w:val="0"/>
              <w:caps/>
              <w:color w:val="68788D"/>
              <w:sz w:val="15"/>
            </w:rPr>
            <w:t>GOALOS / FINAL PRODUCTION PARTNER EDITION</w:t>
          </w:r>
        </w:p>
      </w:tc>
      <w:tc>
        <w:tcPr>
          <w:tcW w:type="dxa" w:w="5227"/>
          <w:shd w:fill="FFFDF8"/>
          <w:tcMar>
            <w:top w:w="0" w:type="dxa"/>
            <w:start w:w="0" w:type="dxa"/>
            <w:bottom w:w="40" w:type="dxa"/>
            <w:end w:w="0" w:type="dxa"/>
          </w:tcMar>
          <w:tcBorders>
            <w:bottom w:val="single" w:sz="6" w:color="D9D0C1"/>
          </w:tcBorders>
        </w:tcPr>
        <w:p>
          <w:pPr>
            <w:jc w:val="right"/>
          </w:pPr>
          <w:r>
            <w:rPr>
              <w:rFonts w:ascii="Arial" w:hAnsi="Arial" w:eastAsia="Arial"/>
              <w:b/>
              <w:i w:val="0"/>
              <w:caps/>
              <w:color w:val="68788D"/>
              <w:sz w:val="15"/>
            </w:rPr>
            <w:t>AI CREATES OUTPUT. GOALOS CREATES PROOF.</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42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Theme="majorHAnsi" w:eastAsiaTheme="majorEastAsia" w:hAnsiTheme="majorHAnsi" w:cstheme="majorBidi" w:ascii="Georgia" w:hAnsi="Georgia" w:eastAsia="Georgia"/>
      <w:b/>
      <w:bCs/>
      <w:color w:val="07182B"/>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eastAsia="Georgia"/>
      <w:b/>
      <w:bCs/>
      <w:color w:val="07182B"/>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eastAsia="Arial"/>
      <w:b/>
      <w:bCs/>
      <w:color w:val="0718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eastAsia="Georgia"/>
      <w:color w:val="0718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Georgia" w:hAnsi="Georgia" w:eastAsia="Georgia"/>
      <w:i/>
      <w:iCs/>
      <w:color w:val="68788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00"/>
    </w:pPr>
    <w:rPr>
      <w:rFonts w:ascii="Arial" w:hAnsi="Arial" w:eastAsia="Arial"/>
      <w:b/>
      <w:caps/>
      <w:color w:val="B8872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GoalOS Executive Partner Brief</dc:title>
  <dc:subject>The Proof OS for Autonomous AI Work</dc:subject>
  <dc:creator>Vincent Boucher</dc:creator>
  <cp:keywords>GoalOS, AGI ALPHA, proof operating system, governed decision state, partner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