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454"/>
      </w:tblGrid>
      <w:tr>
        <w:trPr>
          <w:trHeight w:val="13752"/>
        </w:trPr>
        <w:tc>
          <w:tcPr>
            <w:tcW w:type="dxa" w:w="10396"/>
            <w:shd w:fill="07182B"/>
            <w:tcMar>
              <w:top w:w="420" w:type="dxa"/>
              <w:start w:w="430" w:type="dxa"/>
              <w:bottom w:w="420" w:type="dxa"/>
              <w:end w:w="430" w:type="dxa"/>
            </w:tcMar>
            <w:tcBorders>
              <w:top w:val="single" w:sz="2" w:color="07182B"/>
              <w:left w:val="single" w:sz="2" w:color="07182B"/>
              <w:bottom w:val="single" w:sz="2" w:color="07182B"/>
              <w:right w:val="single" w:sz="2" w:color="07182B"/>
            </w:tcBorders>
            <w:vAlign w:val="center"/>
          </w:tcPr>
          <w:p>
            <w:pPr>
              <w:keepNext w:val="0"/>
              <w:spacing w:before="0" w:after="400" w:line="240" w:lineRule="auto"/>
              <w:jc w:val="left"/>
            </w:pPr>
            <w:r>
              <w:rPr>
                <w:rFonts w:ascii="Arial" w:hAnsi="Arial" w:eastAsia="Arial"/>
                <w:b/>
                <w:i w:val="0"/>
                <w:caps/>
                <w:color w:val="E9C87D"/>
                <w:sz w:val="17"/>
              </w:rPr>
              <w:t>GOALOS / SAMPLE GOVERNED DECISION STATE</w:t>
            </w:r>
          </w:p>
          <w:p>
            <w:pPr>
              <w:keepNext w:val="0"/>
              <w:spacing w:before="0" w:after="280" w:line="240" w:lineRule="auto"/>
            </w:pPr>
            <w:r>
              <w:rPr>
                <w:rFonts w:ascii="Georgia" w:hAnsi="Georgia" w:eastAsia="Georgia"/>
                <w:b/>
                <w:i w:val="0"/>
                <w:caps w:val="0"/>
                <w:color w:val="FFFFFF"/>
                <w:sz w:val="62"/>
              </w:rPr>
              <w:t>Strategic Partnership</w:t>
              <w:br/>
              <w:t>Diligence</w:t>
            </w:r>
          </w:p>
          <w:p>
            <w:pPr>
              <w:keepNext w:val="0"/>
              <w:spacing w:before="0" w:after="480" w:line="269" w:lineRule="auto"/>
            </w:pPr>
            <w:r>
              <w:rPr>
                <w:rFonts w:ascii="Georgia" w:hAnsi="Georgia" w:eastAsia="Georgia"/>
                <w:b w:val="0"/>
                <w:i/>
                <w:caps w:val="0"/>
                <w:color w:val="C8D6E4"/>
                <w:sz w:val="29"/>
              </w:rPr>
              <w:t>Illustrative evidence package for deciding whether to enter a bounded AI infrastructure partnership pilot.</w:t>
            </w:r>
          </w:p>
          <w:tbl>
            <w:tblPr>
              <w:tblW w:type="auto" w:w="0"/>
              <w:jc w:val="center"/>
              <w:tblLook w:firstColumn="1" w:firstRow="1" w:lastColumn="0" w:lastRow="0" w:noHBand="0" w:noVBand="1" w:val="04A0"/>
            </w:tblPr>
            <w:tblGrid>
              <w:gridCol w:w="10396"/>
            </w:tblGrid>
            <w:tr>
              <w:tc>
                <w:tcPr>
                  <w:tcW w:type="dxa" w:w="10396"/>
                  <w:shd w:fill="0C2744"/>
                  <w:tcMar>
                    <w:top w:w="150" w:type="dxa"/>
                    <w:start w:w="180" w:type="dxa"/>
                    <w:bottom w:w="150" w:type="dxa"/>
                    <w:end w:w="180" w:type="dxa"/>
                  </w:tcMar>
                  <w:tcBorders>
                    <w:top w:val="single" w:sz="10" w:color="E9C87D"/>
                    <w:left w:val="single" w:sz="10" w:color="E9C87D"/>
                    <w:bottom w:val="single" w:sz="10" w:color="E9C87D"/>
                    <w:right w:val="single" w:sz="10" w:color="E9C87D"/>
                  </w:tcBorders>
                </w:tcPr>
                <w:p>
                  <w:pPr>
                    <w:jc w:val="center"/>
                  </w:pPr>
                  <w:r>
                    <w:rPr>
                      <w:rFonts w:ascii="Georgia" w:hAnsi="Georgia" w:eastAsia="Georgia"/>
                      <w:b/>
                      <w:i w:val="0"/>
                      <w:caps w:val="0"/>
                      <w:color w:val="FFFFFF"/>
                      <w:sz w:val="29"/>
                    </w:rPr>
                    <w:t>Proceed with a 30-day sandbox pilot - subject to four closing conditions.</w:t>
                  </w:r>
                </w:p>
              </w:tc>
            </w:tr>
          </w:tbl>
          <w:p/>
          <w:p>
            <w:pPr>
              <w:keepNext w:val="0"/>
              <w:spacing w:before="440" w:after="100" w:line="240" w:lineRule="auto"/>
            </w:pPr>
            <w:r>
              <w:rPr>
                <w:rFonts w:ascii="Arial" w:hAnsi="Arial" w:eastAsia="Arial"/>
                <w:b/>
                <w:i w:val="0"/>
                <w:caps/>
                <w:color w:val="E9C87D"/>
                <w:sz w:val="16"/>
              </w:rPr>
              <w:t>FINAL PRODUCTION PARTNER SAMPLE · JULY 2026</w:t>
            </w:r>
          </w:p>
          <w:p>
            <w:pPr>
              <w:keepNext w:val="0"/>
              <w:spacing w:before="0" w:after="0" w:line="240" w:lineRule="auto"/>
            </w:pPr>
            <w:r>
              <w:rPr>
                <w:rFonts w:ascii="Arial" w:hAnsi="Arial" w:eastAsia="Arial"/>
                <w:b w:val="0"/>
                <w:i w:val="0"/>
                <w:caps w:val="0"/>
                <w:color w:val="AFC0D0"/>
                <w:sz w:val="17"/>
              </w:rPr>
              <w:t>This sample demonstrates the structure and usefulness of GoalOS. It is not based on a real provider, does not constitute external validation or professional advice, and grants no production authority.</w:t>
            </w:r>
          </w:p>
        </w:tc>
      </w:tr>
    </w:tbl>
    <w:p>
      <w:r>
        <w:br w:type="page"/>
      </w:r>
    </w:p>
    <w:tbl>
      <w:tblPr>
        <w:tblW w:type="auto" w:w="0"/>
        <w:jc w:val="center"/>
        <w:tblLayout w:type="fixed"/>
        <w:tblLook w:firstColumn="1" w:firstRow="1" w:lastColumn="0" w:lastRow="0" w:noHBand="0" w:noVBand="1" w:val="04A0"/>
      </w:tblPr>
      <w:tblGrid>
        <w:gridCol w:w="5227"/>
        <w:gridCol w:w="5227"/>
      </w:tblGrid>
      <w:tr>
        <w:tc>
          <w:tcPr>
            <w:tcW w:type="dxa" w:w="3456"/>
            <w:shd w:fill="B74A5E"/>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color w:val="FFFFFF"/>
                <w:sz w:val="14"/>
              </w:rPr>
              <w:t>ILLUSTRATIVE PARTNER DEMONSTRATION</w:t>
            </w:r>
          </w:p>
        </w:tc>
        <w:tc>
          <w:tcPr>
            <w:tcW w:type="dxa" w:w="6883"/>
            <w:shd w:fill="F7E3E7"/>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val="0"/>
                <w:color w:val="7A2637"/>
                <w:sz w:val="15"/>
              </w:rPr>
              <w:t>Not an external validation, production certification, legal opinion, financial representation or investment recommendation.</w:t>
            </w:r>
          </w:p>
        </w:tc>
      </w:tr>
    </w:tbl>
    <w:p>
      <w:pPr>
        <w:pStyle w:val="Eyebrow"/>
      </w:pPr>
      <w:r>
        <w:t>01 · EXECUTIVE DECISION</w:t>
      </w:r>
    </w:p>
    <w:p>
      <w:pPr>
        <w:pStyle w:val="Heading1"/>
      </w:pPr>
      <w:r>
        <w:t>Proceed with a 30-day sandbox pilot - subject to four closing conditions.</w:t>
      </w:r>
    </w:p>
    <w:p>
      <w:pPr>
        <w:keepNext w:val="0"/>
        <w:spacing w:before="0" w:after="80" w:line="259" w:lineRule="auto"/>
      </w:pPr>
      <w:r>
        <w:rPr>
          <w:rFonts w:ascii="Arial" w:hAnsi="Arial" w:eastAsia="Arial"/>
          <w:b w:val="0"/>
          <w:i w:val="0"/>
          <w:caps w:val="0"/>
          <w:color w:val="14263C"/>
          <w:sz w:val="18"/>
        </w:rPr>
        <w:t>The evidence supports strategic and technical fit for a reversible pilot. Production deployment, broad data access and auto-renewal remain blocked.</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584"/>
            <w:shd w:fill="0C2744"/>
            <w:tcMar>
              <w:top w:w="120" w:type="dxa"/>
              <w:start w:w="110" w:type="dxa"/>
              <w:bottom w:w="110" w:type="dxa"/>
              <w:end w:w="110" w:type="dxa"/>
            </w:tcMar>
            <w:tcBorders>
              <w:top w:val="single" w:sz="7" w:color="31516B"/>
              <w:left w:val="single" w:sz="7" w:color="31516B"/>
              <w:bottom w:val="single" w:sz="7" w:color="31516B"/>
              <w:right w:val="single" w:sz="7" w:color="31516B"/>
            </w:tcBorders>
          </w:tcPr>
          <w:p>
            <w:pPr>
              <w:jc w:val="center"/>
            </w:pPr>
            <w:r>
              <w:rPr>
                <w:rFonts w:ascii="Georgia" w:hAnsi="Georgia" w:eastAsia="Georgia"/>
                <w:b/>
                <w:i w:val="0"/>
                <w:caps w:val="0"/>
                <w:color w:val="FFFFFF"/>
                <w:sz w:val="34"/>
              </w:rPr>
              <w:t>92%</w:t>
            </w:r>
          </w:p>
          <w:p>
            <w:pPr>
              <w:keepNext w:val="0"/>
              <w:spacing w:before="0" w:after="0" w:line="240" w:lineRule="auto"/>
              <w:jc w:val="center"/>
            </w:pPr>
            <w:r>
              <w:rPr>
                <w:rFonts w:ascii="Arial" w:hAnsi="Arial" w:eastAsia="Arial"/>
                <w:b/>
                <w:i w:val="0"/>
                <w:caps w:val="0"/>
                <w:color w:val="BDD0E1"/>
                <w:sz w:val="14"/>
              </w:rPr>
              <w:t>Evidence coverage</w:t>
            </w:r>
          </w:p>
        </w:tc>
        <w:tc>
          <w:tcPr>
            <w:tcW w:type="dxa" w:w="2584"/>
            <w:shd w:fill="0C2744"/>
            <w:tcMar>
              <w:top w:w="120" w:type="dxa"/>
              <w:start w:w="110" w:type="dxa"/>
              <w:bottom w:w="110" w:type="dxa"/>
              <w:end w:w="110" w:type="dxa"/>
            </w:tcMar>
            <w:tcBorders>
              <w:top w:val="single" w:sz="7" w:color="31516B"/>
              <w:left w:val="single" w:sz="7" w:color="31516B"/>
              <w:bottom w:val="single" w:sz="7" w:color="31516B"/>
              <w:right w:val="single" w:sz="7" w:color="31516B"/>
            </w:tcBorders>
          </w:tcPr>
          <w:p>
            <w:pPr>
              <w:jc w:val="center"/>
            </w:pPr>
            <w:r>
              <w:rPr>
                <w:rFonts w:ascii="Georgia" w:hAnsi="Georgia" w:eastAsia="Georgia"/>
                <w:b/>
                <w:i w:val="0"/>
                <w:caps w:val="0"/>
                <w:color w:val="FFFFFF"/>
                <w:sz w:val="34"/>
              </w:rPr>
              <w:t>5 / 5</w:t>
            </w:r>
          </w:p>
          <w:p>
            <w:pPr>
              <w:keepNext w:val="0"/>
              <w:spacing w:before="0" w:after="0" w:line="240" w:lineRule="auto"/>
              <w:jc w:val="center"/>
            </w:pPr>
            <w:r>
              <w:rPr>
                <w:rFonts w:ascii="Arial" w:hAnsi="Arial" w:eastAsia="Arial"/>
                <w:b/>
                <w:i w:val="0"/>
                <w:caps w:val="0"/>
                <w:color w:val="BDD0E1"/>
                <w:sz w:val="14"/>
              </w:rPr>
              <w:t>Validator reveals</w:t>
            </w:r>
          </w:p>
        </w:tc>
        <w:tc>
          <w:tcPr>
            <w:tcW w:type="dxa" w:w="2584"/>
            <w:shd w:fill="0C2744"/>
            <w:tcMar>
              <w:top w:w="120" w:type="dxa"/>
              <w:start w:w="110" w:type="dxa"/>
              <w:bottom w:w="110" w:type="dxa"/>
              <w:end w:w="110" w:type="dxa"/>
            </w:tcMar>
            <w:tcBorders>
              <w:top w:val="single" w:sz="7" w:color="31516B"/>
              <w:left w:val="single" w:sz="7" w:color="31516B"/>
              <w:bottom w:val="single" w:sz="7" w:color="31516B"/>
              <w:right w:val="single" w:sz="7" w:color="31516B"/>
            </w:tcBorders>
          </w:tcPr>
          <w:p>
            <w:pPr>
              <w:jc w:val="center"/>
            </w:pPr>
            <w:r>
              <w:rPr>
                <w:rFonts w:ascii="Georgia" w:hAnsi="Georgia" w:eastAsia="Georgia"/>
                <w:b/>
                <w:i w:val="0"/>
                <w:caps w:val="0"/>
                <w:color w:val="FFFFFF"/>
                <w:sz w:val="34"/>
              </w:rPr>
              <w:t>4</w:t>
            </w:r>
          </w:p>
          <w:p>
            <w:pPr>
              <w:keepNext w:val="0"/>
              <w:spacing w:before="0" w:after="0" w:line="240" w:lineRule="auto"/>
              <w:jc w:val="center"/>
            </w:pPr>
            <w:r>
              <w:rPr>
                <w:rFonts w:ascii="Arial" w:hAnsi="Arial" w:eastAsia="Arial"/>
                <w:b/>
                <w:i w:val="0"/>
                <w:caps w:val="0"/>
                <w:color w:val="BDD0E1"/>
                <w:sz w:val="14"/>
              </w:rPr>
              <w:t>Open proof debt</w:t>
            </w:r>
          </w:p>
        </w:tc>
        <w:tc>
          <w:tcPr>
            <w:tcW w:type="dxa" w:w="2584"/>
            <w:shd w:fill="0C2744"/>
            <w:tcMar>
              <w:top w:w="120" w:type="dxa"/>
              <w:start w:w="110" w:type="dxa"/>
              <w:bottom w:w="110" w:type="dxa"/>
              <w:end w:w="110" w:type="dxa"/>
            </w:tcMar>
            <w:tcBorders>
              <w:top w:val="single" w:sz="7" w:color="31516B"/>
              <w:left w:val="single" w:sz="7" w:color="31516B"/>
              <w:bottom w:val="single" w:sz="7" w:color="31516B"/>
              <w:right w:val="single" w:sz="7" w:color="31516B"/>
            </w:tcBorders>
          </w:tcPr>
          <w:p>
            <w:pPr>
              <w:jc w:val="center"/>
            </w:pPr>
            <w:r>
              <w:rPr>
                <w:rFonts w:ascii="Georgia" w:hAnsi="Georgia" w:eastAsia="Georgia"/>
                <w:b/>
                <w:i w:val="0"/>
                <w:caps w:val="0"/>
                <w:color w:val="FFFFFF"/>
                <w:sz w:val="34"/>
              </w:rPr>
              <w:t>96%</w:t>
            </w:r>
          </w:p>
          <w:p>
            <w:pPr>
              <w:keepNext w:val="0"/>
              <w:spacing w:before="0" w:after="0" w:line="240" w:lineRule="auto"/>
              <w:jc w:val="center"/>
            </w:pPr>
            <w:r>
              <w:rPr>
                <w:rFonts w:ascii="Arial" w:hAnsi="Arial" w:eastAsia="Arial"/>
                <w:b/>
                <w:i w:val="0"/>
                <w:caps w:val="0"/>
                <w:color w:val="BDD0E1"/>
                <w:sz w:val="14"/>
              </w:rPr>
              <w:t>Replay-ready artifacts</w:t>
            </w:r>
          </w:p>
        </w:tc>
      </w:tr>
    </w:tbl>
    <w:p>
      <w:pPr>
        <w:pStyle w:val="Heading2"/>
      </w:pPr>
      <w:r>
        <w:t>Closing conditions</w:t>
      </w:r>
    </w:p>
    <w:p>
      <w:pPr>
        <w:pStyle w:val="ListBullet"/>
        <w:spacing w:after="40" w:line="250" w:lineRule="auto"/>
        <w:ind w:left="259" w:hanging="173"/>
      </w:pPr>
      <w:r>
        <w:rPr>
          <w:rFonts w:ascii="Arial" w:hAnsi="Arial" w:eastAsia="Arial"/>
          <w:b w:val="0"/>
          <w:i w:val="0"/>
          <w:caps w:val="0"/>
          <w:color w:val="14263C"/>
          <w:sz w:val="18"/>
        </w:rPr>
        <w:t>Independent security attestation or equivalent control evidence</w:t>
      </w:r>
    </w:p>
    <w:p>
      <w:pPr>
        <w:pStyle w:val="ListBullet"/>
        <w:spacing w:after="40" w:line="250" w:lineRule="auto"/>
        <w:ind w:left="259" w:hanging="173"/>
      </w:pPr>
      <w:r>
        <w:rPr>
          <w:rFonts w:ascii="Arial" w:hAnsi="Arial" w:eastAsia="Arial"/>
          <w:b w:val="0"/>
          <w:i w:val="0"/>
          <w:caps w:val="0"/>
          <w:color w:val="14263C"/>
          <w:sz w:val="18"/>
        </w:rPr>
        <w:t>Approved data-flow and residency map</w:t>
      </w:r>
    </w:p>
    <w:p>
      <w:pPr>
        <w:pStyle w:val="ListBullet"/>
        <w:spacing w:after="40" w:line="250" w:lineRule="auto"/>
        <w:ind w:left="259" w:hanging="173"/>
      </w:pPr>
      <w:r>
        <w:rPr>
          <w:rFonts w:ascii="Arial" w:hAnsi="Arial" w:eastAsia="Arial"/>
          <w:b w:val="0"/>
          <w:i w:val="0"/>
          <w:caps w:val="0"/>
          <w:color w:val="14263C"/>
          <w:sz w:val="18"/>
        </w:rPr>
        <w:t>Two relevant enterprise reference calls</w:t>
      </w:r>
    </w:p>
    <w:p>
      <w:pPr>
        <w:pStyle w:val="ListBullet"/>
        <w:spacing w:after="40" w:line="250" w:lineRule="auto"/>
        <w:ind w:left="259" w:hanging="173"/>
      </w:pPr>
      <w:r>
        <w:rPr>
          <w:rFonts w:ascii="Arial" w:hAnsi="Arial" w:eastAsia="Arial"/>
          <w:b w:val="0"/>
          <w:i w:val="0"/>
          <w:caps w:val="0"/>
          <w:color w:val="14263C"/>
          <w:sz w:val="18"/>
        </w:rPr>
        <w:t>Rollback rehearsal, capped budget and explicit termination rights</w:t>
      </w:r>
    </w:p>
    <w:tbl>
      <w:tblPr>
        <w:tblW w:type="auto" w:w="0"/>
        <w:jc w:val="center"/>
        <w:tblLayout w:type="fixed"/>
        <w:tblLook w:firstColumn="1" w:firstRow="1" w:lastColumn="0" w:lastRow="0" w:noHBand="0" w:noVBand="1" w:val="04A0"/>
      </w:tblPr>
      <w:tblGrid>
        <w:gridCol w:w="10454"/>
      </w:tblGrid>
      <w:tr>
        <w:tc>
          <w:tcPr>
            <w:tcW w:type="dxa" w:w="10339"/>
            <w:shd w:fill="21805A"/>
            <w:tcMar>
              <w:top w:w="75" w:type="dxa"/>
              <w:start w:w="110" w:type="dxa"/>
              <w:bottom w:w="65" w:type="dxa"/>
              <w:end w:w="110" w:type="dxa"/>
            </w:tcMar>
            <w:tcBorders>
              <w:top w:val="single" w:sz="7" w:color="21805A"/>
              <w:left w:val="single" w:sz="7" w:color="21805A"/>
              <w:bottom w:val="single" w:sz="7" w:color="21805A"/>
              <w:right w:val="single" w:sz="7" w:color="21805A"/>
            </w:tcBorders>
          </w:tcPr>
          <w:p>
            <w:r>
              <w:rPr>
                <w:rFonts w:ascii="Arial" w:hAnsi="Arial" w:eastAsia="Arial"/>
                <w:b/>
                <w:i w:val="0"/>
                <w:caps/>
                <w:color w:val="FFFFFF"/>
                <w:sz w:val="15"/>
              </w:rPr>
              <w:t>CHRONICLE VERDICT</w:t>
            </w:r>
          </w:p>
        </w:tc>
      </w:tr>
      <w:tr>
        <w:tc>
          <w:tcPr>
            <w:tcW w:type="dxa" w:w="10339"/>
            <w:shd w:fill="EFF9F4"/>
            <w:tcMar>
              <w:top w:w="125" w:type="dxa"/>
              <w:start w:w="140" w:type="dxa"/>
              <w:bottom w:w="125" w:type="dxa"/>
              <w:end w:w="140" w:type="dxa"/>
            </w:tcMar>
            <w:tcBorders>
              <w:top w:val="single" w:sz="7" w:color="21805A"/>
              <w:left w:val="single" w:sz="7" w:color="21805A"/>
              <w:bottom w:val="single" w:sz="7" w:color="21805A"/>
              <w:right w:val="single" w:sz="7" w:color="21805A"/>
            </w:tcBorders>
          </w:tcPr>
          <w:p>
            <w:pPr>
              <w:jc w:val="center"/>
            </w:pPr>
            <w:r>
              <w:rPr>
                <w:rFonts w:ascii="Georgia" w:hAnsi="Georgia" w:eastAsia="Georgia"/>
                <w:b/>
                <w:i w:val="0"/>
                <w:caps w:val="0"/>
                <w:color w:val="14263C"/>
                <w:sz w:val="24"/>
              </w:rPr>
              <w:t>ADMIT WITH SCOPE. Pilot authority is granted. Production authority remains blocked.</w:t>
            </w:r>
          </w:p>
        </w:tc>
      </w:tr>
    </w:tbl>
    <w:p>
      <w:pPr>
        <w:spacing w:after="0"/>
      </w:pPr>
    </w:p>
    <w:p>
      <w:pPr>
        <w:pStyle w:val="Heading2"/>
      </w:pPr>
      <w:r>
        <w:t>Executive interpretation</w:t>
      </w:r>
    </w:p>
    <w:p>
      <w:pPr>
        <w:keepNext w:val="0"/>
        <w:spacing w:before="0" w:after="80" w:line="259" w:lineRule="auto"/>
      </w:pPr>
      <w:r>
        <w:rPr>
          <w:rFonts w:ascii="Arial" w:hAnsi="Arial" w:eastAsia="Arial"/>
          <w:b w:val="0"/>
          <w:i w:val="0"/>
          <w:caps w:val="0"/>
          <w:color w:val="14263C"/>
          <w:sz w:val="18"/>
        </w:rPr>
        <w:t>The evidence is sufficient to justify a limited learning action, but not sufficient to justify production integration, broad data access, automatic renewal or any assertion of enterprise-wide readiness. The recommended action is designed to be reversible, measurable and decision-useful.</w:t>
      </w:r>
    </w:p>
    <w:p>
      <w:r>
        <w:br w:type="page"/>
      </w:r>
    </w:p>
    <w:tbl>
      <w:tblPr>
        <w:tblW w:type="auto" w:w="0"/>
        <w:jc w:val="center"/>
        <w:tblLayout w:type="fixed"/>
        <w:tblLook w:firstColumn="1" w:firstRow="1" w:lastColumn="0" w:lastRow="0" w:noHBand="0" w:noVBand="1" w:val="04A0"/>
      </w:tblPr>
      <w:tblGrid>
        <w:gridCol w:w="5227"/>
        <w:gridCol w:w="5227"/>
      </w:tblGrid>
      <w:tr>
        <w:tc>
          <w:tcPr>
            <w:tcW w:type="dxa" w:w="3456"/>
            <w:shd w:fill="B74A5E"/>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color w:val="FFFFFF"/>
                <w:sz w:val="14"/>
              </w:rPr>
              <w:t>ILLUSTRATIVE PARTNER DEMONSTRATION</w:t>
            </w:r>
          </w:p>
        </w:tc>
        <w:tc>
          <w:tcPr>
            <w:tcW w:type="dxa" w:w="6883"/>
            <w:shd w:fill="F7E3E7"/>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val="0"/>
                <w:color w:val="7A2637"/>
                <w:sz w:val="15"/>
              </w:rPr>
              <w:t>Not an external validation, production certification, legal opinion, financial representation or investment recommendation.</w:t>
            </w:r>
          </w:p>
        </w:tc>
      </w:tr>
    </w:tbl>
    <w:p>
      <w:pPr>
        <w:pStyle w:val="Eyebrow"/>
      </w:pPr>
      <w:r>
        <w:t>02 · MISSION CONTRACT</w:t>
      </w:r>
    </w:p>
    <w:p>
      <w:pPr>
        <w:pStyle w:val="Heading1"/>
      </w:pPr>
      <w:r>
        <w:t>The decision is frozen before autonomous work begins.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76"/>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Field</w:t>
            </w:r>
          </w:p>
        </w:tc>
        <w:tc>
          <w:tcPr>
            <w:tcW w:type="dxa" w:w="7862"/>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Frozen term</w:t>
            </w:r>
          </w:p>
        </w:tc>
      </w:tr>
      <w:tr>
        <w:tc>
          <w:tcPr>
            <w:tcW w:type="dxa" w:w="247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Mission ID</w:t>
            </w:r>
          </w:p>
        </w:tc>
        <w:tc>
          <w:tcPr>
            <w:tcW w:type="dxa" w:w="786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GOS-PARTNER-DEMO-001</w:t>
            </w:r>
          </w:p>
        </w:tc>
      </w:tr>
      <w:tr>
        <w:tc>
          <w:tcPr>
            <w:tcW w:type="dxa" w:w="247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Objective</w:t>
            </w:r>
          </w:p>
        </w:tc>
        <w:tc>
          <w:tcPr>
            <w:tcW w:type="dxa" w:w="786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Determine whether to enter a bounded AI infrastructure partnership pilot.</w:t>
            </w:r>
          </w:p>
        </w:tc>
      </w:tr>
      <w:tr>
        <w:tc>
          <w:tcPr>
            <w:tcW w:type="dxa" w:w="247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Decision to support</w:t>
            </w:r>
          </w:p>
        </w:tc>
        <w:tc>
          <w:tcPr>
            <w:tcW w:type="dxa" w:w="786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Whether to authorize a bounded 30-day sandbox pilot.</w:t>
            </w:r>
          </w:p>
        </w:tc>
      </w:tr>
      <w:tr>
        <w:tc>
          <w:tcPr>
            <w:tcW w:type="dxa" w:w="247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Sponsor</w:t>
            </w:r>
          </w:p>
        </w:tc>
        <w:tc>
          <w:tcPr>
            <w:tcW w:type="dxa" w:w="786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Illustrative executive sponsor</w:t>
            </w:r>
          </w:p>
        </w:tc>
      </w:tr>
      <w:tr>
        <w:tc>
          <w:tcPr>
            <w:tcW w:type="dxa" w:w="247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Risk class</w:t>
            </w:r>
          </w:p>
        </w:tc>
        <w:tc>
          <w:tcPr>
            <w:tcW w:type="dxa" w:w="786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High-stakes, reversible, no production authority</w:t>
            </w:r>
          </w:p>
        </w:tc>
      </w:tr>
      <w:tr>
        <w:tc>
          <w:tcPr>
            <w:tcW w:type="dxa" w:w="247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Proof level</w:t>
            </w:r>
          </w:p>
        </w:tc>
        <w:tc>
          <w:tcPr>
            <w:tcW w:type="dxa" w:w="786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L3 - external-review ready</w:t>
            </w:r>
          </w:p>
        </w:tc>
      </w:tr>
      <w:tr>
        <w:tc>
          <w:tcPr>
            <w:tcW w:type="dxa" w:w="247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Required reviewers</w:t>
            </w:r>
          </w:p>
        </w:tc>
        <w:tc>
          <w:tcPr>
            <w:tcW w:type="dxa" w:w="786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Technical, security, commercial, operational and boundary reviewer</w:t>
            </w:r>
          </w:p>
        </w:tc>
      </w:tr>
      <w:tr>
        <w:tc>
          <w:tcPr>
            <w:tcW w:type="dxa" w:w="247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Allowed environment</w:t>
            </w:r>
          </w:p>
        </w:tc>
        <w:tc>
          <w:tcPr>
            <w:tcW w:type="dxa" w:w="786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Partner-owned sandbox; synthetic or non-sensitive data only</w:t>
            </w:r>
          </w:p>
        </w:tc>
      </w:tr>
      <w:tr>
        <w:tc>
          <w:tcPr>
            <w:tcW w:type="dxa" w:w="247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Prohibited actions</w:t>
            </w:r>
          </w:p>
        </w:tc>
        <w:tc>
          <w:tcPr>
            <w:tcW w:type="dxa" w:w="786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Production access, unrestricted credentials, auto-renewal, auto-merge, unsupported public claims</w:t>
            </w:r>
          </w:p>
        </w:tc>
      </w:tr>
      <w:tr>
        <w:tc>
          <w:tcPr>
            <w:tcW w:type="dxa" w:w="247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Definition of done</w:t>
            </w:r>
          </w:p>
        </w:tc>
        <w:tc>
          <w:tcPr>
            <w:tcW w:type="dxa" w:w="786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Evidence Docket complete; validator reveal; Chronicle decision; action and rollback graph</w:t>
            </w:r>
          </w:p>
        </w:tc>
      </w:tr>
      <w:tr>
        <w:tc>
          <w:tcPr>
            <w:tcW w:type="dxa" w:w="247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Rollback obligation</w:t>
            </w:r>
          </w:p>
        </w:tc>
        <w:tc>
          <w:tcPr>
            <w:tcW w:type="dxa" w:w="786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Disable integration, revoke credentials, export artifacts, confirm data deletion and record closure</w:t>
            </w:r>
          </w:p>
        </w:tc>
      </w:tr>
      <w:tr>
        <w:tc>
          <w:tcPr>
            <w:tcW w:type="dxa" w:w="247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Claim boundary</w:t>
            </w:r>
          </w:p>
        </w:tc>
        <w:tc>
          <w:tcPr>
            <w:tcW w:type="dxa" w:w="786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Illustrative partner demonstration; no legal, financial, investment or production certification authority</w:t>
            </w:r>
          </w:p>
        </w:tc>
      </w:tr>
    </w:tbl>
    <w:p>
      <w:pPr>
        <w:spacing w:after="0"/>
      </w:pPr>
    </w:p>
    <w:p>
      <w:pPr>
        <w:pStyle w:val="Heading2"/>
      </w:pPr>
      <w:r>
        <w:t>Proof questions</w:t>
      </w:r>
    </w:p>
    <w:p>
      <w:pPr>
        <w:pStyle w:val="ListBullet"/>
        <w:spacing w:after="40" w:line="250" w:lineRule="auto"/>
        <w:ind w:left="259" w:hanging="173"/>
      </w:pPr>
      <w:r>
        <w:rPr>
          <w:rFonts w:ascii="Arial" w:hAnsi="Arial" w:eastAsia="Arial"/>
          <w:b w:val="0"/>
          <w:i w:val="0"/>
          <w:caps w:val="0"/>
          <w:color w:val="14263C"/>
          <w:sz w:val="18"/>
        </w:rPr>
        <w:t>Is the integration technically feasible under a restricted enterprise architecture?</w:t>
      </w:r>
    </w:p>
    <w:p>
      <w:pPr>
        <w:pStyle w:val="ListBullet"/>
        <w:spacing w:after="40" w:line="250" w:lineRule="auto"/>
        <w:ind w:left="259" w:hanging="173"/>
      </w:pPr>
      <w:r>
        <w:rPr>
          <w:rFonts w:ascii="Arial" w:hAnsi="Arial" w:eastAsia="Arial"/>
          <w:b w:val="0"/>
          <w:i w:val="0"/>
          <w:caps w:val="0"/>
          <w:color w:val="14263C"/>
          <w:sz w:val="18"/>
        </w:rPr>
        <w:t>Can the pilot operate safely with scoped identity, no production data, monitoring and a kill switch?</w:t>
      </w:r>
    </w:p>
    <w:p>
      <w:pPr>
        <w:pStyle w:val="ListBullet"/>
        <w:spacing w:after="40" w:line="250" w:lineRule="auto"/>
        <w:ind w:left="259" w:hanging="173"/>
      </w:pPr>
      <w:r>
        <w:rPr>
          <w:rFonts w:ascii="Arial" w:hAnsi="Arial" w:eastAsia="Arial"/>
          <w:b w:val="0"/>
          <w:i w:val="0"/>
          <w:caps w:val="0"/>
          <w:color w:val="14263C"/>
          <w:sz w:val="18"/>
        </w:rPr>
        <w:t>Are security, data-residency, support, economics and exit claims supported by evidence?</w:t>
      </w:r>
    </w:p>
    <w:p>
      <w:pPr>
        <w:pStyle w:val="ListBullet"/>
        <w:spacing w:after="40" w:line="250" w:lineRule="auto"/>
        <w:ind w:left="259" w:hanging="173"/>
      </w:pPr>
      <w:r>
        <w:rPr>
          <w:rFonts w:ascii="Arial" w:hAnsi="Arial" w:eastAsia="Arial"/>
          <w:b w:val="0"/>
          <w:i w:val="0"/>
          <w:caps w:val="0"/>
          <w:color w:val="14263C"/>
          <w:sz w:val="18"/>
        </w:rPr>
        <w:t>What remains unproven and which missing proof must block production authority?</w:t>
      </w:r>
    </w:p>
    <w:p>
      <w:pPr>
        <w:pStyle w:val="ListBullet"/>
        <w:spacing w:after="40" w:line="250" w:lineRule="auto"/>
        <w:ind w:left="259" w:hanging="173"/>
      </w:pPr>
      <w:r>
        <w:rPr>
          <w:rFonts w:ascii="Arial" w:hAnsi="Arial" w:eastAsia="Arial"/>
          <w:b w:val="0"/>
          <w:i w:val="0"/>
          <w:caps w:val="0"/>
          <w:color w:val="14263C"/>
          <w:sz w:val="18"/>
        </w:rPr>
        <w:t>Can the pilot generate a better decision without creating irreversible lock-in?</w:t>
      </w:r>
    </w:p>
    <w:p>
      <w:r>
        <w:br w:type="page"/>
      </w:r>
    </w:p>
    <w:tbl>
      <w:tblPr>
        <w:tblW w:type="auto" w:w="0"/>
        <w:jc w:val="center"/>
        <w:tblLayout w:type="fixed"/>
        <w:tblLook w:firstColumn="1" w:firstRow="1" w:lastColumn="0" w:lastRow="0" w:noHBand="0" w:noVBand="1" w:val="04A0"/>
      </w:tblPr>
      <w:tblGrid>
        <w:gridCol w:w="5227"/>
        <w:gridCol w:w="5227"/>
      </w:tblGrid>
      <w:tr>
        <w:tc>
          <w:tcPr>
            <w:tcW w:type="dxa" w:w="3456"/>
            <w:shd w:fill="B74A5E"/>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color w:val="FFFFFF"/>
                <w:sz w:val="14"/>
              </w:rPr>
              <w:t>ILLUSTRATIVE PARTNER DEMONSTRATION</w:t>
            </w:r>
          </w:p>
        </w:tc>
        <w:tc>
          <w:tcPr>
            <w:tcW w:type="dxa" w:w="6883"/>
            <w:shd w:fill="F7E3E7"/>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val="0"/>
                <w:color w:val="7A2637"/>
                <w:sz w:val="15"/>
              </w:rPr>
              <w:t>Not an external validation, production certification, legal opinion, financial representation or investment recommendation.</w:t>
            </w:r>
          </w:p>
        </w:tc>
      </w:tr>
    </w:tbl>
    <w:p>
      <w:pPr>
        <w:pStyle w:val="Eyebrow"/>
      </w:pPr>
      <w:r>
        <w:t>03 · CLAIMS MATRIX · PART I</w:t>
      </w:r>
    </w:p>
    <w:p>
      <w:pPr>
        <w:pStyle w:val="Heading1"/>
      </w:pPr>
      <w:r>
        <w:t>Every consequential claim receives a proof state.</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69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ID</w:t>
            </w:r>
          </w:p>
        </w:tc>
        <w:tc>
          <w:tcPr>
            <w:tcW w:type="dxa" w:w="2505"/>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Claim</w:t>
            </w:r>
          </w:p>
        </w:tc>
        <w:tc>
          <w:tcPr>
            <w:tcW w:type="dxa" w:w="1123"/>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State</w:t>
            </w:r>
          </w:p>
        </w:tc>
        <w:tc>
          <w:tcPr>
            <w:tcW w:type="dxa" w:w="367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Evidence / limitation</w:t>
            </w:r>
          </w:p>
        </w:tc>
        <w:tc>
          <w:tcPr>
            <w:tcW w:type="dxa" w:w="2347"/>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Authority consequence</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C-01</w:t>
            </w:r>
          </w:p>
        </w:tc>
        <w:tc>
          <w:tcPr>
            <w:tcW w:type="dxa" w:w="250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The integration is technically feasible</w:t>
            </w:r>
          </w:p>
        </w:tc>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PASS</w:t>
            </w:r>
          </w:p>
        </w:tc>
        <w:tc>
          <w:tcPr>
            <w:tcW w:type="dxa" w:w="36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Architecture map, API compatibility test and sandbox integration plan.</w:t>
            </w:r>
          </w:p>
        </w:tc>
        <w:tc>
          <w:tcPr>
            <w:tcW w:type="dxa" w:w="234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May proceed to sandbox build.</w:t>
            </w:r>
          </w:p>
        </w:tc>
      </w:tr>
      <w:tr>
        <w:tc>
          <w:tcPr>
            <w:tcW w:type="dxa" w:w="69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C-02</w:t>
            </w:r>
          </w:p>
        </w:tc>
        <w:tc>
          <w:tcPr>
            <w:tcW w:type="dxa" w:w="250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Security controls are adequate for production</w:t>
            </w:r>
          </w:p>
        </w:tc>
        <w:tc>
          <w:tcPr>
            <w:tcW w:type="dxa" w:w="112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BLOCKED</w:t>
            </w:r>
          </w:p>
        </w:tc>
        <w:tc>
          <w:tcPr>
            <w:tcW w:type="dxa" w:w="36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Control narrative exists; independent attestation and incident evidence are missing.</w:t>
            </w:r>
          </w:p>
        </w:tc>
        <w:tc>
          <w:tcPr>
            <w:tcW w:type="dxa" w:w="234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Production access remains prohibited.</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C-03</w:t>
            </w:r>
          </w:p>
        </w:tc>
        <w:tc>
          <w:tcPr>
            <w:tcW w:type="dxa" w:w="250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A restricted sandbox can be operated safely</w:t>
            </w:r>
          </w:p>
        </w:tc>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PASS</w:t>
            </w:r>
          </w:p>
        </w:tc>
        <w:tc>
          <w:tcPr>
            <w:tcW w:type="dxa" w:w="36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No production data, scoped credentials, monitoring and kill switch.</w:t>
            </w:r>
          </w:p>
        </w:tc>
        <w:tc>
          <w:tcPr>
            <w:tcW w:type="dxa" w:w="234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Pilot authority granted with scope.</w:t>
            </w:r>
          </w:p>
        </w:tc>
      </w:tr>
      <w:tr>
        <w:tc>
          <w:tcPr>
            <w:tcW w:type="dxa" w:w="69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C-04</w:t>
            </w:r>
          </w:p>
        </w:tc>
        <w:tc>
          <w:tcPr>
            <w:tcW w:type="dxa" w:w="250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Data residency is compatible</w:t>
            </w:r>
          </w:p>
        </w:tc>
        <w:tc>
          <w:tcPr>
            <w:tcW w:type="dxa" w:w="112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CONDITIONAL</w:t>
            </w:r>
          </w:p>
        </w:tc>
        <w:tc>
          <w:tcPr>
            <w:tcW w:type="dxa" w:w="36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Proposed regions align; complete subprocessor and data-flow map is pending.</w:t>
            </w:r>
          </w:p>
        </w:tc>
        <w:tc>
          <w:tcPr>
            <w:tcW w:type="dxa" w:w="234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No sensitive data until closure.</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C-05</w:t>
            </w:r>
          </w:p>
        </w:tc>
        <w:tc>
          <w:tcPr>
            <w:tcW w:type="dxa" w:w="250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Unit economics can be attractive</w:t>
            </w:r>
          </w:p>
        </w:tc>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PASS</w:t>
            </w:r>
          </w:p>
        </w:tc>
        <w:tc>
          <w:tcPr>
            <w:tcW w:type="dxa" w:w="36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Illustrative load-band model and sensitivity analysis.</w:t>
            </w:r>
          </w:p>
        </w:tc>
        <w:tc>
          <w:tcPr>
            <w:tcW w:type="dxa" w:w="234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Negotiate price cap and volume breakpoints.</w:t>
            </w:r>
          </w:p>
        </w:tc>
      </w:tr>
    </w:tbl>
    <w:p>
      <w:pPr>
        <w:spacing w:after="0"/>
      </w:pPr>
    </w:p>
    <w:tbl>
      <w:tblPr>
        <w:tblW w:type="auto" w:w="0"/>
        <w:jc w:val="center"/>
        <w:tblLayout w:type="fixed"/>
        <w:tblLook w:firstColumn="1" w:firstRow="1" w:lastColumn="0" w:lastRow="0" w:noHBand="0" w:noVBand="1" w:val="04A0"/>
      </w:tblPr>
      <w:tblGrid>
        <w:gridCol w:w="10454"/>
      </w:tblGrid>
      <w:tr>
        <w:tc>
          <w:tcPr>
            <w:tcW w:type="dxa" w:w="10339"/>
            <w:shd w:fill="B8872E"/>
            <w:tcMar>
              <w:top w:w="75" w:type="dxa"/>
              <w:start w:w="110" w:type="dxa"/>
              <w:bottom w:w="65" w:type="dxa"/>
              <w:end w:w="110" w:type="dxa"/>
            </w:tcMar>
            <w:tcBorders>
              <w:top w:val="single" w:sz="7" w:color="B8872E"/>
              <w:left w:val="single" w:sz="7" w:color="B8872E"/>
              <w:bottom w:val="single" w:sz="7" w:color="B8872E"/>
              <w:right w:val="single" w:sz="7" w:color="B8872E"/>
            </w:tcBorders>
          </w:tcPr>
          <w:p>
            <w:r>
              <w:rPr>
                <w:rFonts w:ascii="Arial" w:hAnsi="Arial" w:eastAsia="Arial"/>
                <w:b/>
                <w:i w:val="0"/>
                <w:caps/>
                <w:color w:val="FFFFFF"/>
                <w:sz w:val="15"/>
              </w:rPr>
              <w:t>OPERATING RULE</w:t>
            </w:r>
          </w:p>
        </w:tc>
      </w:tr>
      <w:tr>
        <w:tc>
          <w:tcPr>
            <w:tcW w:type="dxa" w:w="10339"/>
            <w:shd w:fill="FFF2CF"/>
            <w:tcMar>
              <w:top w:w="125" w:type="dxa"/>
              <w:start w:w="140" w:type="dxa"/>
              <w:bottom w:w="125" w:type="dxa"/>
              <w:end w:w="140" w:type="dxa"/>
            </w:tcMar>
            <w:tcBorders>
              <w:top w:val="single" w:sz="7" w:color="B8872E"/>
              <w:left w:val="single" w:sz="7" w:color="B8872E"/>
              <w:bottom w:val="single" w:sz="7" w:color="B8872E"/>
              <w:right w:val="single" w:sz="7" w:color="B8872E"/>
            </w:tcBorders>
          </w:tcPr>
          <w:p>
            <w:pPr>
              <w:jc w:val="center"/>
            </w:pPr>
            <w:r>
              <w:rPr>
                <w:rFonts w:ascii="Georgia" w:hAnsi="Georgia" w:eastAsia="Georgia"/>
                <w:b/>
                <w:i w:val="0"/>
                <w:caps w:val="0"/>
                <w:color w:val="14263C"/>
                <w:sz w:val="24"/>
              </w:rPr>
              <w:t>A claim may pass, fail, remain conditional, require review or remain blocked. Confidence does not silently substitute for proof.</w:t>
            </w:r>
          </w:p>
        </w:tc>
      </w:tr>
    </w:tbl>
    <w:p>
      <w:pPr>
        <w:spacing w:after="0"/>
      </w:pPr>
    </w:p>
    <w:p>
      <w:pPr>
        <w:pStyle w:val="Heading2"/>
      </w:pPr>
      <w:r>
        <w:t>State vocabulary</w:t>
      </w:r>
    </w:p>
    <w:tbl>
      <w:tblPr>
        <w:tblW w:type="auto" w:w="0"/>
        <w:jc w:val="center"/>
        <w:tblLayout w:type="fixed"/>
        <w:tblLook w:firstColumn="1" w:firstRow="1" w:lastColumn="0" w:lastRow="0" w:noHBand="0" w:noVBand="1" w:val="04A0"/>
      </w:tblPr>
      <w:tblGrid>
        <w:gridCol w:w="5227"/>
        <w:gridCol w:w="5227"/>
      </w:tblGrid>
      <w:tr>
        <w:tc>
          <w:tcPr>
            <w:tcW w:type="dxa" w:w="5097"/>
            <w:shd w:fill="EFF9F4"/>
            <w:tcMar>
              <w:top w:w="120" w:type="dxa"/>
              <w:start w:w="130" w:type="dxa"/>
              <w:bottom w:w="120" w:type="dxa"/>
              <w:end w:w="130" w:type="dxa"/>
            </w:tcMar>
            <w:tcBorders>
              <w:top w:val="single" w:sz="8" w:color="21805A"/>
              <w:left w:val="single" w:sz="8" w:color="21805A"/>
              <w:bottom w:val="single" w:sz="8" w:color="21805A"/>
              <w:right w:val="single" w:sz="8" w:color="21805A"/>
            </w:tcBorders>
          </w:tcPr>
          <w:p>
            <w:r>
              <w:rPr>
                <w:rFonts w:ascii="Georgia" w:hAnsi="Georgia" w:eastAsia="Georgia"/>
                <w:b/>
                <w:i w:val="0"/>
                <w:caps w:val="0"/>
                <w:color w:val="07182B"/>
                <w:sz w:val="23"/>
              </w:rPr>
              <w:t>PASS</w:t>
            </w:r>
          </w:p>
          <w:p>
            <w:pPr>
              <w:keepNext w:val="0"/>
              <w:spacing w:before="0" w:after="0" w:line="250" w:lineRule="auto"/>
            </w:pPr>
            <w:r>
              <w:rPr>
                <w:rFonts w:ascii="Arial" w:hAnsi="Arial" w:eastAsia="Arial"/>
                <w:b w:val="0"/>
                <w:i w:val="0"/>
                <w:caps w:val="0"/>
                <w:color w:val="68788D"/>
                <w:sz w:val="16"/>
              </w:rPr>
              <w:t>Evidence supports the bounded claim and the stated authority consequence.</w:t>
            </w:r>
          </w:p>
        </w:tc>
        <w:tc>
          <w:tcPr>
            <w:tcW w:type="dxa" w:w="5097"/>
            <w:shd w:fill="FFF7DF"/>
            <w:tcMar>
              <w:top w:w="120" w:type="dxa"/>
              <w:start w:w="130" w:type="dxa"/>
              <w:bottom w:w="120" w:type="dxa"/>
              <w:end w:w="130" w:type="dxa"/>
            </w:tcMar>
            <w:tcBorders>
              <w:top w:val="single" w:sz="8" w:color="B8872E"/>
              <w:left w:val="single" w:sz="8" w:color="B8872E"/>
              <w:bottom w:val="single" w:sz="8" w:color="B8872E"/>
              <w:right w:val="single" w:sz="8" w:color="B8872E"/>
            </w:tcBorders>
          </w:tcPr>
          <w:p>
            <w:r>
              <w:rPr>
                <w:rFonts w:ascii="Georgia" w:hAnsi="Georgia" w:eastAsia="Georgia"/>
                <w:b/>
                <w:i w:val="0"/>
                <w:caps w:val="0"/>
                <w:color w:val="07182B"/>
                <w:sz w:val="23"/>
              </w:rPr>
              <w:t>CONDITIONAL</w:t>
            </w:r>
          </w:p>
          <w:p>
            <w:pPr>
              <w:keepNext w:val="0"/>
              <w:spacing w:before="0" w:after="0" w:line="250" w:lineRule="auto"/>
            </w:pPr>
            <w:r>
              <w:rPr>
                <w:rFonts w:ascii="Arial" w:hAnsi="Arial" w:eastAsia="Arial"/>
                <w:b w:val="0"/>
                <w:i w:val="0"/>
                <w:caps w:val="0"/>
                <w:color w:val="68788D"/>
                <w:sz w:val="16"/>
              </w:rPr>
              <w:t>The claim may support limited action only if named conditions close.</w:t>
            </w:r>
          </w:p>
        </w:tc>
      </w:tr>
      <w:tr>
        <w:tc>
          <w:tcPr>
            <w:tcW w:type="dxa" w:w="5097"/>
            <w:shd w:fill="EEF5FB"/>
            <w:tcMar>
              <w:top w:w="120" w:type="dxa"/>
              <w:start w:w="130" w:type="dxa"/>
              <w:bottom w:w="120" w:type="dxa"/>
              <w:end w:w="130" w:type="dxa"/>
            </w:tcMar>
            <w:tcBorders>
              <w:top w:val="single" w:sz="8" w:color="387FB7"/>
              <w:left w:val="single" w:sz="8" w:color="387FB7"/>
              <w:bottom w:val="single" w:sz="8" w:color="387FB7"/>
              <w:right w:val="single" w:sz="8" w:color="387FB7"/>
            </w:tcBorders>
          </w:tcPr>
          <w:p>
            <w:r>
              <w:rPr>
                <w:rFonts w:ascii="Georgia" w:hAnsi="Georgia" w:eastAsia="Georgia"/>
                <w:b/>
                <w:i w:val="0"/>
                <w:caps w:val="0"/>
                <w:color w:val="07182B"/>
                <w:sz w:val="23"/>
              </w:rPr>
              <w:t>REVIEW</w:t>
            </w:r>
          </w:p>
          <w:p>
            <w:pPr>
              <w:keepNext w:val="0"/>
              <w:spacing w:before="0" w:after="0" w:line="250" w:lineRule="auto"/>
            </w:pPr>
            <w:r>
              <w:rPr>
                <w:rFonts w:ascii="Arial" w:hAnsi="Arial" w:eastAsia="Arial"/>
                <w:b w:val="0"/>
                <w:i w:val="0"/>
                <w:caps w:val="0"/>
                <w:color w:val="68788D"/>
                <w:sz w:val="16"/>
              </w:rPr>
              <w:t>Operational evidence exists, but professional or jurisdiction-specific judgment is still required.</w:t>
            </w:r>
          </w:p>
        </w:tc>
        <w:tc>
          <w:tcPr>
            <w:tcW w:type="dxa" w:w="5097"/>
            <w:shd w:fill="F7E3E7"/>
            <w:tcMar>
              <w:top w:w="120" w:type="dxa"/>
              <w:start w:w="130" w:type="dxa"/>
              <w:bottom w:w="120" w:type="dxa"/>
              <w:end w:w="130" w:type="dxa"/>
            </w:tcMar>
            <w:tcBorders>
              <w:top w:val="single" w:sz="8" w:color="B74A5E"/>
              <w:left w:val="single" w:sz="8" w:color="B74A5E"/>
              <w:bottom w:val="single" w:sz="8" w:color="B74A5E"/>
              <w:right w:val="single" w:sz="8" w:color="B74A5E"/>
            </w:tcBorders>
          </w:tcPr>
          <w:p>
            <w:r>
              <w:rPr>
                <w:rFonts w:ascii="Georgia" w:hAnsi="Georgia" w:eastAsia="Georgia"/>
                <w:b/>
                <w:i w:val="0"/>
                <w:caps w:val="0"/>
                <w:color w:val="07182B"/>
                <w:sz w:val="23"/>
              </w:rPr>
              <w:t>BLOCKED</w:t>
            </w:r>
          </w:p>
          <w:p>
            <w:pPr>
              <w:keepNext w:val="0"/>
              <w:spacing w:before="0" w:after="0" w:line="250" w:lineRule="auto"/>
            </w:pPr>
            <w:r>
              <w:rPr>
                <w:rFonts w:ascii="Arial" w:hAnsi="Arial" w:eastAsia="Arial"/>
                <w:b w:val="0"/>
                <w:i w:val="0"/>
                <w:caps w:val="0"/>
                <w:color w:val="68788D"/>
                <w:sz w:val="16"/>
              </w:rPr>
              <w:t>The evidence is insufficient for the requested authority; action remains prohibited.</w:t>
            </w:r>
          </w:p>
        </w:tc>
      </w:tr>
    </w:tbl>
    <w:p>
      <w:r>
        <w:br w:type="page"/>
      </w:r>
    </w:p>
    <w:tbl>
      <w:tblPr>
        <w:tblW w:type="auto" w:w="0"/>
        <w:jc w:val="center"/>
        <w:tblLayout w:type="fixed"/>
        <w:tblLook w:firstColumn="1" w:firstRow="1" w:lastColumn="0" w:lastRow="0" w:noHBand="0" w:noVBand="1" w:val="04A0"/>
      </w:tblPr>
      <w:tblGrid>
        <w:gridCol w:w="5227"/>
        <w:gridCol w:w="5227"/>
      </w:tblGrid>
      <w:tr>
        <w:tc>
          <w:tcPr>
            <w:tcW w:type="dxa" w:w="3456"/>
            <w:shd w:fill="B74A5E"/>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color w:val="FFFFFF"/>
                <w:sz w:val="14"/>
              </w:rPr>
              <w:t>ILLUSTRATIVE PARTNER DEMONSTRATION</w:t>
            </w:r>
          </w:p>
        </w:tc>
        <w:tc>
          <w:tcPr>
            <w:tcW w:type="dxa" w:w="6883"/>
            <w:shd w:fill="F7E3E7"/>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val="0"/>
                <w:color w:val="7A2637"/>
                <w:sz w:val="15"/>
              </w:rPr>
              <w:t>Not an external validation, production certification, legal opinion, financial representation or investment recommendation.</w:t>
            </w:r>
          </w:p>
        </w:tc>
      </w:tr>
    </w:tbl>
    <w:p>
      <w:pPr>
        <w:pStyle w:val="Eyebrow"/>
      </w:pPr>
      <w:r>
        <w:t>04 · CLAIMS MATRIX · PART II</w:t>
      </w:r>
    </w:p>
    <w:p>
      <w:pPr>
        <w:pStyle w:val="Heading1"/>
      </w:pPr>
      <w:r>
        <w:t>Decision usefulness comes from visible limits.</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69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ID</w:t>
            </w:r>
          </w:p>
        </w:tc>
        <w:tc>
          <w:tcPr>
            <w:tcW w:type="dxa" w:w="2505"/>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Claim</w:t>
            </w:r>
          </w:p>
        </w:tc>
        <w:tc>
          <w:tcPr>
            <w:tcW w:type="dxa" w:w="1123"/>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State</w:t>
            </w:r>
          </w:p>
        </w:tc>
        <w:tc>
          <w:tcPr>
            <w:tcW w:type="dxa" w:w="367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Evidence / limitation</w:t>
            </w:r>
          </w:p>
        </w:tc>
        <w:tc>
          <w:tcPr>
            <w:tcW w:type="dxa" w:w="2347"/>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Authority consequence</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C-06</w:t>
            </w:r>
          </w:p>
        </w:tc>
        <w:tc>
          <w:tcPr>
            <w:tcW w:type="dxa" w:w="250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The provider can support enterprise operations</w:t>
            </w:r>
          </w:p>
        </w:tc>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CONDITIONAL</w:t>
            </w:r>
          </w:p>
        </w:tc>
        <w:tc>
          <w:tcPr>
            <w:tcW w:type="dxa" w:w="36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Support model documented; two relevant references still required.</w:t>
            </w:r>
          </w:p>
        </w:tc>
        <w:tc>
          <w:tcPr>
            <w:tcW w:type="dxa" w:w="234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Pilot allowed; scale decision held.</w:t>
            </w:r>
          </w:p>
        </w:tc>
      </w:tr>
      <w:tr>
        <w:tc>
          <w:tcPr>
            <w:tcW w:type="dxa" w:w="69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C-07</w:t>
            </w:r>
          </w:p>
        </w:tc>
        <w:tc>
          <w:tcPr>
            <w:tcW w:type="dxa" w:w="250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Lock-in risk is controlled</w:t>
            </w:r>
          </w:p>
        </w:tc>
        <w:tc>
          <w:tcPr>
            <w:tcW w:type="dxa" w:w="112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CONDITIONAL</w:t>
            </w:r>
          </w:p>
        </w:tc>
        <w:tc>
          <w:tcPr>
            <w:tcW w:type="dxa" w:w="36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Export path exists; contract and technical exit test remain incomplete.</w:t>
            </w:r>
          </w:p>
        </w:tc>
        <w:tc>
          <w:tcPr>
            <w:tcW w:type="dxa" w:w="234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Require portability and termination clauses.</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C-08</w:t>
            </w:r>
          </w:p>
        </w:tc>
        <w:tc>
          <w:tcPr>
            <w:tcW w:type="dxa" w:w="250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The partnership is strategically aligned</w:t>
            </w:r>
          </w:p>
        </w:tc>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PASS</w:t>
            </w:r>
          </w:p>
        </w:tc>
        <w:tc>
          <w:tcPr>
            <w:tcW w:type="dxa" w:w="36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Complementarity map, executive objectives and capability gap analysis.</w:t>
            </w:r>
          </w:p>
        </w:tc>
        <w:tc>
          <w:tcPr>
            <w:tcW w:type="dxa" w:w="234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Advance to joint pilot charter.</w:t>
            </w:r>
          </w:p>
        </w:tc>
      </w:tr>
      <w:tr>
        <w:tc>
          <w:tcPr>
            <w:tcW w:type="dxa" w:w="69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C-09</w:t>
            </w:r>
          </w:p>
        </w:tc>
        <w:tc>
          <w:tcPr>
            <w:tcW w:type="dxa" w:w="250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All legal and regulatory issues are resolved</w:t>
            </w:r>
          </w:p>
        </w:tc>
        <w:tc>
          <w:tcPr>
            <w:tcW w:type="dxa" w:w="112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REVIEW</w:t>
            </w:r>
          </w:p>
        </w:tc>
        <w:tc>
          <w:tcPr>
            <w:tcW w:type="dxa" w:w="36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Operational facts mapped; jurisdiction-specific legal review remains outside the system.</w:t>
            </w:r>
          </w:p>
        </w:tc>
        <w:tc>
          <w:tcPr>
            <w:tcW w:type="dxa" w:w="234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Counsel gate before production terms.</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C-10</w:t>
            </w:r>
          </w:p>
        </w:tc>
        <w:tc>
          <w:tcPr>
            <w:tcW w:type="dxa" w:w="250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A 30-day pilot is reversible and decision-useful</w:t>
            </w:r>
          </w:p>
        </w:tc>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PASS</w:t>
            </w:r>
          </w:p>
        </w:tc>
        <w:tc>
          <w:tcPr>
            <w:tcW w:type="dxa" w:w="36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Milestones, acceptance tests, day-14 checkpoint and rollback plan.</w:t>
            </w:r>
          </w:p>
        </w:tc>
        <w:tc>
          <w:tcPr>
            <w:tcW w:type="dxa" w:w="234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Proceed with controlled pilot.</w:t>
            </w:r>
          </w:p>
        </w:tc>
      </w:tr>
    </w:tbl>
    <w:p>
      <w:pPr>
        <w:spacing w:after="0"/>
      </w:pPr>
    </w:p>
    <w:p>
      <w:pPr>
        <w:pStyle w:val="Heading2"/>
      </w:pPr>
      <w:r>
        <w:t>What the matrix prevents</w:t>
      </w:r>
    </w:p>
    <w:p>
      <w:pPr>
        <w:pStyle w:val="ListBullet"/>
        <w:spacing w:after="40" w:line="250" w:lineRule="auto"/>
        <w:ind w:left="259" w:hanging="173"/>
      </w:pPr>
      <w:r>
        <w:rPr>
          <w:rFonts w:ascii="Arial" w:hAnsi="Arial" w:eastAsia="Arial"/>
          <w:b w:val="0"/>
          <w:i w:val="0"/>
          <w:caps w:val="0"/>
          <w:color w:val="14263C"/>
          <w:sz w:val="18"/>
        </w:rPr>
        <w:t>A strong strategic fit claim from being mistaken for a production-readiness claim.</w:t>
      </w:r>
    </w:p>
    <w:p>
      <w:pPr>
        <w:pStyle w:val="ListBullet"/>
        <w:spacing w:after="40" w:line="250" w:lineRule="auto"/>
        <w:ind w:left="259" w:hanging="173"/>
      </w:pPr>
      <w:r>
        <w:rPr>
          <w:rFonts w:ascii="Arial" w:hAnsi="Arial" w:eastAsia="Arial"/>
          <w:b w:val="0"/>
          <w:i w:val="0"/>
          <w:caps w:val="0"/>
          <w:color w:val="14263C"/>
          <w:sz w:val="18"/>
        </w:rPr>
        <w:t>A low headline price from masking support, observability, security and exit costs.</w:t>
      </w:r>
    </w:p>
    <w:p>
      <w:pPr>
        <w:pStyle w:val="ListBullet"/>
        <w:spacing w:after="40" w:line="250" w:lineRule="auto"/>
        <w:ind w:left="259" w:hanging="173"/>
      </w:pPr>
      <w:r>
        <w:rPr>
          <w:rFonts w:ascii="Arial" w:hAnsi="Arial" w:eastAsia="Arial"/>
          <w:b w:val="0"/>
          <w:i w:val="0"/>
          <w:caps w:val="0"/>
          <w:color w:val="14263C"/>
          <w:sz w:val="18"/>
        </w:rPr>
        <w:t>A sandbox integration result from authorizing sensitive data or unrestricted credentials.</w:t>
      </w:r>
    </w:p>
    <w:p>
      <w:pPr>
        <w:pStyle w:val="ListBullet"/>
        <w:spacing w:after="40" w:line="250" w:lineRule="auto"/>
        <w:ind w:left="259" w:hanging="173"/>
      </w:pPr>
      <w:r>
        <w:rPr>
          <w:rFonts w:ascii="Arial" w:hAnsi="Arial" w:eastAsia="Arial"/>
          <w:b w:val="0"/>
          <w:i w:val="0"/>
          <w:caps w:val="0"/>
          <w:color w:val="14263C"/>
          <w:sz w:val="18"/>
        </w:rPr>
        <w:t>A positive pilot result from becoming an automatic renewal, scale decision or public endorsement.</w:t>
      </w:r>
    </w:p>
    <w:p>
      <w:pPr>
        <w:pStyle w:val="ListBullet"/>
        <w:spacing w:after="40" w:line="250" w:lineRule="auto"/>
        <w:ind w:left="259" w:hanging="173"/>
      </w:pPr>
      <w:r>
        <w:rPr>
          <w:rFonts w:ascii="Arial" w:hAnsi="Arial" w:eastAsia="Arial"/>
          <w:b w:val="0"/>
          <w:i w:val="0"/>
          <w:caps w:val="0"/>
          <w:color w:val="14263C"/>
          <w:sz w:val="18"/>
        </w:rPr>
        <w:t>Operational evidence from being mistaken for jurisdiction-specific legal or regulatory advice.</w:t>
      </w:r>
    </w:p>
    <w:tbl>
      <w:tblPr>
        <w:tblW w:type="auto" w:w="0"/>
        <w:jc w:val="center"/>
        <w:tblLayout w:type="fixed"/>
        <w:tblLook w:firstColumn="1" w:firstRow="1" w:lastColumn="0" w:lastRow="0" w:noHBand="0" w:noVBand="1" w:val="04A0"/>
      </w:tblPr>
      <w:tblGrid>
        <w:gridCol w:w="10454"/>
      </w:tblGrid>
      <w:tr>
        <w:tc>
          <w:tcPr>
            <w:tcW w:type="dxa" w:w="10339"/>
            <w:shd w:fill="6753A6"/>
            <w:tcMar>
              <w:top w:w="75" w:type="dxa"/>
              <w:start w:w="110" w:type="dxa"/>
              <w:bottom w:w="65" w:type="dxa"/>
              <w:end w:w="110" w:type="dxa"/>
            </w:tcMar>
            <w:tcBorders>
              <w:top w:val="single" w:sz="7" w:color="6753A6"/>
              <w:left w:val="single" w:sz="7" w:color="6753A6"/>
              <w:bottom w:val="single" w:sz="7" w:color="6753A6"/>
              <w:right w:val="single" w:sz="7" w:color="6753A6"/>
            </w:tcBorders>
          </w:tcPr>
          <w:p>
            <w:r>
              <w:rPr>
                <w:rFonts w:ascii="Arial" w:hAnsi="Arial" w:eastAsia="Arial"/>
                <w:b/>
                <w:i w:val="0"/>
                <w:caps/>
                <w:color w:val="FFFFFF"/>
                <w:sz w:val="15"/>
              </w:rPr>
              <w:t>AUTHORITY CONSEQUENCE</w:t>
            </w:r>
          </w:p>
        </w:tc>
      </w:tr>
      <w:tr>
        <w:tc>
          <w:tcPr>
            <w:tcW w:type="dxa" w:w="10339"/>
            <w:shd w:fill="F3EFFB"/>
            <w:tcMar>
              <w:top w:w="125" w:type="dxa"/>
              <w:start w:w="140" w:type="dxa"/>
              <w:bottom w:w="125" w:type="dxa"/>
              <w:end w:w="140" w:type="dxa"/>
            </w:tcMar>
            <w:tcBorders>
              <w:top w:val="single" w:sz="7" w:color="6753A6"/>
              <w:left w:val="single" w:sz="7" w:color="6753A6"/>
              <w:bottom w:val="single" w:sz="7" w:color="6753A6"/>
              <w:right w:val="single" w:sz="7" w:color="6753A6"/>
            </w:tcBorders>
          </w:tcPr>
          <w:p>
            <w:pPr>
              <w:jc w:val="center"/>
            </w:pPr>
            <w:r>
              <w:rPr>
                <w:rFonts w:ascii="Georgia" w:hAnsi="Georgia" w:eastAsia="Georgia"/>
                <w:b/>
                <w:i w:val="0"/>
                <w:caps w:val="0"/>
                <w:color w:val="14263C"/>
                <w:sz w:val="24"/>
              </w:rPr>
              <w:t>The result is not merely “yes” or “no.” It states exactly what may proceed, what remains blocked, and what evidence can expand authority.</w:t>
            </w:r>
          </w:p>
        </w:tc>
      </w:tr>
    </w:tbl>
    <w:p>
      <w:pPr>
        <w:spacing w:after="0"/>
      </w:pPr>
    </w:p>
    <w:p>
      <w:r>
        <w:br w:type="page"/>
      </w:r>
    </w:p>
    <w:tbl>
      <w:tblPr>
        <w:tblW w:type="auto" w:w="0"/>
        <w:jc w:val="center"/>
        <w:tblLayout w:type="fixed"/>
        <w:tblLook w:firstColumn="1" w:firstRow="1" w:lastColumn="0" w:lastRow="0" w:noHBand="0" w:noVBand="1" w:val="04A0"/>
      </w:tblPr>
      <w:tblGrid>
        <w:gridCol w:w="5227"/>
        <w:gridCol w:w="5227"/>
      </w:tblGrid>
      <w:tr>
        <w:tc>
          <w:tcPr>
            <w:tcW w:type="dxa" w:w="3456"/>
            <w:shd w:fill="B74A5E"/>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color w:val="FFFFFF"/>
                <w:sz w:val="14"/>
              </w:rPr>
              <w:t>ILLUSTRATIVE PARTNER DEMONSTRATION</w:t>
            </w:r>
          </w:p>
        </w:tc>
        <w:tc>
          <w:tcPr>
            <w:tcW w:type="dxa" w:w="6883"/>
            <w:shd w:fill="F7E3E7"/>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val="0"/>
                <w:color w:val="7A2637"/>
                <w:sz w:val="15"/>
              </w:rPr>
              <w:t>Not an external validation, production certification, legal opinion, financial representation or investment recommendation.</w:t>
            </w:r>
          </w:p>
        </w:tc>
      </w:tr>
    </w:tbl>
    <w:p>
      <w:pPr>
        <w:pStyle w:val="Eyebrow"/>
      </w:pPr>
      <w:r>
        <w:t>05 · PROOF DEBT, CONTRADICTIONS AND VALIDATION</w:t>
      </w:r>
    </w:p>
    <w:p>
      <w:pPr>
        <w:pStyle w:val="Heading1"/>
      </w:pPr>
      <w:r>
        <w:t>Uncertainty becomes explicit work - not hidden prose.</w:t>
      </w:r>
    </w:p>
    <w:p>
      <w:pPr>
        <w:pStyle w:val="Heading2"/>
      </w:pPr>
      <w:r>
        <w:t>Open Proof Debt</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080"/>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ID</w:t>
            </w:r>
          </w:p>
        </w:tc>
        <w:tc>
          <w:tcPr>
            <w:tcW w:type="dxa" w:w="532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Outstanding proof obligation</w:t>
            </w:r>
          </w:p>
        </w:tc>
        <w:tc>
          <w:tcPr>
            <w:tcW w:type="dxa" w:w="393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Authority consequence</w:t>
            </w:r>
          </w:p>
        </w:tc>
      </w:tr>
      <w:tr>
        <w:tc>
          <w:tcPr>
            <w:tcW w:type="dxa" w:w="108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PD-001</w:t>
            </w:r>
          </w:p>
        </w:tc>
        <w:tc>
          <w:tcPr>
            <w:tcW w:type="dxa" w:w="532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Independent security control evidence</w:t>
            </w:r>
          </w:p>
        </w:tc>
        <w:tc>
          <w:tcPr>
            <w:tcW w:type="dxa" w:w="393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Blocks production or scale authority until supplied and validated.</w:t>
            </w:r>
          </w:p>
        </w:tc>
      </w:tr>
      <w:tr>
        <w:tc>
          <w:tcPr>
            <w:tcW w:type="dxa" w:w="108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PD-002</w:t>
            </w:r>
          </w:p>
        </w:tc>
        <w:tc>
          <w:tcPr>
            <w:tcW w:type="dxa" w:w="532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Complete data-flow and subprocessor map</w:t>
            </w:r>
          </w:p>
        </w:tc>
        <w:tc>
          <w:tcPr>
            <w:tcW w:type="dxa" w:w="393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Blocks production or scale authority until supplied and validated.</w:t>
            </w:r>
          </w:p>
        </w:tc>
      </w:tr>
      <w:tr>
        <w:tc>
          <w:tcPr>
            <w:tcW w:type="dxa" w:w="108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PD-003</w:t>
            </w:r>
          </w:p>
        </w:tc>
        <w:tc>
          <w:tcPr>
            <w:tcW w:type="dxa" w:w="532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Two reference calls with comparable customers</w:t>
            </w:r>
          </w:p>
        </w:tc>
        <w:tc>
          <w:tcPr>
            <w:tcW w:type="dxa" w:w="393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Blocks production or scale authority until supplied and validated.</w:t>
            </w:r>
          </w:p>
        </w:tc>
      </w:tr>
      <w:tr>
        <w:tc>
          <w:tcPr>
            <w:tcW w:type="dxa" w:w="108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PD-004</w:t>
            </w:r>
          </w:p>
        </w:tc>
        <w:tc>
          <w:tcPr>
            <w:tcW w:type="dxa" w:w="532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Documented rollback rehearsal and commercial exit</w:t>
            </w:r>
          </w:p>
        </w:tc>
        <w:tc>
          <w:tcPr>
            <w:tcW w:type="dxa" w:w="393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Blocks production or scale authority until supplied and validated.</w:t>
            </w:r>
          </w:p>
        </w:tc>
      </w:tr>
    </w:tbl>
    <w:p>
      <w:pPr>
        <w:spacing w:after="0"/>
      </w:pPr>
    </w:p>
    <w:p>
      <w:pPr>
        <w:pStyle w:val="Heading2"/>
      </w:pPr>
      <w:r>
        <w:t>Contradiction register</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080"/>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ID</w:t>
            </w:r>
          </w:p>
        </w:tc>
        <w:tc>
          <w:tcPr>
            <w:tcW w:type="dxa" w:w="9259"/>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Contradiction requiring decision-maker visibility</w:t>
            </w:r>
          </w:p>
        </w:tc>
      </w:tr>
      <w:tr>
        <w:tc>
          <w:tcPr>
            <w:tcW w:type="dxa" w:w="108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CR-001</w:t>
            </w:r>
          </w:p>
        </w:tc>
        <w:tc>
          <w:tcPr>
            <w:tcW w:type="dxa" w:w="925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Provider markets “production ready,” while independent assurance is not yet supplied.</w:t>
            </w:r>
          </w:p>
        </w:tc>
      </w:tr>
      <w:tr>
        <w:tc>
          <w:tcPr>
            <w:tcW w:type="dxa" w:w="108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CR-002</w:t>
            </w:r>
          </w:p>
        </w:tc>
        <w:tc>
          <w:tcPr>
            <w:tcW w:type="dxa" w:w="9259"/>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Low headline price conflicts with higher support and observability costs at enterprise scale.</w:t>
            </w:r>
          </w:p>
        </w:tc>
      </w:tr>
      <w:tr>
        <w:tc>
          <w:tcPr>
            <w:tcW w:type="dxa" w:w="108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CR-003</w:t>
            </w:r>
          </w:p>
        </w:tc>
        <w:tc>
          <w:tcPr>
            <w:tcW w:type="dxa" w:w="925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Fast integration claim conflicts with custom identity and data-residency requirements.</w:t>
            </w:r>
          </w:p>
        </w:tc>
      </w:tr>
    </w:tbl>
    <w:p>
      <w:pPr>
        <w:spacing w:after="0"/>
      </w:pPr>
    </w:p>
    <w:p>
      <w:pPr>
        <w:pStyle w:val="Heading2"/>
      </w:pPr>
      <w:r>
        <w:t>Validator disposition</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232"/>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Reviewer</w:t>
            </w:r>
          </w:p>
        </w:tc>
        <w:tc>
          <w:tcPr>
            <w:tcW w:type="dxa" w:w="208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Verdict</w:t>
            </w:r>
          </w:p>
        </w:tc>
        <w:tc>
          <w:tcPr>
            <w:tcW w:type="dxa" w:w="6019"/>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Reason</w:t>
            </w:r>
          </w:p>
        </w:tc>
      </w:tr>
      <w:tr>
        <w:tc>
          <w:tcPr>
            <w:tcW w:type="dxa" w:w="223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Technical reviewer</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PASS WITH SCOPE</w:t>
            </w:r>
          </w:p>
        </w:tc>
        <w:tc>
          <w:tcPr>
            <w:tcW w:type="dxa" w:w="601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Sandbox integration is feasible; production architecture remains outside scope.</w:t>
            </w:r>
          </w:p>
        </w:tc>
      </w:tr>
      <w:tr>
        <w:tc>
          <w:tcPr>
            <w:tcW w:type="dxa" w:w="223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Security reviewer</w:t>
            </w:r>
          </w:p>
        </w:tc>
        <w:tc>
          <w:tcPr>
            <w:tcW w:type="dxa" w:w="208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HOLD PRODUCTION</w:t>
            </w:r>
          </w:p>
        </w:tc>
        <w:tc>
          <w:tcPr>
            <w:tcW w:type="dxa" w:w="6019"/>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Independent assurance and incident evidence are required.</w:t>
            </w:r>
          </w:p>
        </w:tc>
      </w:tr>
      <w:tr>
        <w:tc>
          <w:tcPr>
            <w:tcW w:type="dxa" w:w="223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Commercial reviewer</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PASS WITH CONDITIONS</w:t>
            </w:r>
          </w:p>
        </w:tc>
        <w:tc>
          <w:tcPr>
            <w:tcW w:type="dxa" w:w="601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Price cap, volume breakpoints and explicit exit terms required.</w:t>
            </w:r>
          </w:p>
        </w:tc>
      </w:tr>
      <w:tr>
        <w:tc>
          <w:tcPr>
            <w:tcW w:type="dxa" w:w="223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Operational reviewer</w:t>
            </w:r>
          </w:p>
        </w:tc>
        <w:tc>
          <w:tcPr>
            <w:tcW w:type="dxa" w:w="208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CONDITIONAL</w:t>
            </w:r>
          </w:p>
        </w:tc>
        <w:tc>
          <w:tcPr>
            <w:tcW w:type="dxa" w:w="6019"/>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Reference calls and support escalation evidence remain open.</w:t>
            </w:r>
          </w:p>
        </w:tc>
      </w:tr>
      <w:tr>
        <w:tc>
          <w:tcPr>
            <w:tcW w:type="dxa" w:w="223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Boundary reviewer</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PASS</w:t>
            </w:r>
          </w:p>
        </w:tc>
        <w:tc>
          <w:tcPr>
            <w:tcW w:type="dxa" w:w="601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Claim language remains bounded; professional advice and production certification are excluded.</w:t>
            </w:r>
          </w:p>
        </w:tc>
      </w:tr>
    </w:tbl>
    <w:p>
      <w:pPr>
        <w:spacing w:after="0"/>
      </w:pPr>
    </w:p>
    <w:p>
      <w:r>
        <w:br w:type="page"/>
      </w:r>
    </w:p>
    <w:tbl>
      <w:tblPr>
        <w:tblW w:type="auto" w:w="0"/>
        <w:jc w:val="center"/>
        <w:tblLayout w:type="fixed"/>
        <w:tblLook w:firstColumn="1" w:firstRow="1" w:lastColumn="0" w:lastRow="0" w:noHBand="0" w:noVBand="1" w:val="04A0"/>
      </w:tblPr>
      <w:tblGrid>
        <w:gridCol w:w="5227"/>
        <w:gridCol w:w="5227"/>
      </w:tblGrid>
      <w:tr>
        <w:tc>
          <w:tcPr>
            <w:tcW w:type="dxa" w:w="3456"/>
            <w:shd w:fill="B74A5E"/>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color w:val="FFFFFF"/>
                <w:sz w:val="14"/>
              </w:rPr>
              <w:t>ILLUSTRATIVE PARTNER DEMONSTRATION</w:t>
            </w:r>
          </w:p>
        </w:tc>
        <w:tc>
          <w:tcPr>
            <w:tcW w:type="dxa" w:w="6883"/>
            <w:shd w:fill="F7E3E7"/>
            <w:tcMar>
              <w:top w:w="70" w:type="dxa"/>
              <w:start w:w="100" w:type="dxa"/>
              <w:bottom w:w="70" w:type="dxa"/>
              <w:end w:w="100" w:type="dxa"/>
            </w:tcMar>
            <w:tcBorders>
              <w:top w:val="single" w:sz="6" w:color="B74A5E"/>
              <w:left w:val="single" w:sz="6" w:color="B74A5E"/>
              <w:bottom w:val="single" w:sz="6" w:color="B74A5E"/>
              <w:right w:val="single" w:sz="6" w:color="B74A5E"/>
            </w:tcBorders>
          </w:tcPr>
          <w:p>
            <w:r>
              <w:rPr>
                <w:rFonts w:ascii="Arial" w:hAnsi="Arial" w:eastAsia="Arial"/>
                <w:b/>
                <w:i w:val="0"/>
                <w:caps w:val="0"/>
                <w:color w:val="7A2637"/>
                <w:sz w:val="15"/>
              </w:rPr>
              <w:t>Not an external validation, production certification, legal opinion, financial representation or investment recommendation.</w:t>
            </w:r>
          </w:p>
        </w:tc>
      </w:tr>
    </w:tbl>
    <w:p>
      <w:pPr>
        <w:pStyle w:val="Eyebrow"/>
      </w:pPr>
      <w:r>
        <w:t>06 · ACTION GRAPH, CHRONICLE AND REUSE</w:t>
      </w:r>
    </w:p>
    <w:p>
      <w:pPr>
        <w:pStyle w:val="Heading1"/>
      </w:pPr>
      <w:r>
        <w:t>The decision becomes an executable, reversible plan.</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69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ID</w:t>
            </w:r>
          </w:p>
        </w:tc>
        <w:tc>
          <w:tcPr>
            <w:tcW w:type="dxa" w:w="236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Action</w:t>
            </w:r>
          </w:p>
        </w:tc>
        <w:tc>
          <w:tcPr>
            <w:tcW w:type="dxa" w:w="1800"/>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Owner</w:t>
            </w:r>
          </w:p>
        </w:tc>
        <w:tc>
          <w:tcPr>
            <w:tcW w:type="dxa" w:w="3340"/>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Proof gate</w:t>
            </w:r>
          </w:p>
        </w:tc>
        <w:tc>
          <w:tcPr>
            <w:tcW w:type="dxa" w:w="2145"/>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Rollback / stop</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A-01</w:t>
            </w:r>
          </w:p>
        </w:tc>
        <w:tc>
          <w:tcPr>
            <w:tcW w:type="dxa" w:w="236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Execute pilot charter and participation receipt</w:t>
            </w:r>
          </w:p>
        </w:tc>
        <w:tc>
          <w:tcPr>
            <w:tcW w:type="dxa" w:w="180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Authorized executive sponsors</w:t>
            </w:r>
          </w:p>
        </w:tc>
        <w:tc>
          <w:tcPr>
            <w:tcW w:type="dxa" w:w="334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All closing conditions accepted</w:t>
            </w:r>
          </w:p>
        </w:tc>
        <w:tc>
          <w:tcPr>
            <w:tcW w:type="dxa" w:w="214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Do not start</w:t>
            </w:r>
          </w:p>
        </w:tc>
      </w:tr>
      <w:tr>
        <w:tc>
          <w:tcPr>
            <w:tcW w:type="dxa" w:w="69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A-02</w:t>
            </w:r>
          </w:p>
        </w:tc>
        <w:tc>
          <w:tcPr>
            <w:tcW w:type="dxa" w:w="236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Provision isolated sandbox</w:t>
            </w:r>
          </w:p>
        </w:tc>
        <w:tc>
          <w:tcPr>
            <w:tcW w:type="dxa" w:w="180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Technical leads</w:t>
            </w:r>
          </w:p>
        </w:tc>
        <w:tc>
          <w:tcPr>
            <w:tcW w:type="dxa" w:w="334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Scoped credentials + synthetic data</w:t>
            </w:r>
          </w:p>
        </w:tc>
        <w:tc>
          <w:tcPr>
            <w:tcW w:type="dxa" w:w="214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Revoke access</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A-03</w:t>
            </w:r>
          </w:p>
        </w:tc>
        <w:tc>
          <w:tcPr>
            <w:tcW w:type="dxa" w:w="236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Run acceptance tasks</w:t>
            </w:r>
          </w:p>
        </w:tc>
        <w:tc>
          <w:tcPr>
            <w:tcW w:type="dxa" w:w="180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Mission operator</w:t>
            </w:r>
          </w:p>
        </w:tc>
        <w:tc>
          <w:tcPr>
            <w:tcW w:type="dxa" w:w="334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Common tasks, budget and evidence schema</w:t>
            </w:r>
          </w:p>
        </w:tc>
        <w:tc>
          <w:tcPr>
            <w:tcW w:type="dxa" w:w="214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Stop and preserve logs</w:t>
            </w:r>
          </w:p>
        </w:tc>
      </w:tr>
      <w:tr>
        <w:tc>
          <w:tcPr>
            <w:tcW w:type="dxa" w:w="69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A-04</w:t>
            </w:r>
          </w:p>
        </w:tc>
        <w:tc>
          <w:tcPr>
            <w:tcW w:type="dxa" w:w="236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Conduct day-14 review</w:t>
            </w:r>
          </w:p>
        </w:tc>
        <w:tc>
          <w:tcPr>
            <w:tcW w:type="dxa" w:w="180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Validator council</w:t>
            </w:r>
          </w:p>
        </w:tc>
        <w:tc>
          <w:tcPr>
            <w:tcW w:type="dxa" w:w="334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Evidence Docket and Proof Debt status</w:t>
            </w:r>
          </w:p>
        </w:tc>
        <w:tc>
          <w:tcPr>
            <w:tcW w:type="dxa" w:w="214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Repair / narrow / terminate</w:t>
            </w:r>
          </w:p>
        </w:tc>
      </w:tr>
      <w:tr>
        <w:tc>
          <w:tcPr>
            <w:tcW w:type="dxa" w:w="69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A-05</w:t>
            </w:r>
          </w:p>
        </w:tc>
        <w:tc>
          <w:tcPr>
            <w:tcW w:type="dxa" w:w="236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Run rollback rehearsal</w:t>
            </w:r>
          </w:p>
        </w:tc>
        <w:tc>
          <w:tcPr>
            <w:tcW w:type="dxa" w:w="180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Operations + security</w:t>
            </w:r>
          </w:p>
        </w:tc>
        <w:tc>
          <w:tcPr>
            <w:tcW w:type="dxa" w:w="334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Export, credential revocation, data deletion</w:t>
            </w:r>
          </w:p>
        </w:tc>
        <w:tc>
          <w:tcPr>
            <w:tcW w:type="dxa" w:w="214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Execute rollback</w:t>
            </w:r>
          </w:p>
        </w:tc>
      </w:tr>
      <w:tr>
        <w:tc>
          <w:tcPr>
            <w:tcW w:type="dxa" w:w="69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4"/>
              </w:rPr>
              <w:t>A-06</w:t>
            </w:r>
          </w:p>
        </w:tc>
        <w:tc>
          <w:tcPr>
            <w:tcW w:type="dxa" w:w="236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Issue final pilot verdict</w:t>
            </w:r>
          </w:p>
        </w:tc>
        <w:tc>
          <w:tcPr>
            <w:tcW w:type="dxa" w:w="180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Executive sponsor</w:t>
            </w:r>
          </w:p>
        </w:tc>
        <w:tc>
          <w:tcPr>
            <w:tcW w:type="dxa" w:w="334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Independent review and delayed outcome</w:t>
            </w:r>
          </w:p>
        </w:tc>
        <w:tc>
          <w:tcPr>
            <w:tcW w:type="dxa" w:w="214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4"/>
              </w:rPr>
              <w:t>No scale authority</w:t>
            </w:r>
          </w:p>
        </w:tc>
      </w:tr>
    </w:tbl>
    <w:p>
      <w:pPr>
        <w:spacing w:after="0"/>
      </w:pPr>
    </w:p>
    <w:p>
      <w:pPr>
        <w:pStyle w:val="Heading2"/>
      </w:pPr>
      <w:r>
        <w:t>Chronicle decision</w:t>
      </w:r>
    </w:p>
    <w:tbl>
      <w:tblPr>
        <w:tblW w:type="auto" w:w="0"/>
        <w:jc w:val="center"/>
        <w:tblLayout w:type="fixed"/>
        <w:tblLook w:firstColumn="1" w:firstRow="1" w:lastColumn="0" w:lastRow="0" w:noHBand="0" w:noVBand="1" w:val="04A0"/>
      </w:tblPr>
      <w:tblGrid>
        <w:gridCol w:w="10454"/>
      </w:tblGrid>
      <w:tr>
        <w:tc>
          <w:tcPr>
            <w:tcW w:type="dxa" w:w="10339"/>
            <w:shd w:fill="21805A"/>
            <w:tcMar>
              <w:top w:w="75" w:type="dxa"/>
              <w:start w:w="110" w:type="dxa"/>
              <w:bottom w:w="65" w:type="dxa"/>
              <w:end w:w="110" w:type="dxa"/>
            </w:tcMar>
            <w:tcBorders>
              <w:top w:val="single" w:sz="7" w:color="21805A"/>
              <w:left w:val="single" w:sz="7" w:color="21805A"/>
              <w:bottom w:val="single" w:sz="7" w:color="21805A"/>
              <w:right w:val="single" w:sz="7" w:color="21805A"/>
            </w:tcBorders>
          </w:tcPr>
          <w:p>
            <w:r>
              <w:rPr>
                <w:rFonts w:ascii="Arial" w:hAnsi="Arial" w:eastAsia="Arial"/>
                <w:b/>
                <w:i w:val="0"/>
                <w:caps/>
                <w:color w:val="FFFFFF"/>
                <w:sz w:val="15"/>
              </w:rPr>
              <w:t>ADMIT WITH SCOPE</w:t>
            </w:r>
          </w:p>
        </w:tc>
      </w:tr>
      <w:tr>
        <w:tc>
          <w:tcPr>
            <w:tcW w:type="dxa" w:w="10339"/>
            <w:shd w:fill="EFF9F4"/>
            <w:tcMar>
              <w:top w:w="125" w:type="dxa"/>
              <w:start w:w="140" w:type="dxa"/>
              <w:bottom w:w="125" w:type="dxa"/>
              <w:end w:w="140" w:type="dxa"/>
            </w:tcMar>
            <w:tcBorders>
              <w:top w:val="single" w:sz="7" w:color="21805A"/>
              <w:left w:val="single" w:sz="7" w:color="21805A"/>
              <w:bottom w:val="single" w:sz="7" w:color="21805A"/>
              <w:right w:val="single" w:sz="7" w:color="21805A"/>
            </w:tcBorders>
          </w:tcPr>
          <w:p>
            <w:pPr>
              <w:jc w:val="center"/>
            </w:pPr>
            <w:r>
              <w:rPr>
                <w:rFonts w:ascii="Georgia" w:hAnsi="Georgia" w:eastAsia="Georgia"/>
                <w:b/>
                <w:i w:val="0"/>
                <w:caps w:val="0"/>
                <w:color w:val="14263C"/>
                <w:sz w:val="24"/>
              </w:rPr>
              <w:t>Record the partnership-diligence method and pilot design as reusable capability. Do not admit any production-readiness, enterprise-security or broad-regulatory conclusion.</w:t>
            </w:r>
          </w:p>
        </w:tc>
      </w:tr>
    </w:tbl>
    <w:p>
      <w:pPr>
        <w:spacing w:after="0"/>
      </w:pPr>
    </w:p>
    <w:p>
      <w:pPr>
        <w:pStyle w:val="Heading2"/>
      </w:pPr>
      <w:r>
        <w:t>Capability passport</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160"/>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Field</w:t>
            </w:r>
          </w:p>
        </w:tc>
        <w:tc>
          <w:tcPr>
            <w:tcW w:type="dxa" w:w="8179"/>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Value</w:t>
            </w:r>
          </w:p>
        </w:tc>
      </w:tr>
      <w:tr>
        <w:tc>
          <w:tcPr>
            <w:tcW w:type="dxa" w:w="216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Capability ID</w:t>
            </w:r>
          </w:p>
        </w:tc>
        <w:tc>
          <w:tcPr>
            <w:tcW w:type="dxa" w:w="817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VSK-PARTNER-DILIGENCE-001</w:t>
            </w:r>
          </w:p>
        </w:tc>
      </w:tr>
      <w:tr>
        <w:tc>
          <w:tcPr>
            <w:tcW w:type="dxa" w:w="216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Name</w:t>
            </w:r>
          </w:p>
        </w:tc>
        <w:tc>
          <w:tcPr>
            <w:tcW w:type="dxa" w:w="8179"/>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Bounded AI infrastructure partnership diligence</w:t>
            </w:r>
          </w:p>
        </w:tc>
      </w:tr>
      <w:tr>
        <w:tc>
          <w:tcPr>
            <w:tcW w:type="dxa" w:w="216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Allowed reuse</w:t>
            </w:r>
          </w:p>
        </w:tc>
        <w:tc>
          <w:tcPr>
            <w:tcW w:type="dxa" w:w="817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Future reversible partnership and procurement missions with comparable evidence classes</w:t>
            </w:r>
          </w:p>
        </w:tc>
      </w:tr>
      <w:tr>
        <w:tc>
          <w:tcPr>
            <w:tcW w:type="dxa" w:w="216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Excluded reuse</w:t>
            </w:r>
          </w:p>
        </w:tc>
        <w:tc>
          <w:tcPr>
            <w:tcW w:type="dxa" w:w="8179"/>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Production certification, legal advice, security certification, investment recommendation</w:t>
            </w:r>
          </w:p>
        </w:tc>
      </w:tr>
      <w:tr>
        <w:tc>
          <w:tcPr>
            <w:tcW w:type="dxa" w:w="216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Freshness rule</w:t>
            </w:r>
          </w:p>
        </w:tc>
        <w:tc>
          <w:tcPr>
            <w:tcW w:type="dxa" w:w="817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Revalidate pricing, security, data flows, support and contract terms for each provider and date</w:t>
            </w:r>
          </w:p>
        </w:tc>
      </w:tr>
      <w:tr>
        <w:tc>
          <w:tcPr>
            <w:tcW w:type="dxa" w:w="216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Required reviewers</w:t>
            </w:r>
          </w:p>
        </w:tc>
        <w:tc>
          <w:tcPr>
            <w:tcW w:type="dxa" w:w="8179"/>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Technical + security + commercial + operational + boundary</w:t>
            </w:r>
          </w:p>
        </w:tc>
      </w:tr>
      <w:tr>
        <w:tc>
          <w:tcPr>
            <w:tcW w:type="dxa" w:w="216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Rollback</w:t>
            </w:r>
          </w:p>
        </w:tc>
        <w:tc>
          <w:tcPr>
            <w:tcW w:type="dxa" w:w="8179"/>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Revoke or supersede capability if delayed outcomes, incidents or external review contradict the evidence</w:t>
            </w:r>
          </w:p>
        </w:tc>
      </w:tr>
    </w:tbl>
    <w:p>
      <w:pPr>
        <w:spacing w:after="0"/>
      </w:pPr>
    </w:p>
    <w:p>
      <w:pPr>
        <w:keepNext w:val="0"/>
        <w:spacing w:before="0" w:after="80" w:line="259" w:lineRule="auto"/>
      </w:pPr>
      <w:r>
        <w:rPr>
          <w:rFonts w:ascii="Arial" w:hAnsi="Arial" w:eastAsia="Arial"/>
          <w:b w:val="0"/>
          <w:i w:val="0"/>
          <w:caps w:val="0"/>
          <w:color w:val="68788D"/>
          <w:sz w:val="15"/>
        </w:rPr>
        <w:t>Participant allocation: the mission sponsor and represented organization are exclusively responsible for the objective, evidence, instructions, approvals, taxes, licences, security, deployment and downstream use. The receipt and protective covenants travel with the mission package.</w:t>
      </w:r>
    </w:p>
    <w:p>
      <w:r>
        <w:br w:type="page"/>
      </w:r>
    </w:p>
    <w:p>
      <w:pPr>
        <w:pStyle w:val="Heading1"/>
      </w:pPr>
      <w:r>
        <w:t>07 · PARTICIPATION RECEIPT &amp; RESPONSIBILITY ALLOCATION</w:t>
      </w:r>
    </w:p>
    <w:p>
      <w:pPr>
        <w:jc w:val="left"/>
      </w:pPr>
      <w:r>
        <w:rPr>
          <w:rFonts w:ascii="Georgia" w:hAnsi="Georgia"/>
          <w:b/>
          <w:color w:val="07182B"/>
          <w:sz w:val="23"/>
        </w:rPr>
        <w:t>The acceptance record travels with the mission package.</w:t>
      </w:r>
    </w:p>
    <w:tbl>
      <w:tblPr>
        <w:tblW w:type="auto" w:w="0"/>
        <w:jc w:val="center"/>
        <w:tblLayout w:type="fixed"/>
        <w:tblLook w:firstColumn="1" w:firstRow="1" w:lastColumn="0" w:lastRow="0" w:noHBand="0" w:noVBand="1" w:val="04A0"/>
      </w:tblPr>
      <w:tblGrid>
        <w:gridCol w:w="10080"/>
      </w:tblGrid>
      <w:tr>
        <w:tc>
          <w:tcPr>
            <w:tcW w:type="dxa" w:w="10454"/>
            <w:shd w:fill="07182B"/>
            <w:tcMar>
              <w:top w:w="70" w:type="dxa"/>
              <w:start w:w="120" w:type="dxa"/>
              <w:bottom w:w="70" w:type="dxa"/>
              <w:end w:w="120" w:type="dxa"/>
            </w:tcMar>
          </w:tcPr>
          <w:p>
            <w:r>
              <w:rPr>
                <w:rFonts w:ascii="Arial" w:hAnsi="Arial"/>
                <w:b/>
                <w:color w:val="FFFFFF"/>
                <w:sz w:val="15"/>
              </w:rPr>
              <w:t>CONTRACTUAL GATE</w:t>
            </w:r>
          </w:p>
        </w:tc>
      </w:tr>
      <w:tr>
        <w:tc>
          <w:tcPr>
            <w:tcW w:type="dxa" w:w="10454"/>
            <w:shd w:fill="0C2C4D"/>
            <w:tcMar>
              <w:top w:w="110" w:type="dxa"/>
              <w:start w:w="140" w:type="dxa"/>
              <w:bottom w:w="110" w:type="dxa"/>
              <w:end w:w="140" w:type="dxa"/>
            </w:tcMar>
          </w:tcPr>
          <w:p>
            <w:r>
              <w:rPr>
                <w:rFonts w:ascii="Georgia" w:hAnsi="Georgia"/>
                <w:b/>
                <w:color w:val="FFFFFF"/>
                <w:sz w:val="20"/>
              </w:rPr>
              <w:t>No mission execution, validation, settlement, reuse or export is authorized without a valid, versioned participation receipt.</w:t>
            </w:r>
          </w:p>
        </w:tc>
      </w:tr>
    </w:tbl>
    <w:p>
      <w:pPr>
        <w:spacing w:after="0"/>
      </w:pPr>
    </w:p>
    <w:tbl>
      <w:tblPr>
        <w:tblW w:type="auto" w:w="0"/>
        <w:jc w:val="center"/>
        <w:tblLayout w:type="fixed"/>
        <w:tblLook w:firstColumn="1" w:firstRow="1" w:lastColumn="0" w:lastRow="0" w:noHBand="0" w:noVBand="1" w:val="04A0"/>
      </w:tblPr>
      <w:tblGrid>
        <w:gridCol w:w="2477"/>
        <w:gridCol w:w="7416"/>
      </w:tblGrid>
      <w:tr>
        <w:trPr>
          <w:tblHeader w:val="true"/>
        </w:trPr>
        <w:tc>
          <w:tcPr>
            <w:tcW w:type="dxa" w:w="5227"/>
            <w:shd w:fill="07182B"/>
            <w:tcMar>
              <w:top w:w="90" w:type="dxa"/>
              <w:start w:w="110" w:type="dxa"/>
              <w:bottom w:w="90" w:type="dxa"/>
              <w:end w:w="110" w:type="dxa"/>
            </w:tcMar>
          </w:tcPr>
          <w:p>
            <w:r>
              <w:rPr>
                <w:rFonts w:ascii="Arial" w:hAnsi="Arial"/>
                <w:b/>
                <w:color w:val="FFFFFF"/>
                <w:sz w:val="16"/>
              </w:rPr>
              <w:t>Field</w:t>
            </w:r>
          </w:p>
        </w:tc>
        <w:tc>
          <w:tcPr>
            <w:tcW w:type="dxa" w:w="5227"/>
            <w:shd w:fill="07182B"/>
            <w:tcMar>
              <w:top w:w="90" w:type="dxa"/>
              <w:start w:w="110" w:type="dxa"/>
              <w:bottom w:w="90" w:type="dxa"/>
              <w:end w:w="110" w:type="dxa"/>
            </w:tcMar>
          </w:tcPr>
          <w:p>
            <w:r>
              <w:rPr>
                <w:rFonts w:ascii="Arial" w:hAnsi="Arial"/>
                <w:b/>
                <w:color w:val="FFFFFF"/>
                <w:sz w:val="16"/>
              </w:rPr>
              <w:t>Recorded allocation</w:t>
            </w:r>
          </w:p>
        </w:tc>
      </w:tr>
      <w:tr>
        <w:tc>
          <w:tcPr>
            <w:tcW w:type="dxa" w:w="2477"/>
            <w:tcMar>
              <w:top w:w="90" w:type="dxa"/>
              <w:start w:w="110" w:type="dxa"/>
              <w:bottom w:w="90" w:type="dxa"/>
              <w:end w:w="110" w:type="dxa"/>
            </w:tcMar>
            <w:shd w:fill="EEF3F7"/>
          </w:tcPr>
          <w:p>
            <w:r>
              <w:rPr>
                <w:rFonts w:ascii="Arial" w:hAnsi="Arial"/>
                <w:b/>
                <w:color w:val="07182B"/>
                <w:sz w:val="17"/>
              </w:rPr>
              <w:t>Terms version</w:t>
            </w:r>
          </w:p>
        </w:tc>
        <w:tc>
          <w:tcPr>
            <w:tcW w:type="dxa" w:w="7416"/>
            <w:tcMar>
              <w:top w:w="90" w:type="dxa"/>
              <w:start w:w="110" w:type="dxa"/>
              <w:bottom w:w="90" w:type="dxa"/>
              <w:end w:w="110" w:type="dxa"/>
            </w:tcMar>
          </w:tcPr>
          <w:p>
            <w:r>
              <w:rPr>
                <w:rFonts w:ascii="Arial" w:hAnsi="Arial"/>
                <w:color w:val="14263C"/>
                <w:sz w:val="17"/>
              </w:rPr>
              <w:t>GOS-EPUR-2026.07-v2.1</w:t>
            </w:r>
          </w:p>
        </w:tc>
      </w:tr>
      <w:tr>
        <w:tc>
          <w:tcPr>
            <w:tcW w:type="dxa" w:w="2477"/>
            <w:tcMar>
              <w:top w:w="90" w:type="dxa"/>
              <w:start w:w="110" w:type="dxa"/>
              <w:bottom w:w="90" w:type="dxa"/>
              <w:end w:w="110" w:type="dxa"/>
            </w:tcMar>
            <w:shd w:fill="EEF3F7"/>
          </w:tcPr>
          <w:p>
            <w:r>
              <w:rPr>
                <w:rFonts w:ascii="Arial" w:hAnsi="Arial"/>
                <w:b/>
                <w:color w:val="07182B"/>
                <w:sz w:val="17"/>
              </w:rPr>
              <w:t>Terms hash</w:t>
            </w:r>
          </w:p>
        </w:tc>
        <w:tc>
          <w:tcPr>
            <w:tcW w:type="dxa" w:w="7416"/>
            <w:tcMar>
              <w:top w:w="90" w:type="dxa"/>
              <w:start w:w="110" w:type="dxa"/>
              <w:bottom w:w="90" w:type="dxa"/>
              <w:end w:w="110" w:type="dxa"/>
            </w:tcMar>
          </w:tcPr>
          <w:p>
            <w:r>
              <w:rPr>
                <w:rFonts w:ascii="Arial" w:hAnsi="Arial"/>
                <w:color w:val="14263C"/>
                <w:sz w:val="17"/>
              </w:rPr>
              <w:t>sha256:adc7ee767ea566ba2aa12885e50bbfd7bf22c65708b00ddfd292772fac8298cd</w:t>
            </w:r>
          </w:p>
        </w:tc>
      </w:tr>
      <w:tr>
        <w:tc>
          <w:tcPr>
            <w:tcW w:type="dxa" w:w="2477"/>
            <w:tcMar>
              <w:top w:w="90" w:type="dxa"/>
              <w:start w:w="110" w:type="dxa"/>
              <w:bottom w:w="90" w:type="dxa"/>
              <w:end w:w="110" w:type="dxa"/>
            </w:tcMar>
            <w:shd w:fill="EEF3F7"/>
          </w:tcPr>
          <w:p>
            <w:r>
              <w:rPr>
                <w:rFonts w:ascii="Arial" w:hAnsi="Arial"/>
                <w:b/>
                <w:color w:val="07182B"/>
                <w:sz w:val="17"/>
              </w:rPr>
              <w:t>Participant role</w:t>
            </w:r>
          </w:p>
        </w:tc>
        <w:tc>
          <w:tcPr>
            <w:tcW w:type="dxa" w:w="7416"/>
            <w:tcMar>
              <w:top w:w="90" w:type="dxa"/>
              <w:start w:w="110" w:type="dxa"/>
              <w:bottom w:w="90" w:type="dxa"/>
              <w:end w:w="110" w:type="dxa"/>
            </w:tcMar>
          </w:tcPr>
          <w:p>
            <w:r>
              <w:rPr>
                <w:rFonts w:ascii="Arial" w:hAnsi="Arial"/>
                <w:color w:val="14263C"/>
                <w:sz w:val="17"/>
              </w:rPr>
              <w:t>Mission Sponsor / represented enterprise</w:t>
            </w:r>
          </w:p>
        </w:tc>
      </w:tr>
      <w:tr>
        <w:tc>
          <w:tcPr>
            <w:tcW w:type="dxa" w:w="2477"/>
            <w:tcMar>
              <w:top w:w="90" w:type="dxa"/>
              <w:start w:w="110" w:type="dxa"/>
              <w:bottom w:w="90" w:type="dxa"/>
              <w:end w:w="110" w:type="dxa"/>
            </w:tcMar>
            <w:shd w:fill="EEF3F7"/>
          </w:tcPr>
          <w:p>
            <w:r>
              <w:rPr>
                <w:rFonts w:ascii="Arial" w:hAnsi="Arial"/>
                <w:b/>
                <w:color w:val="07182B"/>
                <w:sz w:val="17"/>
              </w:rPr>
              <w:t>Authority warranty</w:t>
            </w:r>
          </w:p>
        </w:tc>
        <w:tc>
          <w:tcPr>
            <w:tcW w:type="dxa" w:w="7416"/>
            <w:tcMar>
              <w:top w:w="90" w:type="dxa"/>
              <w:start w:w="110" w:type="dxa"/>
              <w:bottom w:w="90" w:type="dxa"/>
              <w:end w:w="110" w:type="dxa"/>
            </w:tcMar>
          </w:tcPr>
          <w:p>
            <w:r>
              <w:rPr>
                <w:rFonts w:ascii="Arial" w:hAnsi="Arial"/>
                <w:color w:val="14263C"/>
                <w:sz w:val="17"/>
              </w:rPr>
              <w:t>Accepting person confirms authority to bind the represented organization.</w:t>
            </w:r>
          </w:p>
        </w:tc>
      </w:tr>
      <w:tr>
        <w:tc>
          <w:tcPr>
            <w:tcW w:type="dxa" w:w="2477"/>
            <w:tcMar>
              <w:top w:w="90" w:type="dxa"/>
              <w:start w:w="110" w:type="dxa"/>
              <w:bottom w:w="90" w:type="dxa"/>
              <w:end w:w="110" w:type="dxa"/>
            </w:tcMar>
            <w:shd w:fill="EEF3F7"/>
          </w:tcPr>
          <w:p>
            <w:r>
              <w:rPr>
                <w:rFonts w:ascii="Arial" w:hAnsi="Arial"/>
                <w:b/>
                <w:color w:val="07182B"/>
                <w:sz w:val="17"/>
              </w:rPr>
              <w:t>Exclusive responsibility</w:t>
            </w:r>
          </w:p>
        </w:tc>
        <w:tc>
          <w:tcPr>
            <w:tcW w:type="dxa" w:w="7416"/>
            <w:tcMar>
              <w:top w:w="90" w:type="dxa"/>
              <w:start w:w="110" w:type="dxa"/>
              <w:bottom w:w="90" w:type="dxa"/>
              <w:end w:w="110" w:type="dxa"/>
            </w:tcMar>
          </w:tcPr>
          <w:p>
            <w:r>
              <w:rPr>
                <w:rFonts w:ascii="Arial" w:hAnsi="Arial"/>
                <w:color w:val="14263C"/>
                <w:sz w:val="17"/>
              </w:rPr>
              <w:t>Objectives, instructions, data, content, systems, personnel, transactions, taxes, licences, compliance, decisions and downstream deployment.</w:t>
            </w:r>
          </w:p>
        </w:tc>
      </w:tr>
      <w:tr>
        <w:tc>
          <w:tcPr>
            <w:tcW w:type="dxa" w:w="2477"/>
            <w:tcMar>
              <w:top w:w="90" w:type="dxa"/>
              <w:start w:w="110" w:type="dxa"/>
              <w:bottom w:w="90" w:type="dxa"/>
              <w:end w:w="110" w:type="dxa"/>
            </w:tcMar>
            <w:shd w:fill="EEF3F7"/>
          </w:tcPr>
          <w:p>
            <w:r>
              <w:rPr>
                <w:rFonts w:ascii="Arial" w:hAnsi="Arial"/>
                <w:b/>
                <w:color w:val="07182B"/>
                <w:sz w:val="17"/>
              </w:rPr>
              <w:t>Risk allocation</w:t>
            </w:r>
          </w:p>
        </w:tc>
        <w:tc>
          <w:tcPr>
            <w:tcW w:type="dxa" w:w="7416"/>
            <w:tcMar>
              <w:top w:w="90" w:type="dxa"/>
              <w:start w:w="110" w:type="dxa"/>
              <w:bottom w:w="90" w:type="dxa"/>
              <w:end w:w="110" w:type="dxa"/>
            </w:tcMar>
          </w:tcPr>
          <w:p>
            <w:r>
              <w:rPr>
                <w:rFonts w:ascii="Arial" w:hAnsi="Arial"/>
                <w:color w:val="14263C"/>
                <w:sz w:val="17"/>
              </w:rPr>
              <w:t>AI, software, smart-contract, network, token, cybersecurity, privacy, market, validator and irreversibility risks are accepted by the Participant.</w:t>
            </w:r>
          </w:p>
        </w:tc>
      </w:tr>
      <w:tr>
        <w:tc>
          <w:tcPr>
            <w:tcW w:type="dxa" w:w="2477"/>
            <w:tcMar>
              <w:top w:w="90" w:type="dxa"/>
              <w:start w:w="110" w:type="dxa"/>
              <w:bottom w:w="90" w:type="dxa"/>
              <w:end w:w="110" w:type="dxa"/>
            </w:tcMar>
            <w:shd w:fill="EEF3F7"/>
          </w:tcPr>
          <w:p>
            <w:r>
              <w:rPr>
                <w:rFonts w:ascii="Arial" w:hAnsi="Arial"/>
                <w:b/>
                <w:color w:val="07182B"/>
                <w:sz w:val="17"/>
              </w:rPr>
              <w:t>Protective covenants</w:t>
            </w:r>
          </w:p>
        </w:tc>
        <w:tc>
          <w:tcPr>
            <w:tcW w:type="dxa" w:w="7416"/>
            <w:tcMar>
              <w:top w:w="90" w:type="dxa"/>
              <w:start w:w="110" w:type="dxa"/>
              <w:bottom w:w="90" w:type="dxa"/>
              <w:end w:w="110" w:type="dxa"/>
            </w:tcMar>
          </w:tcPr>
          <w:p>
            <w:r>
              <w:rPr>
                <w:rFonts w:ascii="Arial" w:hAnsi="Arial"/>
                <w:color w:val="14263C"/>
                <w:sz w:val="17"/>
              </w:rPr>
              <w:t>Release, non-recourse, hold-harmless for Participant-caused matters, participant-to-participant allocation and non-joinder obligations in favour of the Protected Parties.</w:t>
            </w:r>
          </w:p>
        </w:tc>
      </w:tr>
      <w:tr>
        <w:tc>
          <w:tcPr>
            <w:tcW w:type="dxa" w:w="2477"/>
            <w:tcMar>
              <w:top w:w="90" w:type="dxa"/>
              <w:start w:w="110" w:type="dxa"/>
              <w:bottom w:w="90" w:type="dxa"/>
              <w:end w:w="110" w:type="dxa"/>
            </w:tcMar>
            <w:shd w:fill="EEF3F7"/>
          </w:tcPr>
          <w:p>
            <w:r>
              <w:rPr>
                <w:rFonts w:ascii="Arial" w:hAnsi="Arial"/>
                <w:b/>
                <w:color w:val="07182B"/>
                <w:sz w:val="17"/>
              </w:rPr>
              <w:t>Dispute protocol</w:t>
            </w:r>
          </w:p>
        </w:tc>
        <w:tc>
          <w:tcPr>
            <w:tcW w:type="dxa" w:w="7416"/>
            <w:tcMar>
              <w:top w:w="90" w:type="dxa"/>
              <w:start w:w="110" w:type="dxa"/>
              <w:bottom w:w="90" w:type="dxa"/>
              <w:end w:w="110" w:type="dxa"/>
            </w:tcMar>
          </w:tcPr>
          <w:p>
            <w:r>
              <w:rPr>
                <w:rFonts w:ascii="Arial" w:hAnsi="Arial"/>
                <w:color w:val="14263C"/>
                <w:sz w:val="17"/>
              </w:rPr>
              <w:t>Particularized notice -&gt; evidence preservation -&gt; executive conference -&gt; confidential Montréal mediation -&gt; Montréal-seated arbitration.</w:t>
            </w:r>
          </w:p>
        </w:tc>
      </w:tr>
      <w:tr>
        <w:tc>
          <w:tcPr>
            <w:tcW w:type="dxa" w:w="2477"/>
            <w:tcMar>
              <w:top w:w="90" w:type="dxa"/>
              <w:start w:w="110" w:type="dxa"/>
              <w:bottom w:w="90" w:type="dxa"/>
              <w:end w:w="110" w:type="dxa"/>
            </w:tcMar>
            <w:shd w:fill="EEF3F7"/>
          </w:tcPr>
          <w:p>
            <w:r>
              <w:rPr>
                <w:rFonts w:ascii="Arial" w:hAnsi="Arial"/>
                <w:b/>
                <w:color w:val="07182B"/>
                <w:sz w:val="17"/>
              </w:rPr>
              <w:t>Receipt status</w:t>
            </w:r>
          </w:p>
        </w:tc>
        <w:tc>
          <w:tcPr>
            <w:tcW w:type="dxa" w:w="7416"/>
            <w:tcMar>
              <w:top w:w="90" w:type="dxa"/>
              <w:start w:w="110" w:type="dxa"/>
              <w:bottom w:w="90" w:type="dxa"/>
              <w:end w:w="110" w:type="dxa"/>
            </w:tcMar>
          </w:tcPr>
          <w:p>
            <w:r>
              <w:rPr>
                <w:rFonts w:ascii="Arial" w:hAnsi="Arial"/>
                <w:color w:val="14263C"/>
                <w:sz w:val="17"/>
              </w:rPr>
              <w:t>ACTIVE / bound to mission manifest and exported proof pack</w:t>
            </w:r>
          </w:p>
        </w:tc>
      </w:tr>
    </w:tbl>
    <w:p>
      <w:pPr>
        <w:spacing w:before="140"/>
      </w:pPr>
      <w:r>
        <w:rPr>
          <w:rFonts w:ascii="Arial" w:hAnsi="Arial"/>
          <w:b/>
          <w:color w:val="07182B"/>
          <w:sz w:val="18"/>
        </w:rPr>
        <w:t>Participant allocation: the mission sponsor and represented organization retain exclusive responsibility for the objective selected, evidence supplied, instructions issued, approvals granted, tax and regulatory treatment, security, personnel, deployment and every downstream use. The receipt, applicable terms and mission artifacts form one evidentiary package.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749" w:right="893" w:bottom="749" w:left="893" w:header="360"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227"/>
      <w:gridCol w:w="5227"/>
    </w:tblGrid>
    <w:tr>
      <w:tc>
        <w:tcPr>
          <w:tcW w:type="dxa" w:w="8352"/>
          <w:shd w:fill="FFFDF8"/>
          <w:tcMar>
            <w:top w:w="35" w:type="dxa"/>
            <w:start w:w="0" w:type="dxa"/>
            <w:bottom w:w="0" w:type="dxa"/>
            <w:end w:w="0" w:type="dxa"/>
          </w:tcMar>
          <w:tcBorders>
            <w:top w:val="single" w:sz="6" w:color="D9D0C1"/>
          </w:tcBorders>
        </w:tcPr>
        <w:p>
          <w:r>
            <w:rPr>
              <w:rFonts w:ascii="Arial" w:hAnsi="Arial" w:eastAsia="Arial"/>
              <w:b/>
              <w:i w:val="0"/>
              <w:caps w:val="0"/>
              <w:color w:val="68788D"/>
              <w:sz w:val="15"/>
            </w:rPr>
            <w:t>GOALOS / AGI ALPHA RESEARCH ARCHITECTURE · JULY 2026</w:t>
          </w:r>
        </w:p>
      </w:tc>
      <w:tc>
        <w:tcPr>
          <w:tcW w:type="dxa" w:w="2102"/>
          <w:shd w:fill="FFFDF8"/>
          <w:tcMar>
            <w:top w:w="35" w:type="dxa"/>
            <w:start w:w="0" w:type="dxa"/>
            <w:bottom w:w="0" w:type="dxa"/>
            <w:end w:w="0" w:type="dxa"/>
          </w:tcMar>
          <w:tcBorders>
            <w:top w:val="single" w:sz="6" w:color="D9D0C1"/>
          </w:tcBorders>
        </w:tcPr>
        <w:p>
          <w:pPr>
            <w:jc w:val="right"/>
          </w:pPr>
          <w:r>
            <w:rPr>
              <w:rFonts w:ascii="Arial" w:hAnsi="Arial" w:eastAsia="Arial"/>
              <w:b/>
              <w:i w:val="0"/>
              <w:caps w:val="0"/>
              <w:color w:val="68788D"/>
              <w:sz w:val="16"/>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27"/>
      <w:gridCol w:w="5227"/>
    </w:tblGrid>
    <w:tr>
      <w:tc>
        <w:tcPr>
          <w:tcW w:type="dxa" w:w="5227"/>
          <w:shd w:fill="FFFDF8"/>
          <w:tcMar>
            <w:top w:w="0" w:type="dxa"/>
            <w:start w:w="0" w:type="dxa"/>
            <w:bottom w:w="40" w:type="dxa"/>
            <w:end w:w="0" w:type="dxa"/>
          </w:tcMar>
          <w:tcBorders>
            <w:bottom w:val="single" w:sz="6" w:color="D9D0C1"/>
          </w:tcBorders>
        </w:tcPr>
        <w:p>
          <w:r>
            <w:rPr>
              <w:rFonts w:ascii="Arial" w:hAnsi="Arial" w:eastAsia="Arial"/>
              <w:b/>
              <w:i w:val="0"/>
              <w:caps/>
              <w:color w:val="68788D"/>
              <w:sz w:val="15"/>
            </w:rPr>
            <w:t>GOALOS / FINAL PRODUCTION PARTNER EDITION</w:t>
          </w:r>
        </w:p>
      </w:tc>
      <w:tc>
        <w:tcPr>
          <w:tcW w:type="dxa" w:w="5227"/>
          <w:shd w:fill="FFFDF8"/>
          <w:tcMar>
            <w:top w:w="0" w:type="dxa"/>
            <w:start w:w="0" w:type="dxa"/>
            <w:bottom w:w="40" w:type="dxa"/>
            <w:end w:w="0" w:type="dxa"/>
          </w:tcMar>
          <w:tcBorders>
            <w:bottom w:val="single" w:sz="6" w:color="D9D0C1"/>
          </w:tcBorders>
        </w:tcPr>
        <w:p>
          <w:pPr>
            <w:jc w:val="right"/>
          </w:pPr>
          <w:r>
            <w:rPr>
              <w:rFonts w:ascii="Arial" w:hAnsi="Arial" w:eastAsia="Arial"/>
              <w:b/>
              <w:i w:val="0"/>
              <w:caps/>
              <w:color w:val="68788D"/>
              <w:sz w:val="15"/>
            </w:rPr>
            <w:t>AI CREATES OUTPUT. GOALOS CREATES PROOF.</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426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Georgia" w:hAnsi="Georgia" w:eastAsia="Georgia"/>
      <w:b/>
      <w:bCs/>
      <w:color w:val="07182B"/>
      <w:sz w:val="4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eastAsia="Georgia"/>
      <w:b/>
      <w:bCs/>
      <w:color w:val="07182B"/>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eastAsia="Arial"/>
      <w:b/>
      <w:bCs/>
      <w:color w:val="0718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eastAsia="Georgia"/>
      <w:color w:val="0718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Georgia" w:hAnsi="Georgia" w:eastAsia="Georgia"/>
      <w:i/>
      <w:iCs/>
      <w:color w:val="68788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00"/>
    </w:pPr>
    <w:rPr>
      <w:rFonts w:ascii="Arial" w:hAnsi="Arial" w:eastAsia="Arial"/>
      <w:b/>
      <w:caps/>
      <w:color w:val="B8872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Sample Governed Decision State</dc:title>
  <dc:subject>Strategic Partnership Diligence</dc:subject>
  <dc:creator>Vincent Boucher</dc:creator>
  <cp:keywords>GoalOS, AGI ALPHA, proof operating system, governed decision state, partner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