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9984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Executive_Brie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Inter Display" w:hAnsi="Inter Display"/>
          <w:b/>
          <w:color w:val="D6A13C"/>
          <w:sz w:val="16"/>
        </w:rPr>
        <w:t>EXECUTION COMMAND</w:t>
      </w:r>
    </w:p>
    <w:p>
      <w:pPr>
        <w:spacing w:after="40"/>
        <w:jc w:val="center"/>
      </w:pPr>
      <w:r>
        <w:rPr>
          <w:rFonts w:ascii="EB Garamond" w:hAnsi="EB Garamond"/>
          <w:b/>
          <w:color w:val="061522"/>
          <w:sz w:val="54"/>
        </w:rPr>
        <w:t>Commercial Proof Run 001</w:t>
      </w:r>
    </w:p>
    <w:p>
      <w:pPr>
        <w:ind w:left="648" w:right="648"/>
        <w:jc w:val="center"/>
      </w:pPr>
      <w:r>
        <w:rPr>
          <w:rFonts w:ascii="Inter" w:hAnsi="Inter"/>
          <w:color w:val="61717E"/>
          <w:sz w:val="21"/>
        </w:rPr>
        <w:t>The 90-day command that turns the institution from architecture into customer-backed authority.</w:t>
      </w:r>
    </w:p>
    <w:p>
      <w:r>
        <w:br w:type="page"/>
      </w:r>
    </w:p>
    <w:p>
      <w:pPr>
        <w:pStyle w:val="Heading1"/>
      </w:pPr>
      <w:r>
        <w:t>Command intent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35"/>
            <w:shd w:fill="F7F1E0"/>
            <w:tcBorders>
              <w:top w:val="single" w:sz="12" w:color="D6A13C"/>
              <w:left w:val="single" w:sz="12" w:color="D6A13C"/>
              <w:bottom w:val="single" w:sz="12" w:color="D6A13C"/>
              <w:right w:val="single" w:sz="12" w:color="D6A13C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Inter Display" w:hAnsi="Inter Display"/>
                <w:b/>
                <w:color w:val="D6A13C"/>
                <w:sz w:val="18"/>
              </w:rPr>
              <w:t>MISSION</w:t>
            </w:r>
          </w:p>
          <w:p>
            <w:pPr>
              <w:pStyle w:val="ExecutiveQuote"/>
            </w:pPr>
            <w:r>
              <w:t>Prove one premium GoalOS product with three unrelated customers, one repeated delivery path, one independent verdict, one recurring expansion, one transferable capability and zero material trust breaches.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The frozen commercial wedge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168"/>
            <w:shd w:fill="0E2B3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 Display" w:hAnsi="Inter Display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6192"/>
            <w:shd w:fill="0E2B3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 Display" w:hAnsi="Inter Display"/>
                <w:b/>
                <w:color w:val="FFFFFF"/>
                <w:sz w:val="16"/>
              </w:rPr>
              <w:t>Frozen decision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Ideal buyer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Board, CEO, CIO, CISO, AI leader, investor or strategic buyer facing a consequential AI decision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Customer question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Should we deploy, acquire, scale, continue funding, narrow, repair or stop this AI initiative?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Product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GoalOS Enterprise Proof Mission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Founding price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$250,000 standard; scope may be reduced rather than price discounted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Delivery window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15 business days after data readiness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Output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Mission Contract, Proof Debt, AGI Jobs, Evidence Docket, independent verdict, governed decision and action plan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Expansion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GoalOS Proof Office at $1,000,000 per year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Rights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Network-admissible base; customer-private and exclusive rights priced at a premium</w:t>
            </w:r>
          </w:p>
        </w:tc>
      </w:tr>
    </w:tbl>
    <w:p>
      <w:pPr>
        <w:spacing w:after="20"/>
      </w:pPr>
    </w:p>
    <w:p>
      <w:pPr>
        <w:pStyle w:val="Heading1"/>
      </w:pPr>
      <w:r>
        <w:t>Days 1-14 - freeze and activate</w:t>
      </w:r>
    </w:p>
    <w:p>
      <w:pPr>
        <w:pStyle w:val="ListBullet"/>
        <w:spacing w:after="40"/>
      </w:pPr>
      <w:r>
        <w:t>Ratify the Charter of Productive Intelligence and the public claim boundary.</w:t>
      </w:r>
    </w:p>
    <w:p>
      <w:pPr>
        <w:pStyle w:val="ListBullet"/>
        <w:spacing w:after="40"/>
      </w:pPr>
      <w:r>
        <w:t>Freeze one customer profile, one decision question, one price, one scope, one Evidence Docket and one acceptance path.</w:t>
      </w:r>
    </w:p>
    <w:p>
      <w:pPr>
        <w:pStyle w:val="ListBullet"/>
        <w:spacing w:after="40"/>
      </w:pPr>
      <w:r>
        <w:t>Configure the autonomous deal room, contract library, payment path, data boundary and consent ledger.</w:t>
      </w:r>
    </w:p>
    <w:p>
      <w:pPr>
        <w:pStyle w:val="ListBullet"/>
        <w:spacing w:after="40"/>
      </w:pPr>
      <w:r>
        <w:t>Recruit at least two independent reviewers with no economic incentive to issue PASS.</w:t>
      </w:r>
    </w:p>
    <w:p>
      <w:pPr>
        <w:pStyle w:val="ListBullet"/>
        <w:spacing w:after="40"/>
      </w:pPr>
      <w:r>
        <w:t>Construct the first 60-account list and launch the permissioned MasterClass / briefing sequence.</w:t>
      </w:r>
    </w:p>
    <w:p>
      <w:pPr>
        <w:pStyle w:val="ListBullet"/>
        <w:spacing w:after="40"/>
      </w:pPr>
      <w:r>
        <w:t>Run an internal GoalOS Sells GoalOS rehearsal with complete cost and intervention capture.</w:t>
      </w:r>
    </w:p>
    <w:p>
      <w:pPr>
        <w:pStyle w:val="Heading1"/>
        <w:pageBreakBefore/>
      </w:pPr>
      <w:r>
        <w:t>Days 15-45 - close and execute</w:t>
      </w:r>
    </w:p>
    <w:p>
      <w:pPr>
        <w:pStyle w:val="ListBullet"/>
        <w:spacing w:after="40"/>
      </w:pPr>
      <w:r>
        <w:t>Close three unrelated paying customers under substantially identical terms.</w:t>
      </w:r>
    </w:p>
    <w:p>
      <w:pPr>
        <w:pStyle w:val="ListBullet"/>
        <w:spacing w:after="40"/>
      </w:pPr>
      <w:r>
        <w:t>Collect 50% at signature, 30% at frozen Evidence Docket and 20% at defined acceptance or terminal decision.</w:t>
      </w:r>
    </w:p>
    <w:p>
      <w:pPr>
        <w:pStyle w:val="ListBullet"/>
        <w:spacing w:after="40"/>
      </w:pPr>
      <w:r>
        <w:t>Execute real AGI Jobs with observable tools, budgets, deadlines, evidence and recovery states.</w:t>
      </w:r>
    </w:p>
    <w:p>
      <w:pPr>
        <w:pStyle w:val="ListBullet"/>
        <w:spacing w:after="40"/>
      </w:pPr>
      <w:r>
        <w:t>Record every retry, failure, human intervention, external cost and unsupported claim.</w:t>
      </w:r>
    </w:p>
    <w:p>
      <w:pPr>
        <w:pStyle w:val="ListBullet"/>
        <w:spacing w:after="40"/>
      </w:pPr>
      <w:r>
        <w:t>Publish no customer claim before customer authorization and independent review.</w:t>
      </w:r>
    </w:p>
    <w:p>
      <w:pPr>
        <w:pStyle w:val="Heading1"/>
      </w:pPr>
      <w:r>
        <w:t>Days 46-75 - verify and productize</w:t>
      </w:r>
    </w:p>
    <w:p>
      <w:pPr>
        <w:pStyle w:val="ListBullet"/>
        <w:spacing w:after="40"/>
      </w:pPr>
      <w:r>
        <w:t>Deliver three Evidence Dockets and at least one independently reviewed verdict.</w:t>
      </w:r>
    </w:p>
    <w:p>
      <w:pPr>
        <w:pStyle w:val="ListBullet"/>
        <w:spacing w:after="40"/>
      </w:pPr>
      <w:r>
        <w:t>Identify one repeated method that qualifies as a candidate Validated Skill.</w:t>
      </w:r>
    </w:p>
    <w:p>
      <w:pPr>
        <w:pStyle w:val="ListBullet"/>
        <w:spacing w:after="40"/>
      </w:pPr>
      <w:r>
        <w:t>Freeze a fresh successor test before the candidate is permitted to influence the new mission.</w:t>
      </w:r>
    </w:p>
    <w:p>
      <w:pPr>
        <w:pStyle w:val="ListBullet"/>
        <w:spacing w:after="40"/>
      </w:pPr>
      <w:r>
        <w:t>Convert accepted customers into evidence-based Proof Office proposals.</w:t>
      </w:r>
    </w:p>
    <w:p>
      <w:pPr>
        <w:pStyle w:val="ListBullet"/>
        <w:spacing w:after="40"/>
      </w:pPr>
      <w:r>
        <w:t>Measure contribution margin, customer value, reviewer burden, replay and founder intervention.</w:t>
      </w:r>
    </w:p>
    <w:p>
      <w:pPr>
        <w:pStyle w:val="Heading1"/>
      </w:pPr>
      <w:r>
        <w:t>Days 76-90 - admit, repeat or stop</w:t>
      </w:r>
    </w:p>
    <w:p>
      <w:pPr>
        <w:pStyle w:val="ListBullet"/>
        <w:spacing w:after="40"/>
      </w:pPr>
      <w:r>
        <w:t>Issue Chronicle decisions: admit, condition, repair, reject, quarantine, supersede or retire.</w:t>
      </w:r>
    </w:p>
    <w:p>
      <w:pPr>
        <w:pStyle w:val="ListBullet"/>
        <w:spacing w:after="40"/>
      </w:pPr>
      <w:r>
        <w:t>Run the fresh Generation 2 comparison and independent review.</w:t>
      </w:r>
    </w:p>
    <w:p>
      <w:pPr>
        <w:pStyle w:val="ListBullet"/>
        <w:spacing w:after="40"/>
      </w:pPr>
      <w:r>
        <w:t>Activate at least one recurring Proof Office or repeat mission.</w:t>
      </w:r>
    </w:p>
    <w:p>
      <w:pPr>
        <w:pStyle w:val="ListBullet"/>
        <w:spacing w:after="40"/>
      </w:pPr>
      <w:r>
        <w:t>Publish one public-safe customer-authorized Proof Docket.</w:t>
      </w:r>
    </w:p>
    <w:p>
      <w:pPr>
        <w:pStyle w:val="ListBullet"/>
        <w:spacing w:after="40"/>
      </w:pPr>
      <w:r>
        <w:t>Authorize the next capital gate only if commercial, trust, capability and economics thresholds pass.</w:t>
      </w:r>
    </w:p>
    <w:p>
      <w:r>
        <w:br w:type="page"/>
      </w:r>
    </w:p>
    <w:p>
      <w:pPr>
        <w:pStyle w:val="Heading1"/>
      </w:pPr>
      <w:r>
        <w:t>Command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376"/>
            <w:shd w:fill="0E2B3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 Display" w:hAnsi="Inter Display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944"/>
            <w:shd w:fill="0E2B3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 Display" w:hAnsi="Inter Display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5184"/>
            <w:shd w:fill="0E2B3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 Display" w:hAnsi="Inter Display"/>
                <w:b/>
                <w:color w:val="FFFFFF"/>
                <w:sz w:val="16"/>
              </w:rPr>
              <w:t>Stop / repair condition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Paying customers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3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Fewer than 3 after 60 qualified accounts and 90 days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Mission repeatability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3 similar missions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Delivery remains materially bespoke or founder-dependent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Independent authority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At least 1 reviewed outcome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No separated reviewer route or incomplete evidence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Retention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At least 1 repeat / expansion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No customer continues after accepted delivery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Contribution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Positive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Variable cost, refund, support or claims burden destroys margin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Capability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At least 1 rights-cleared skill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No fresh transfer or rights block reuse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Successor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At least 1 measured improvement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No preregistered metric improves under equal or harder constraints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Trust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0 material breaches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6"/>
              </w:rPr>
              <w:t>Security, privacy, claim or authorization incident</w:t>
            </w:r>
          </w:p>
        </w:tc>
      </w:tr>
    </w:tbl>
    <w:p>
      <w:pPr>
        <w:spacing w:after="20"/>
      </w:pPr>
    </w:p>
    <w:p>
      <w:pPr>
        <w:pStyle w:val="Heading1"/>
      </w:pPr>
      <w:r>
        <w:t>Capital ceiling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6624"/>
            <w:shd w:fill="0E2B3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 Display" w:hAnsi="Inter Display"/>
                <w:b/>
                <w:color w:val="FFFFFF"/>
                <w:sz w:val="17"/>
              </w:rPr>
              <w:t>Use</w:t>
            </w:r>
          </w:p>
        </w:tc>
        <w:tc>
          <w:tcPr>
            <w:tcW w:type="dxa" w:w="2592"/>
            <w:shd w:fill="0E2B3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 Display" w:hAnsi="Inter Display"/>
                <w:b/>
                <w:color w:val="FFFFFF"/>
                <w:sz w:val="17"/>
              </w:rPr>
              <w:t>90-day ceiling</w:t>
            </w:r>
          </w:p>
        </w:tc>
      </w:tr>
      <w:tr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Product and autonomous commercial lane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$100,000</w:t>
            </w:r>
          </w:p>
        </w:tc>
      </w:tr>
      <w:tr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Evidence, evaluator and specialist operations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$50,000</w:t>
            </w:r>
          </w:p>
        </w:tc>
      </w:tr>
      <w:tr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Security, legal, privacy and contracts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$50,000</w:t>
            </w:r>
          </w:p>
        </w:tc>
      </w:tr>
      <w:tr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Category launch and qualified demand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$35,000</w:t>
            </w:r>
          </w:p>
        </w:tc>
      </w:tr>
      <w:tr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Contingency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1E0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$15,000</w:t>
            </w:r>
          </w:p>
        </w:tc>
      </w:tr>
      <w:tr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Total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FFF"/>
            <w:tcBorders>
              <w:bottom w:val="single" w:sz="4" w:color="D7DEE3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11111"/>
                <w:sz w:val="17"/>
              </w:rPr>
              <w:t>$250,000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35"/>
            <w:shd w:fill="F7F1E0"/>
            <w:tcBorders>
              <w:top w:val="single" w:sz="12" w:color="D6A13C"/>
              <w:left w:val="single" w:sz="12" w:color="D6A13C"/>
              <w:bottom w:val="single" w:sz="12" w:color="D6A13C"/>
              <w:right w:val="single" w:sz="12" w:color="D6A13C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Inter Display" w:hAnsi="Inter Display"/>
                <w:b/>
                <w:color w:val="D6A13C"/>
                <w:sz w:val="18"/>
              </w:rPr>
              <w:t>FINANCING LAW</w:t>
            </w:r>
          </w:p>
          <w:p>
            <w:pPr>
              <w:pStyle w:val="ExecutiveQuote"/>
            </w:pPr>
            <w:r>
              <w:t>No capital is released to the next stage merely because the architecture is attractive. Each tranche retires a distinct class of Proof Debt.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The final command</w:t>
      </w:r>
    </w:p>
    <w:p>
      <w:pPr>
        <w:pStyle w:val="ExecutiveQuote"/>
        <w:jc w:val="center"/>
      </w:pPr>
      <w:r>
        <w:t>Build the category now. Sell the bounded mission now. Publish the evidence. Compound only what passes.</w:t>
      </w:r>
    </w:p>
    <w:p>
      <w:pPr>
        <w:pStyle w:val="Heading1"/>
      </w:pPr>
      <w:r>
        <w:t>Selected sources and evidence boundary</w:t>
      </w:r>
    </w:p>
    <w:p>
      <w:pPr>
        <w:spacing w:after="160"/>
      </w:pPr>
      <w:r>
        <w:t>External sources establish the timing context. GoalOS pricing, revenue, ROI, financing, valuation and capacity scenarios are management hypotheses until verified by customer and operating evidence.</w:t>
      </w:r>
    </w:p>
    <w:p>
      <w:pPr>
        <w:pStyle w:val="ListBullet"/>
      </w:pPr>
      <w:hyperlink r:id="rId12">
        <w:r>
          <w:rPr>
            <w:color w:val="D6A13C"/>
            <w:u w:val="single"/>
          </w:rPr>
          <w:t>OpenAI - ChatGPT Work and workspace agents</w:t>
        </w:r>
      </w:hyperlink>
    </w:p>
    <w:p>
      <w:pPr>
        <w:pStyle w:val="ListBullet"/>
      </w:pPr>
      <w:hyperlink r:id="rId13">
        <w:r>
          <w:rPr>
            <w:color w:val="D6A13C"/>
            <w:u w:val="single"/>
          </w:rPr>
          <w:t>OpenAI - Agents SDK and long-running work</w:t>
        </w:r>
      </w:hyperlink>
    </w:p>
    <w:p>
      <w:pPr>
        <w:pStyle w:val="ListBullet"/>
      </w:pPr>
      <w:hyperlink r:id="rId14">
        <w:r>
          <w:rPr>
            <w:color w:val="D6A13C"/>
            <w:u w:val="single"/>
          </w:rPr>
          <w:t>METR - Task-Completion Time Horizons</w:t>
        </w:r>
      </w:hyperlink>
    </w:p>
    <w:p>
      <w:pPr>
        <w:pStyle w:val="ListBullet"/>
      </w:pPr>
      <w:hyperlink r:id="rId15">
        <w:r>
          <w:rPr>
            <w:color w:val="D6A13C"/>
            <w:u w:val="single"/>
          </w:rPr>
          <w:t>Google DeepMind - AlphaEvolve impact</w:t>
        </w:r>
      </w:hyperlink>
    </w:p>
    <w:p>
      <w:pPr>
        <w:pStyle w:val="ListBullet"/>
      </w:pPr>
      <w:hyperlink r:id="rId16">
        <w:r>
          <w:rPr>
            <w:color w:val="D6A13C"/>
            <w:u w:val="single"/>
          </w:rPr>
          <w:t>Google DeepMind - From AGI to ASI</w:t>
        </w:r>
      </w:hyperlink>
    </w:p>
    <w:p>
      <w:pPr>
        <w:pStyle w:val="ListBullet"/>
      </w:pPr>
      <w:hyperlink r:id="rId17">
        <w:r>
          <w:rPr>
            <w:color w:val="D6A13C"/>
            <w:u w:val="single"/>
          </w:rPr>
          <w:t>Anthropic Institute - Research agenda</w:t>
        </w:r>
      </w:hyperlink>
    </w:p>
    <w:p>
      <w:pPr>
        <w:pStyle w:val="ListBullet"/>
      </w:pPr>
      <w:hyperlink r:id="rId18">
        <w:r>
          <w:rPr>
            <w:color w:val="D6A13C"/>
            <w:u w:val="single"/>
          </w:rPr>
          <w:t>Gartner - Worldwide AI spending forecast</w:t>
        </w:r>
      </w:hyperlink>
    </w:p>
    <w:p>
      <w:pPr>
        <w:pStyle w:val="ListBullet"/>
      </w:pPr>
      <w:hyperlink r:id="rId19">
        <w:r>
          <w:rPr>
            <w:color w:val="D6A13C"/>
            <w:u w:val="single"/>
          </w:rPr>
          <w:t>Government of Canada - Sovereign AI supercomputing initiative</w:t>
        </w:r>
      </w:hyperlink>
    </w:p>
    <w:p>
      <w:pPr>
        <w:pStyle w:val="ListBullet"/>
      </w:pPr>
      <w:hyperlink r:id="rId20">
        <w:r>
          <w:rPr>
            <w:color w:val="D6A13C"/>
            <w:u w:val="single"/>
          </w:rPr>
          <w:t>MONTREAL.AI - Merkle Roots for the Validated Skill Graph</w:t>
        </w:r>
      </w:hyperlink>
    </w:p>
    <w:p>
      <w:pPr>
        <w:pStyle w:val="ListBullet"/>
      </w:pPr>
      <w:hyperlink r:id="rId21">
        <w:r>
          <w:rPr>
            <w:color w:val="D6A13C"/>
            <w:u w:val="single"/>
          </w:rPr>
          <w:t>MONTREAL.AI - Private On-Chain Validated Skill Graph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35"/>
            <w:shd w:fill="EAF0F3"/>
            <w:tcBorders>
              <w:top w:val="single" w:sz="12" w:color="0E2B3B"/>
              <w:left w:val="single" w:sz="12" w:color="0E2B3B"/>
              <w:bottom w:val="single" w:sz="12" w:color="0E2B3B"/>
              <w:right w:val="single" w:sz="12" w:color="0E2B3B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Inter Display" w:hAnsi="Inter Display"/>
                <w:b/>
                <w:color w:val="D6A13C"/>
                <w:sz w:val="18"/>
              </w:rPr>
              <w:t>CLAIM BOUNDARY</w:t>
            </w:r>
          </w:p>
          <w:p>
            <w:pPr>
              <w:pStyle w:val="ExecutiveQuote"/>
            </w:pPr>
            <w:r>
              <w:t>This document does not claim achieved general intelligence, unrestricted recursive improvement, guaranteed customer outcomes, legal certification, audited forecasts, or a present enterprise valuation. The governing doctrine is maximum ambition with minimum unsupported claim.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Caps"/>
      <w:jc w:val="right"/>
    </w:pPr>
    <w:r>
      <w:t>SOVEREIGN PRODUCTIVE INTELLIGENCE  |  20 JULY 2026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Caps"/>
      <w:jc w:val="left"/>
    </w:pPr>
    <w:r>
      <w:t>MONTREAL.AI  /  GOALOS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Inter" w:hAnsi="Inter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20" w:after="120"/>
      <w:outlineLvl w:val="0"/>
    </w:pPr>
    <w:rPr>
      <w:rFonts w:asciiTheme="majorHAnsi" w:eastAsiaTheme="majorEastAsia" w:hAnsiTheme="majorHAnsi" w:cstheme="majorBidi" w:ascii="EB Garamond" w:hAnsi="EB Garamond"/>
      <w:b/>
      <w:bCs/>
      <w:color w:val="061522"/>
      <w:sz w:val="5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EB Garamond" w:hAnsi="EB Garamond"/>
      <w:b/>
      <w:bCs/>
      <w:color w:val="0E2B3B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D6A1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EB Garamond" w:hAnsi="EB Garamond"/>
      <w:b/>
      <w:color w:val="F5D578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20" w:after="120"/>
    </w:pPr>
    <w:rPr>
      <w:rFonts w:asciiTheme="majorHAnsi" w:eastAsiaTheme="majorEastAsia" w:hAnsiTheme="majorHAnsi" w:cstheme="majorBidi" w:ascii="Inter Display" w:hAnsi="Inter Display"/>
      <w:b/>
      <w:i/>
      <w:iCs/>
      <w:color w:val="F7F1E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Quote">
    <w:name w:val="Executive Quote"/>
    <w:pPr>
      <w:spacing w:before="160" w:after="160"/>
      <w:ind w:left="259" w:right="259"/>
    </w:pPr>
    <w:rPr>
      <w:rFonts w:ascii="EB Garamond" w:hAnsi="EB Garamond"/>
      <w:b/>
      <w:color w:val="061522"/>
      <w:sz w:val="34"/>
    </w:rPr>
  </w:style>
  <w:style w:type="paragraph" w:customStyle="1" w:styleId="SmallCaps">
    <w:name w:val="Small Caps"/>
    <w:pPr>
      <w:spacing w:after="80"/>
    </w:pPr>
    <w:rPr>
      <w:rFonts w:ascii="Inter Display" w:hAnsi="Inter Display"/>
      <w:b/>
      <w:color w:val="D6A13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help.openai.com/en/articles/10128477-chatgpt-enterprise-edu-release-notes" TargetMode="External"/><Relationship Id="rId13" Type="http://schemas.openxmlformats.org/officeDocument/2006/relationships/hyperlink" Target="https://openai.com/index/the-next-evolution-of-the-agents-sdk/" TargetMode="External"/><Relationship Id="rId14" Type="http://schemas.openxmlformats.org/officeDocument/2006/relationships/hyperlink" Target="https://metr.org/time-horizons/" TargetMode="External"/><Relationship Id="rId15" Type="http://schemas.openxmlformats.org/officeDocument/2006/relationships/hyperlink" Target="https://deepmind.google/blog/alphaevolve-impact/" TargetMode="External"/><Relationship Id="rId16" Type="http://schemas.openxmlformats.org/officeDocument/2006/relationships/hyperlink" Target="https://deepmind.google/research/publications/239142/" TargetMode="External"/><Relationship Id="rId17" Type="http://schemas.openxmlformats.org/officeDocument/2006/relationships/hyperlink" Target="https://www.anthropic.com/research/anthropic-institute-agenda" TargetMode="External"/><Relationship Id="rId18" Type="http://schemas.openxmlformats.org/officeDocument/2006/relationships/hyperlink" Target="https://www.gartner.com/en/newsroom/press-releases/2026-05-19-gartner-forecasts-worldwide-ai-spending-to-grow-47-percent-in-2026" TargetMode="External"/><Relationship Id="rId19" Type="http://schemas.openxmlformats.org/officeDocument/2006/relationships/hyperlink" Target="https://www.canada.ca/en/innovation-science-economic-development/news/2026/04/canada-launches-national-initiative-to-build-large-scale-ai-supercomputing-capacity.html" TargetMode="External"/><Relationship Id="rId20" Type="http://schemas.openxmlformats.org/officeDocument/2006/relationships/hyperlink" Target="https://github.com/MontrealAI/goalos-agialpha-sovereign-machine-economy/blob/main/docs/paper/Merkle_Roots_for_the_Validated_Skill_Graph_v114.pdf" TargetMode="External"/><Relationship Id="rId21" Type="http://schemas.openxmlformats.org/officeDocument/2006/relationships/hyperlink" Target="https://github.com/MontrealAI/goalos-agialpha-sovereign-machine-economy/blob/main/docs/paper/goalos_private_onchain_zk_vs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GoalOS Commercial Proof Run 001 - 90 Day Command</dc:title>
  <dc:subject>Execution plan for the first commercial proof run</dc:subject>
  <dc:creator>MONTREAL.AI</dc:creator>
  <cp:keywords>GoalOS, MONTREAL.AI, proof, institutional capability, productive capacity</cp:keywords>
  <dc:description>Publication-ready strategic document. Financials are management hypotheses.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