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B78324"/>
          <w:sz w:val="22"/>
        </w:rPr>
        <w:t>MONTREAL.AI RESEARCH  ◇  GOALOS PARTNER SERIES</w:t>
      </w:r>
    </w:p>
    <w:p/>
    <w:p>
      <w:pPr>
        <w:jc w:val="center"/>
      </w:pPr>
      <w:r>
        <w:rPr>
          <w:rFonts w:ascii="Georgia" w:hAnsi="Georgia"/>
          <w:b/>
          <w:color w:val="0B1D33"/>
          <w:sz w:val="68"/>
        </w:rPr>
        <w:t>GoalOS Partner</w:t>
        <w:br/>
        <w:t>MASTERCLASS</w:t>
      </w:r>
    </w:p>
    <w:p>
      <w:pPr>
        <w:jc w:val="center"/>
      </w:pPr>
      <w:r>
        <w:rPr>
          <w:rFonts w:ascii="Georgia" w:hAnsi="Georgia"/>
          <w:i/>
          <w:color w:val="285E85"/>
          <w:sz w:val="32"/>
        </w:rPr>
        <w:t>Sovereign Edition</w:t>
      </w:r>
    </w:p>
    <w:p>
      <w:pPr>
        <w:jc w:val="center"/>
      </w:pPr>
      <w:r>
        <w:rPr>
          <w:rFonts w:ascii="Georgia" w:hAnsi="Georgia"/>
          <w:i/>
          <w:color w:val="0B1D33"/>
          <w:sz w:val="28"/>
        </w:rPr>
        <w:t>The institution that makes intelligence earn authority</w:t>
      </w:r>
    </w:p>
    <w:p/>
    <w:p/>
    <w:p>
      <w:pPr>
        <w:jc w:val="center"/>
      </w:pPr>
      <w:r>
        <w:rPr>
          <w:rFonts w:ascii="Georgia" w:hAnsi="Georgia"/>
          <w:b/>
          <w:color w:val="0B1D33"/>
          <w:sz w:val="26"/>
        </w:rPr>
        <w:t>Vincent Boucher</w:t>
      </w:r>
    </w:p>
    <w:p>
      <w:pPr>
        <w:jc w:val="center"/>
      </w:pPr>
      <w:r>
        <w:rPr>
          <w:rFonts w:ascii="Arial" w:hAnsi="Arial"/>
          <w:color w:val="68798E"/>
          <w:sz w:val="20"/>
        </w:rPr>
        <w:t>President, QUEBEC.AI &amp; MONTREAL.AI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B7832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CORE EMPIRICAL LAW</w:t>
            </w:r>
          </w:p>
        </w:tc>
      </w:tr>
      <w:tr>
        <w:tc>
          <w:tcPr>
            <w:tcW w:type="dxa" w:w="10166"/>
            <w:shd w:fill="FFF7E4"/>
            <w:tcBorders>
              <w:top w:val="single" w:sz="6" w:color="B78324"/>
              <w:left w:val="single" w:sz="6" w:color="B78324"/>
              <w:right w:val="single" w:sz="6" w:color="B78324"/>
              <w:bottom w:val="single" w:sz="6" w:color="B78324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Mission 1 must not merely be remembered. It must earn the right to make Mission 2 measurably better under equal constraints.</w:t>
            </w:r>
          </w:p>
        </w:tc>
      </w:tr>
    </w:tbl>
    <w:p/>
    <w:p>
      <w:pPr>
        <w:jc w:val="center"/>
      </w:pPr>
      <w:r>
        <w:rPr>
          <w:rFonts w:ascii="Georgia" w:hAnsi="Georgia"/>
          <w:i/>
          <w:color w:val="B78324"/>
          <w:sz w:val="22"/>
        </w:rPr>
        <w:t>AI creates output. GoalOS creates proof.</w:t>
      </w:r>
    </w:p>
    <w:p>
      <w:r>
        <w:br w:type="page"/>
      </w:r>
    </w:p>
    <w:p>
      <w:pPr>
        <w:pStyle w:val="Heading1"/>
      </w:pPr>
      <w:r>
        <w:t>Executive Thesis</w:t>
      </w:r>
    </w:p>
    <w:p>
      <w:pPr/>
      <w:r>
        <w:t>AI capability is becoming abundant. Institutional permission to rely on it is not. GoalOS is the proof-to-capability operating layer that determines which autonomous work may become trusted, paid, remembered, reused, challenged, revoked, or permitted to improve future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INSTITUTIONAL DISTINCTION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A prompt asks a model to answer. A proof loop decides what must be proven before the answer can matter.</w:t>
            </w:r>
          </w:p>
        </w:tc>
      </w:tr>
    </w:tbl>
    <w:p/>
    <w:p>
      <w:pPr/>
      <w:r>
        <w:t>The canonical loop is:</w:t>
      </w:r>
    </w:p>
    <w:p>
      <w:pPr>
        <w:jc w:val="center"/>
      </w:pPr>
      <w:r>
        <w:rPr>
          <w:rFonts w:ascii="Arial" w:hAnsi="Arial"/>
          <w:b/>
          <w:color w:val="0B1D33"/>
          <w:sz w:val="18"/>
        </w:rPr>
        <w:t>Objective → Mission Contract → Proof Debt → AGI Jobs → ProofBundles → Evidence Docket → AGI Node Validation → Chronicle → Validated Skill → Merkle Graph Root → Mission 2</w:t>
      </w:r>
    </w:p>
    <w:p>
      <w:pPr/>
      <w:r>
        <w:t>The flagship deliverable is a Governed Decision State: not another static report, but an inspectable, challengeable, rollback-ready state containing evidence, validation, risk, action, memory, and reusable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Partner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Primary value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Recommended entry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Executive / Board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Decision readiness and defensibility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Proof Mission Sprint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Chief AI / Technology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Governed capability transfer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Enterprise Proof OS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Research / Frontier Lab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Reproduced research advantage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RSI Evidence Docket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Risk / Assurance / Legal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Evidence, responsibility, rollback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Validation Council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Infrastructure / Cloud / Data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Trusted execution and replay capacity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AGI Node Council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Strategic Capital / Ecosystem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Verified-work throughput and reusable capability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Cross-Institution Proof Network</w:t>
            </w:r>
          </w:p>
        </w:tc>
      </w:tr>
    </w:tbl>
    <w:p/>
    <w:p>
      <w:pPr>
        <w:pStyle w:val="Heading1"/>
      </w:pPr>
      <w:r>
        <w:t>The 18-Module Institution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00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Partner Orientation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Choose role, pace, organization, and consequential objective.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01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The Category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Place GoalOS above models and agents as the authority layer.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02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Mission OS Studio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Freeze objective, proof level, risk, privacy, validators, blocked claims, rollback.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03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Proof Factory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Convert unsupported claims into Proof Debt and custom AGI Jobs.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04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Evidence Docket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Make work, failures, sources, replay, risks, and blocked claims inspectable.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05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AGI Node Validation Council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Use independent commit-reveal validation and correlation detection.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06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Chronicle &amp; Validated Skill Graph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Admit only scoped, evidenced, replayable, versioned, rollbackable capability.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07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Merkle, Privacy &amp; ZK Proof Room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Commit exact state without plaintext private intelligence; revoke on tamper.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08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Bonded Authority Economy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Secure payment, trust, challenge, reuse, nodes, and upgrades with capital at risk.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09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RSI Sovereign Invention Lab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Run recursive improvement through baseline, evidence, stress, persistence, and rollback.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10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Move-37 Breakthrough Control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Apply higher skepticism to high-novelty candidates.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11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The Decisive Mission 1 → Mission 2 Test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Compare fresh, raw-memory, validated-skill, and ungated-memory arms.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12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REAL-001 Evidence Room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Inspect a consequential public GitHub maintenance transfer case.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13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Business Value &amp; Proof Economics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Model Proof Debt exposure, cycle-time release, loss reduction, and reuse.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14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Partner Architecture Mapper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Map GoalOS into enterprise, research, infrastructure, assurance, or capital stacks.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15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30-Day Pilot Architect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Generate a partner-specific charter and Mission 2 metric.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16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Trust, Due Diligence &amp; Claim Boundary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Separate evidence, simulations, pending gates, and prohibited overclaims.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17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Executive Close &amp; Partnership Dossier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Generate the brief, completion record, certificate, and next step.</w:t>
            </w:r>
          </w:p>
        </w:tc>
      </w:tr>
    </w:tbl>
    <w:p/>
    <w:p>
      <w:r>
        <w:br w:type="page"/>
      </w:r>
    </w:p>
    <w:p>
      <w:pPr>
        <w:pStyle w:val="Heading1"/>
      </w:pPr>
      <w:r>
        <w:t>00 Partner Orientation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Personalize the experience</w:t>
            </w:r>
          </w:p>
        </w:tc>
      </w:tr>
    </w:tbl>
    <w:p/>
    <w:p>
      <w:pPr>
        <w:ind w:left="259" w:hanging="230"/>
      </w:pPr>
      <w:r>
        <w:t>• Choose the authority problem, not merely the technology category.</w:t>
      </w:r>
    </w:p>
    <w:p>
      <w:pPr>
        <w:ind w:left="259" w:hanging="230"/>
      </w:pPr>
      <w:r>
        <w:t>• Select the proof burden and partner perspective.</w:t>
      </w:r>
    </w:p>
    <w:p>
      <w:pPr>
        <w:ind w:left="259" w:hanging="230"/>
      </w:pPr>
      <w:r>
        <w:t>• Define the consequential objective and executive sponsor.</w:t>
      </w:r>
    </w:p>
    <w:p>
      <w:pPr/>
      <w:r>
        <w:rPr>
          <w:b/>
        </w:rPr>
        <w:t>Output:</w:t>
      </w:r>
      <w:r>
        <w:t xml:space="preserve"> role-adaptive thesis and recommended pathway.</w:t>
      </w:r>
    </w:p>
    <w:p>
      <w:pPr>
        <w:pStyle w:val="Heading1"/>
      </w:pPr>
      <w:r>
        <w:t>01 The Category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Separate capability from authority</w:t>
            </w:r>
          </w:p>
        </w:tc>
      </w:tr>
    </w:tbl>
    <w:p/>
    <w:p>
      <w:pPr>
        <w:ind w:left="259" w:hanging="230"/>
      </w:pPr>
      <w:r>
        <w:t>• Models produce candidate output.</w:t>
      </w:r>
    </w:p>
    <w:p>
      <w:pPr>
        <w:ind w:left="259" w:hanging="230"/>
      </w:pPr>
      <w:r>
        <w:t>• Agents perform bounded action.</w:t>
      </w:r>
    </w:p>
    <w:p>
      <w:pPr>
        <w:ind w:left="259" w:hanging="230"/>
      </w:pPr>
      <w:r>
        <w:t>• GoalOS grants earned authority through proof, validation, memory, settlement, challenge, and rollback.</w:t>
      </w:r>
    </w:p>
    <w:p>
      <w:pPr/>
      <w:r>
        <w:rPr>
          <w:b/>
        </w:rPr>
        <w:t>Output:</w:t>
      </w:r>
      <w:r>
        <w:t xml:space="preserve"> category map and partner positioning.</w:t>
      </w:r>
    </w:p>
    <w:p>
      <w:r>
        <w:br w:type="page"/>
      </w:r>
    </w:p>
    <w:p>
      <w:pPr>
        <w:pStyle w:val="Heading1"/>
      </w:pPr>
      <w:r>
        <w:t>02 Mission OS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Freeze the institutional boundary</w:t>
            </w:r>
          </w:p>
        </w:tc>
      </w:tr>
    </w:tbl>
    <w:p/>
    <w:p>
      <w:pPr>
        <w:ind w:left="259" w:hanging="230"/>
      </w:pPr>
      <w:r>
        <w:t>• Objective and decision to support.</w:t>
      </w:r>
    </w:p>
    <w:p>
      <w:pPr>
        <w:ind w:left="259" w:hanging="230"/>
      </w:pPr>
      <w:r>
        <w:t>• Proof level, risk class, privacy mode, and validators.</w:t>
      </w:r>
    </w:p>
    <w:p>
      <w:pPr>
        <w:ind w:left="259" w:hanging="230"/>
      </w:pPr>
      <w:r>
        <w:t>• Success, failure, blocked claims, done condition, and rollback.</w:t>
      </w:r>
    </w:p>
    <w:p>
      <w:pPr/>
      <w:r>
        <w:rPr>
          <w:b/>
        </w:rPr>
        <w:t>Output:</w:t>
      </w:r>
      <w:r>
        <w:t xml:space="preserve"> signed or hashed Mission Contract.</w:t>
      </w:r>
    </w:p>
    <w:p>
      <w:pPr>
        <w:pStyle w:val="Heading1"/>
      </w:pPr>
      <w:r>
        <w:t>03 Proof Factory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Turn uncertainty into work</w:t>
            </w:r>
          </w:p>
        </w:tc>
      </w:tr>
    </w:tbl>
    <w:p/>
    <w:p>
      <w:pPr>
        <w:ind w:left="259" w:hanging="230"/>
      </w:pPr>
      <w:r>
        <w:t>• Extract high-impact unsupported claims.</w:t>
      </w:r>
    </w:p>
    <w:p>
      <w:pPr>
        <w:ind w:left="259" w:hanging="230"/>
      </w:pPr>
      <w:r>
        <w:t>• Create only mission-specific proof contracts.</w:t>
      </w:r>
    </w:p>
    <w:p>
      <w:pPr>
        <w:ind w:left="259" w:hanging="230"/>
      </w:pPr>
      <w:r>
        <w:t>• Give every job a worker, validator, sentinel, deliverables, acceptance tests, blocked claims, and return path.</w:t>
      </w:r>
    </w:p>
    <w:p>
      <w:pPr/>
      <w:r>
        <w:rPr>
          <w:b/>
        </w:rPr>
        <w:t>Output:</w:t>
      </w:r>
      <w:r>
        <w:t xml:space="preserve"> Proof Debt Register and AGI Job Manifest.</w:t>
      </w:r>
    </w:p>
    <w:p>
      <w:r>
        <w:br w:type="page"/>
      </w:r>
    </w:p>
    <w:p>
      <w:pPr>
        <w:pStyle w:val="Heading1"/>
      </w:pPr>
      <w:r>
        <w:t>04 Evidence Docket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Create the proof room</w:t>
            </w:r>
          </w:p>
        </w:tc>
      </w:tr>
    </w:tbl>
    <w:p/>
    <w:p>
      <w:pPr>
        <w:ind w:left="259" w:hanging="230"/>
      </w:pPr>
      <w:r>
        <w:t>• Tie claims to primary evidence, ProofBundles, contradictions, cost, risk, and replay.</w:t>
      </w:r>
    </w:p>
    <w:p>
      <w:pPr>
        <w:ind w:left="259" w:hanging="230"/>
      </w:pPr>
      <w:r>
        <w:t>• Preserve failures and negative evidence.</w:t>
      </w:r>
    </w:p>
    <w:p>
      <w:pPr>
        <w:ind w:left="259" w:hanging="230"/>
      </w:pPr>
      <w:r>
        <w:t>• Make blocked claims and uncertainty visible.</w:t>
      </w:r>
    </w:p>
    <w:p>
      <w:pPr/>
      <w:r>
        <w:rPr>
          <w:b/>
        </w:rPr>
        <w:t>Output:</w:t>
      </w:r>
      <w:r>
        <w:t xml:space="preserve"> public-safe Evidence Docket.</w:t>
      </w:r>
    </w:p>
    <w:p>
      <w:pPr>
        <w:pStyle w:val="Heading1"/>
      </w:pPr>
      <w:r>
        <w:t>05 AGI Node Validation Council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Make validation effectively independent</w:t>
            </w:r>
          </w:p>
        </w:tc>
      </w:tr>
    </w:tbl>
    <w:p/>
    <w:p>
      <w:pPr>
        <w:ind w:left="259" w:hanging="230"/>
      </w:pPr>
      <w:r>
        <w:t>• Direct validator identities and separate signing keys.</w:t>
      </w:r>
    </w:p>
    <w:p>
      <w:pPr>
        <w:ind w:left="259" w:hanging="230"/>
      </w:pPr>
      <w:r>
        <w:t>• Commit-reveal to reduce copying and strategic voting.</w:t>
      </w:r>
    </w:p>
    <w:p>
      <w:pPr>
        <w:ind w:left="259" w:hanging="230"/>
      </w:pPr>
      <w:r>
        <w:t>• Diversity across operator, model, cloud, region, jurisdiction, and wallet control.</w:t>
      </w:r>
    </w:p>
    <w:p>
      <w:pPr/>
      <w:r>
        <w:rPr>
          <w:b/>
        </w:rPr>
        <w:t>Output:</w:t>
      </w:r>
      <w:r>
        <w:t xml:space="preserve"> signed validator record and independence assessment.</w:t>
      </w:r>
    </w:p>
    <w:p>
      <w:r>
        <w:br w:type="page"/>
      </w:r>
    </w:p>
    <w:p>
      <w:pPr>
        <w:pStyle w:val="Heading1"/>
      </w:pPr>
      <w:r>
        <w:t>06 Chronicle &amp; VSG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Convert evidence into bounded memory</w:t>
            </w:r>
          </w:p>
        </w:tc>
      </w:tr>
    </w:tbl>
    <w:p/>
    <w:p>
      <w:pPr>
        <w:ind w:left="259" w:hanging="230"/>
      </w:pPr>
      <w:r>
        <w:t>• Chronicle admits, narrows, repairs, rejects, quarantines, supersedes, revokes, or retires.</w:t>
      </w:r>
    </w:p>
    <w:p>
      <w:pPr>
        <w:ind w:left="259" w:hanging="230"/>
      </w:pPr>
      <w:r>
        <w:t>• Validated Skills preserve scope, method, evidence, tests, validators, risk, freshness, utility, lineage, and rollback.</w:t>
      </w:r>
    </w:p>
    <w:p>
      <w:pPr/>
      <w:r>
        <w:rPr>
          <w:b/>
        </w:rPr>
        <w:t>Output:</w:t>
      </w:r>
      <w:r>
        <w:t xml:space="preserve"> Chronicle decision and Skill Passport.</w:t>
      </w:r>
    </w:p>
    <w:p>
      <w:pPr>
        <w:pStyle w:val="Heading1"/>
      </w:pPr>
      <w:r>
        <w:t>07 Merkle, Privacy &amp; ZK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Commit exact state without exposing private intelligence</w:t>
            </w:r>
          </w:p>
        </w:tc>
      </w:tr>
    </w:tbl>
    <w:p/>
    <w:p>
      <w:pPr>
        <w:ind w:left="259" w:hanging="230"/>
      </w:pPr>
      <w:r>
        <w:t>• Typed roots for skills, evidence, bundles, policies, attestations, and lineage.</w:t>
      </w:r>
    </w:p>
    <w:p>
      <w:pPr>
        <w:ind w:left="259" w:hanging="230"/>
      </w:pPr>
      <w:r>
        <w:t>• Encrypted or off-chain private methods.</w:t>
      </w:r>
    </w:p>
    <w:p>
      <w:pPr>
        <w:ind w:left="259" w:hanging="230"/>
      </w:pPr>
      <w:r>
        <w:t>• Root mismatch immediately revokes inherited authority.</w:t>
      </w:r>
    </w:p>
    <w:p>
      <w:pPr/>
      <w:r>
        <w:rPr>
          <w:b/>
        </w:rPr>
        <w:t>Output:</w:t>
      </w:r>
      <w:r>
        <w:t xml:space="preserve"> graph epoch root and tamper demonstration.</w:t>
      </w:r>
    </w:p>
    <w:p>
      <w:r>
        <w:br w:type="page"/>
      </w:r>
    </w:p>
    <w:p>
      <w:pPr>
        <w:pStyle w:val="Heading1"/>
      </w:pPr>
      <w:r>
        <w:t>08 Bonded Authority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Make consequence economically accountable</w:t>
            </w:r>
          </w:p>
        </w:tc>
      </w:tr>
    </w:tbl>
    <w:p/>
    <w:p>
      <w:pPr>
        <w:ind w:left="259" w:hanging="230"/>
      </w:pPr>
      <w:r>
        <w:t>• Worker, validator, claim, challenger, reuse, node, proposal, canary, and rollback bonds.</w:t>
      </w:r>
    </w:p>
    <w:p>
      <w:pPr>
        <w:ind w:left="259" w:hanging="230"/>
      </w:pPr>
      <w:r>
        <w:t>• No bond, no authority transition.</w:t>
      </w:r>
    </w:p>
    <w:p>
      <w:pPr>
        <w:ind w:left="259" w:hanging="230"/>
      </w:pPr>
      <w:r>
        <w:t>• Customer token interaction can remain hidden behind professional protocol security.</w:t>
      </w:r>
    </w:p>
    <w:p>
      <w:pPr/>
      <w:r>
        <w:rPr>
          <w:b/>
        </w:rPr>
        <w:t>Output:</w:t>
      </w:r>
      <w:r>
        <w:t xml:space="preserve"> illustrative bond ledger and settlement gate.</w:t>
      </w:r>
    </w:p>
    <w:p>
      <w:pPr>
        <w:pStyle w:val="Heading1"/>
      </w:pPr>
      <w:r>
        <w:t>09 RSI Sovereign Invention 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Govern recursive improvement</w:t>
            </w:r>
          </w:p>
        </w:tc>
      </w:tr>
    </w:tbl>
    <w:p/>
    <w:p>
      <w:pPr>
        <w:ind w:left="259" w:hanging="230"/>
      </w:pPr>
      <w:r>
        <w:t>• TARGET → EMIT → FILTER → ATLAS → TEST-PLAN → EVAL → INSERT → PROMOTE.</w:t>
      </w:r>
    </w:p>
    <w:p>
      <w:pPr>
        <w:ind w:left="259" w:hanging="230"/>
      </w:pPr>
      <w:r>
        <w:t>• Temperature-zero manifests, schema validation, baselines, append-only ledgers.</w:t>
      </w:r>
    </w:p>
    <w:p>
      <w:pPr>
        <w:ind w:left="259" w:hanging="230"/>
      </w:pPr>
      <w:r>
        <w:t>• Search allocates exploration; mechanical gates decide promotion.</w:t>
      </w:r>
    </w:p>
    <w:p>
      <w:pPr/>
      <w:r>
        <w:rPr>
          <w:b/>
        </w:rPr>
        <w:t>Output:</w:t>
      </w:r>
      <w:r>
        <w:t xml:space="preserve"> replayable RSI state and decision.</w:t>
      </w:r>
    </w:p>
    <w:p>
      <w:r>
        <w:br w:type="page"/>
      </w:r>
    </w:p>
    <w:p>
      <w:pPr>
        <w:pStyle w:val="Heading1"/>
      </w:pPr>
      <w:r>
        <w:t>10 Move-37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Treat novelty as a reason for more skepticism</w:t>
            </w:r>
          </w:p>
        </w:tc>
      </w:tr>
    </w:tbl>
    <w:p/>
    <w:p>
      <w:pPr>
        <w:ind w:left="259" w:hanging="230"/>
      </w:pPr>
      <w:r>
        <w:t>• Recognize thresholds and evidence contact.</w:t>
      </w:r>
    </w:p>
    <w:p>
      <w:pPr>
        <w:ind w:left="259" w:hanging="230"/>
      </w:pPr>
      <w:r>
        <w:t>• Reproduce with fixed seeds and baseline.</w:t>
      </w:r>
    </w:p>
    <w:p>
      <w:pPr>
        <w:ind w:left="259" w:hanging="230"/>
      </w:pPr>
      <w:r>
        <w:t>• Stress under policy shocks.</w:t>
      </w:r>
    </w:p>
    <w:p>
      <w:pPr>
        <w:ind w:left="259" w:hanging="230"/>
      </w:pPr>
      <w:r>
        <w:t>• Require persistence and package a dossier.</w:t>
      </w:r>
    </w:p>
    <w:p>
      <w:pPr/>
      <w:r>
        <w:rPr>
          <w:b/>
        </w:rPr>
        <w:t>Output:</w:t>
      </w:r>
      <w:r>
        <w:t xml:space="preserve"> breakthrough-admission dossier or hold.</w:t>
      </w:r>
    </w:p>
    <w:p>
      <w:pPr>
        <w:pStyle w:val="Heading1"/>
      </w:pPr>
      <w:r>
        <w:t>11 Decisive Transfer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Measure compounding rather than memory</w:t>
            </w:r>
          </w:p>
        </w:tc>
      </w:tr>
    </w:tbl>
    <w:p/>
    <w:p>
      <w:pPr>
        <w:ind w:left="259" w:hanging="230"/>
      </w:pPr>
      <w:r>
        <w:t>• Fresh control, raw memory, Validated Skill, and ungated candidate.</w:t>
      </w:r>
    </w:p>
    <w:p>
      <w:pPr>
        <w:ind w:left="259" w:hanging="230"/>
      </w:pPr>
      <w:r>
        <w:t>• Same model, tools, time, compute, evaluator, stopping rule, and prior budget.</w:t>
      </w:r>
    </w:p>
    <w:p>
      <w:pPr>
        <w:ind w:left="259" w:hanging="230"/>
      </w:pPr>
      <w:r>
        <w:t>• Fresh held-out work.</w:t>
      </w:r>
    </w:p>
    <w:p>
      <w:pPr/>
      <w:r>
        <w:rPr>
          <w:b/>
        </w:rPr>
        <w:t>Output:</w:t>
      </w:r>
      <w:r>
        <w:t xml:space="preserve"> Mission 2 capability-transfer report.</w:t>
      </w:r>
    </w:p>
    <w:p>
      <w:r>
        <w:br w:type="page"/>
      </w:r>
    </w:p>
    <w:p>
      <w:pPr>
        <w:pStyle w:val="Heading1"/>
      </w:pPr>
      <w:r>
        <w:t>12 REAL-001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Inspect a consequential real-task mechanism</w:t>
            </w:r>
          </w:p>
        </w:tc>
      </w:tr>
    </w:tbl>
    <w:p/>
    <w:p>
      <w:pPr>
        <w:ind w:left="259" w:hanging="230"/>
      </w:pPr>
      <w:r>
        <w:t>• Validated Skill score 98.57; fresh and raw 92.86; ungated candidate -15.00.</w:t>
      </w:r>
    </w:p>
    <w:p>
      <w:pPr>
        <w:ind w:left="259" w:hanging="230"/>
      </w:pPr>
      <w:r>
        <w:t>• Correct safe decision: controlled migration required.</w:t>
      </w:r>
    </w:p>
    <w:p>
      <w:pPr>
        <w:ind w:left="259" w:hanging="230"/>
      </w:pPr>
      <w:r>
        <w:t>• First-party reconstruction passed; independent external replay remains pending.</w:t>
      </w:r>
    </w:p>
    <w:p>
      <w:pPr/>
      <w:r>
        <w:rPr>
          <w:b/>
        </w:rPr>
        <w:t>Output:</w:t>
      </w:r>
      <w:r>
        <w:t xml:space="preserve"> Proof Pack, Evidence Docket, replay receipt, and workflows.</w:t>
      </w:r>
    </w:p>
    <w:p>
      <w:pPr>
        <w:pStyle w:val="Heading1"/>
      </w:pPr>
      <w:r>
        <w:t>13 Business Value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Translate proof into enterprise value</w:t>
            </w:r>
          </w:p>
        </w:tc>
      </w:tr>
    </w:tbl>
    <w:p/>
    <w:p>
      <w:pPr>
        <w:ind w:left="259" w:hanging="230"/>
      </w:pPr>
      <w:r>
        <w:t>• Proof Debt exposure.</w:t>
      </w:r>
    </w:p>
    <w:p>
      <w:pPr>
        <w:ind w:left="259" w:hanging="230"/>
      </w:pPr>
      <w:r>
        <w:t>• Expected loss reduction.</w:t>
      </w:r>
    </w:p>
    <w:p>
      <w:pPr>
        <w:ind w:left="259" w:hanging="230"/>
      </w:pPr>
      <w:r>
        <w:t>• Decision-cycle days released.</w:t>
      </w:r>
    </w:p>
    <w:p>
      <w:pPr>
        <w:ind w:left="259" w:hanging="230"/>
      </w:pPr>
      <w:r>
        <w:t>• Missions receiving reusable capability.</w:t>
      </w:r>
    </w:p>
    <w:p>
      <w:pPr/>
      <w:r>
        <w:rPr>
          <w:b/>
        </w:rPr>
        <w:t>Output:</w:t>
      </w:r>
      <w:r>
        <w:t xml:space="preserve"> claim-bounded scenario model.</w:t>
      </w:r>
    </w:p>
    <w:p>
      <w:r>
        <w:br w:type="page"/>
      </w:r>
    </w:p>
    <w:p>
      <w:pPr>
        <w:pStyle w:val="Heading1"/>
      </w:pPr>
      <w:r>
        <w:t>14 Partner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Map into existing systems</w:t>
            </w:r>
          </w:p>
        </w:tc>
      </w:tr>
    </w:tbl>
    <w:p/>
    <w:p>
      <w:pPr>
        <w:ind w:left="259" w:hanging="230"/>
      </w:pPr>
      <w:r>
        <w:t>• Existing models and agents remain workers.</w:t>
      </w:r>
    </w:p>
    <w:p>
      <w:pPr>
        <w:ind w:left="259" w:hanging="230"/>
      </w:pPr>
      <w:r>
        <w:t>• GoalOS freezes authority, evidence, validation, memory, and commitment.</w:t>
      </w:r>
    </w:p>
    <w:p>
      <w:pPr>
        <w:ind w:left="259" w:hanging="230"/>
      </w:pPr>
      <w:r>
        <w:t>• Partner pathways differ for enterprise, research, infrastructure, assurance, validators, and capital.</w:t>
      </w:r>
    </w:p>
    <w:p>
      <w:pPr/>
      <w:r>
        <w:rPr>
          <w:b/>
        </w:rPr>
        <w:t>Output:</w:t>
      </w:r>
      <w:r>
        <w:t xml:space="preserve"> integration map and recommended entry.</w:t>
      </w:r>
    </w:p>
    <w:p>
      <w:pPr>
        <w:pStyle w:val="Heading1"/>
      </w:pPr>
      <w:r>
        <w:t>15 30-Day Pilot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Move from briefing to evidence</w:t>
            </w:r>
          </w:p>
        </w:tc>
      </w:tr>
    </w:tbl>
    <w:p/>
    <w:p>
      <w:pPr>
        <w:ind w:left="259" w:hanging="230"/>
      </w:pPr>
      <w:r>
        <w:t>• Week 1 freeze authority.</w:t>
      </w:r>
    </w:p>
    <w:p>
      <w:pPr>
        <w:ind w:left="259" w:hanging="230"/>
      </w:pPr>
      <w:r>
        <w:t>• Week 2 produce proof.</w:t>
      </w:r>
    </w:p>
    <w:p>
      <w:pPr>
        <w:ind w:left="259" w:hanging="230"/>
      </w:pPr>
      <w:r>
        <w:t>• Week 3 validate and challenge.</w:t>
      </w:r>
    </w:p>
    <w:p>
      <w:pPr>
        <w:ind w:left="259" w:hanging="230"/>
      </w:pPr>
      <w:r>
        <w:t>• Week 4 deliver and test transfer.</w:t>
      </w:r>
    </w:p>
    <w:p>
      <w:pPr/>
      <w:r>
        <w:rPr>
          <w:b/>
        </w:rPr>
        <w:t>Output:</w:t>
      </w:r>
      <w:r>
        <w:t xml:space="preserve"> partner-specific pilot charter.</w:t>
      </w:r>
    </w:p>
    <w:p>
      <w:r>
        <w:br w:type="page"/>
      </w:r>
    </w:p>
    <w:p>
      <w:pPr>
        <w:pStyle w:val="Heading1"/>
      </w:pPr>
      <w:r>
        <w:t>16 Trust &amp; Due Diligence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Make evidence maturity part of the product</w:t>
            </w:r>
          </w:p>
        </w:tc>
      </w:tr>
    </w:tbl>
    <w:p/>
    <w:p>
      <w:pPr>
        <w:ind w:left="259" w:hanging="230"/>
      </w:pPr>
      <w:r>
        <w:t>• State what is demonstrated, simulated, pending, and prohibited.</w:t>
      </w:r>
    </w:p>
    <w:p>
      <w:pPr>
        <w:ind w:left="259" w:hanging="230"/>
      </w:pPr>
      <w:r>
        <w:t>• Keep independent replay, delayed outcomes, production authority, token value, legal certification, and general RSI separately gated.</w:t>
      </w:r>
    </w:p>
    <w:p>
      <w:pPr/>
      <w:r>
        <w:rPr>
          <w:b/>
        </w:rPr>
        <w:t>Output:</w:t>
      </w:r>
      <w:r>
        <w:t xml:space="preserve"> due-diligence matrix and claim boundary.</w:t>
      </w:r>
    </w:p>
    <w:p>
      <w:pPr>
        <w:pStyle w:val="Heading1"/>
      </w:pPr>
      <w:r>
        <w:t>17 Executive Close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5E85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MODULE THESIS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285E85"/>
              <w:left w:val="single" w:sz="6" w:color="285E85"/>
              <w:right w:val="single" w:sz="6" w:color="285E85"/>
              <w:bottom w:val="single" w:sz="6" w:color="285E85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Convert interest into a bounded next step</w:t>
            </w:r>
          </w:p>
        </w:tc>
      </w:tr>
    </w:tbl>
    <w:p/>
    <w:p>
      <w:pPr>
        <w:ind w:left="259" w:hanging="230"/>
      </w:pPr>
      <w:r>
        <w:t>• One consequential objective.</w:t>
      </w:r>
    </w:p>
    <w:p>
      <w:pPr>
        <w:ind w:left="259" w:hanging="230"/>
      </w:pPr>
      <w:r>
        <w:t>• One executive sponsor.</w:t>
      </w:r>
    </w:p>
    <w:p>
      <w:pPr>
        <w:ind w:left="259" w:hanging="230"/>
      </w:pPr>
      <w:r>
        <w:t>• One independent reviewer.</w:t>
      </w:r>
    </w:p>
    <w:p>
      <w:pPr>
        <w:ind w:left="259" w:hanging="230"/>
      </w:pPr>
      <w:r>
        <w:t>• One measured Mission 2 test.</w:t>
      </w:r>
    </w:p>
    <w:p>
      <w:pPr/>
      <w:r>
        <w:rPr>
          <w:b/>
        </w:rPr>
        <w:t>Output:</w:t>
      </w:r>
      <w:r>
        <w:t xml:space="preserve"> executive dossier and completion record.</w:t>
      </w:r>
    </w:p>
    <w:p>
      <w:r>
        <w:br w:type="page"/>
      </w:r>
    </w:p>
    <w:p>
      <w:pPr>
        <w:pStyle w:val="Heading1"/>
      </w:pPr>
      <w:r>
        <w:t>Presentation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Core modules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Executive 15 minutes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Category and partnership decision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01, 02, 05, 06, 11, 12, 15, 17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Boardroom 30 minutes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Strategic diligence and value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Add 04, 07, 08, 13, 16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Working session 90 minutes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Build a real partner mission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Complete all operating modules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Self-paced certification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Deep institutional understanding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All 18 modules + dossier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B7832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OPENING LINE</w:t>
            </w:r>
          </w:p>
        </w:tc>
      </w:tr>
      <w:tr>
        <w:tc>
          <w:tcPr>
            <w:tcW w:type="dxa" w:w="10166"/>
            <w:shd w:fill="FFF7E4"/>
            <w:tcBorders>
              <w:top w:val="single" w:sz="6" w:color="B78324"/>
              <w:left w:val="single" w:sz="6" w:color="B78324"/>
              <w:right w:val="single" w:sz="6" w:color="B78324"/>
              <w:bottom w:val="single" w:sz="6" w:color="B78324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AI capability is becoming abundant. Institutional permission to rely on it is not. GoalOS makes autonomous work earn authority.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B7832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CLOSING LINE</w:t>
            </w:r>
          </w:p>
        </w:tc>
      </w:tr>
      <w:tr>
        <w:tc>
          <w:tcPr>
            <w:tcW w:type="dxa" w:w="10166"/>
            <w:shd w:fill="FFF7E4"/>
            <w:tcBorders>
              <w:top w:val="single" w:sz="6" w:color="B78324"/>
              <w:left w:val="single" w:sz="6" w:color="B78324"/>
              <w:right w:val="single" w:sz="6" w:color="B78324"/>
              <w:bottom w:val="single" w:sz="6" w:color="B78324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Bring one consequential objective, one executive sponsor, and one independent reviewer. In 30 days, produce the first Governed Decision State and test whether the first admitted capability makes Mission 2 measurably better.</w:t>
            </w:r>
          </w:p>
        </w:tc>
      </w:tr>
    </w:tbl>
    <w:p/>
    <w:p>
      <w:pPr>
        <w:pStyle w:val="Heading1"/>
      </w:pPr>
      <w:r>
        <w:t>Thirty-Day Partner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Authority state</w:t>
            </w:r>
          </w:p>
        </w:tc>
        <w:tc>
          <w:tcPr>
            <w:tcW w:type="dxa" w:w="3389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Deliverables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1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Freeze authority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Mission Contract, proof level, claim boundary, baseline, privacy, validators, rollback, Mission 2 metric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2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Produce proof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AGI Jobs, ProofBundles, provenance, contradictions, cost/risk ledgers, Evidence Docket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3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Validate and challenge</w:t>
            </w:r>
          </w:p>
        </w:tc>
        <w:tc>
          <w:tcPr>
            <w:tcW w:type="dxa" w:w="3389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Independent replay, commit-reveal, falsification, Chronicle recommendation</w:t>
            </w:r>
          </w:p>
        </w:tc>
      </w:tr>
      <w:tr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4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Deliver and transfer</w:t>
            </w:r>
          </w:p>
        </w:tc>
        <w:tc>
          <w:tcPr>
            <w:tcW w:type="dxa" w:w="3389"/>
            <w:shd w:fill="F8F9FB"/>
            <w:vAlign w:val="top"/>
          </w:tcPr>
          <w:p>
            <w:r>
              <w:rPr>
                <w:rFonts w:ascii="Arial" w:hAnsi="Arial"/>
                <w:color w:val="14273D"/>
                <w:sz w:val="16"/>
              </w:rPr>
              <w:t>Governed Decision State, Skill Passport, Merkle packet, Mission 2 comparison, executive dossier</w:t>
            </w:r>
          </w:p>
        </w:tc>
      </w:tr>
    </w:tbl>
    <w:p/>
    <w:p>
      <w:pPr>
        <w:pStyle w:val="Heading1"/>
      </w:pPr>
      <w:r>
        <w:t>Claim Boundary</w:t>
      </w:r>
    </w:p>
    <w:p>
      <w:pPr/>
      <w:r>
        <w:t>The masterclass combines interactive simulations, reference architecture, and REAL-001 first-party real-task evidence. It does not establish achieved AGI or ASI, general real-world recursive self-improvement, empirical state of the art, independent external validation, production certification, guaranteed outcomes, legal or tax advice, token value, liquidity, yield, regulatory exemption, or autonomous production authority.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D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FINAL OPERATING LAW</w:t>
            </w:r>
          </w:p>
        </w:tc>
      </w:tr>
      <w:tr>
        <w:tc>
          <w:tcPr>
            <w:tcW w:type="dxa" w:w="10166"/>
            <w:shd w:fill="EDF4FA"/>
            <w:tcBorders>
              <w:top w:val="single" w:sz="6" w:color="0B1D33"/>
              <w:left w:val="single" w:sz="6" w:color="0B1D33"/>
              <w:right w:val="single" w:sz="6" w:color="0B1D33"/>
              <w:bottom w:val="single" w:sz="6" w:color="0B1D33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color w:val="0B1D33"/>
                <w:sz w:val="21"/>
              </w:rPr>
              <w:t>Generate freely. Prove rigorously. Validate independently. Admit cautiously. Commit exactly. Reuse within scope. Challenge economically. Roll back decisively. Improve only through evidence.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798E"/>
        <w:sz w:val="14"/>
      </w:rPr>
      <w:t>PROOF-CARRYING AUTONOMY · PARTNER HANDBOOK</w:t>
    </w:r>
  </w:p>
  <w:p>
    <w:pPr>
      <w:jc w:val="right"/>
    </w:pPr>
    <w:r>
      <w:rPr>
        <w:rFonts w:ascii="Arial" w:hAnsi="Arial"/>
        <w:color w:val="68798E"/>
        <w:sz w:val="14"/>
      </w:rPr>
      <w:t xml:space="preserve">PAGE </w:t>
    </w:r>
    <w:r>
      <w:rPr>
        <w:rFonts w:ascii="Arial" w:hAnsi="Arial"/>
        <w:color w:val="68798E"/>
        <w:sz w:val="14"/>
      </w:rPr>
      <w:fldChar w:fldCharType="begin"/>
      <w:instrText xml:space="preserve"> PAGE </w:instrText>
      <w:fldChar w:fldCharType="end"/>
    </w:r>
  </w:p>
  <w:p>
    <w:pPr>
      <w:jc w:val="center"/>
    </w:pPr>
    <w:r>
      <w:rPr>
        <w:rFonts w:ascii="Arial" w:hAnsi="Arial"/>
        <w:color w:val="68798E"/>
        <w:sz w:val="14"/>
      </w:rPr>
      <w:t xml:space="preserve">Page </w:t>
    </w:r>
    <w:r>
      <w:rPr>
        <w:rFonts w:ascii="Arial" w:hAnsi="Arial"/>
        <w:color w:val="68798E"/>
        <w:sz w:val="14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0B1D33"/>
        <w:sz w:val="15"/>
      </w:rPr>
      <w:t>GOALOS PARTNER MASTERCLASS · SOVEREIGN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427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0B1D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D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B783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B1D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Quote">
    <w:name w:val="Executive Quote"/>
    <w:pPr>
      <w:spacing w:before="140" w:after="140"/>
      <w:ind w:left="360" w:right="360"/>
    </w:pPr>
    <w:rPr>
      <w:rFonts w:ascii="Georgia" w:hAnsi="Georgia"/>
      <w:i/>
      <w:color w:val="0B1D33"/>
      <w:sz w:val="28"/>
    </w:rPr>
  </w:style>
  <w:style w:type="paragraph" w:customStyle="1" w:styleId="GCH1">
    <w:name w:val="GC H1"/>
    <w:pPr>
      <w:spacing w:before="280" w:after="140" w:line="250" w:lineRule="auto"/>
    </w:pPr>
    <w:rPr>
      <w:rFonts w:ascii="Georgia" w:hAnsi="Georgia"/>
      <w:b/>
      <w:color w:val="0B1D33"/>
      <w:sz w:val="40"/>
    </w:rPr>
  </w:style>
  <w:style w:type="paragraph" w:customStyle="1" w:styleId="GCH2">
    <w:name w:val="GC H2"/>
    <w:pPr>
      <w:spacing w:before="220" w:after="100" w:line="250" w:lineRule="auto"/>
    </w:pPr>
    <w:rPr>
      <w:rFonts w:ascii="Georgia" w:hAnsi="Georgia"/>
      <w:b/>
      <w:color w:val="0B1D33"/>
      <w:sz w:val="28"/>
    </w:rPr>
  </w:style>
  <w:style w:type="paragraph" w:customStyle="1" w:styleId="GCBody">
    <w:name w:val="GC Body"/>
    <w:pPr>
      <w:spacing w:before="0" w:after="100" w:line="250" w:lineRule="auto"/>
    </w:pPr>
    <w:rPr>
      <w:rFonts w:ascii="Arial" w:hAnsi="Arial"/>
      <w:b w:val="0"/>
      <w:color w:val="14273D"/>
      <w:sz w:val="18"/>
    </w:rPr>
  </w:style>
  <w:style w:type="paragraph" w:customStyle="1" w:styleId="GCSmall">
    <w:name w:val="GC Small"/>
    <w:pPr>
      <w:spacing w:before="0" w:after="60" w:line="250" w:lineRule="auto"/>
    </w:pPr>
    <w:rPr>
      <w:rFonts w:ascii="Arial" w:hAnsi="Arial"/>
      <w:b w:val="0"/>
      <w:color w:val="68798E"/>
      <w:sz w:val="15"/>
    </w:rPr>
  </w:style>
  <w:style w:type="paragraph" w:customStyle="1" w:styleId="GCQuote">
    <w:name w:val="GC Quote"/>
    <w:pPr>
      <w:spacing w:before="80" w:after="120" w:line="250" w:lineRule="auto"/>
    </w:pPr>
    <w:rPr>
      <w:rFonts w:ascii="Georgia" w:hAnsi="Georgia"/>
      <w:b/>
      <w:color w:val="0B1D33"/>
      <w:sz w:val="22"/>
    </w:rPr>
  </w:style>
  <w:style w:type="paragraph" w:customStyle="1" w:styleId="GCCode">
    <w:name w:val="GC Code"/>
    <w:pPr>
      <w:spacing w:before="40" w:after="80" w:line="250" w:lineRule="auto"/>
    </w:pPr>
    <w:rPr>
      <w:rFonts w:ascii="Courier New" w:hAnsi="Courier New"/>
      <w:b w:val="0"/>
      <w:color w:val="397DB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sec.gov/files/rules/interp/2026/33-11412.pdf" TargetMode="External"/><Relationship Id="rId18" Type="http://schemas.openxmlformats.org/officeDocument/2006/relationships/hyperlink" Target="https://eur-lex.europa.eu/legal-content/EN/TXT/HTML/?uri=CELEX%3A32023R1114" TargetMode="External"/><Relationship Id="rId19" Type="http://schemas.openxmlformats.org/officeDocument/2006/relationships/hyperlink" Target="https://fintrac-canafe.canada.ca/msb-esm/msb-eng" TargetMode="External"/><Relationship Id="rId20" Type="http://schemas.openxmlformats.org/officeDocument/2006/relationships/hyperlink" Target="https://www.securities-administrators.ca/uploadedFiles/Industry_Resources/2018juin11-46-308-avis-acvm-en.pdf" TargetMode="External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GoalOS Partner MASTERCLASS — Sovereign Edition Handbook</dc:title>
  <dc:subject>Executive, partner, RSI, and proof-to-capability operating handbook</dc:subject>
  <dc:creator>Vincent Boucher / GoalOS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