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454"/>
      </w:tblGrid>
      <w:tr>
        <w:trPr>
          <w:trHeight w:val="13752"/>
        </w:trPr>
        <w:tc>
          <w:tcPr>
            <w:tcW w:type="dxa" w:w="10396"/>
            <w:shd w:fill="07182B"/>
            <w:tcMar>
              <w:top w:w="420" w:type="dxa"/>
              <w:start w:w="430" w:type="dxa"/>
              <w:bottom w:w="420" w:type="dxa"/>
              <w:end w:w="430" w:type="dxa"/>
            </w:tcMar>
            <w:tcBorders>
              <w:top w:val="single" w:sz="2" w:color="07182B"/>
              <w:left w:val="single" w:sz="2" w:color="07182B"/>
              <w:bottom w:val="single" w:sz="2" w:color="07182B"/>
              <w:right w:val="single" w:sz="2" w:color="07182B"/>
            </w:tcBorders>
            <w:vAlign w:val="center"/>
          </w:tcPr>
          <w:p>
            <w:pPr>
              <w:keepNext w:val="0"/>
              <w:spacing w:before="0" w:after="400" w:line="240" w:lineRule="auto"/>
              <w:jc w:val="left"/>
            </w:pPr>
            <w:r>
              <w:rPr>
                <w:rFonts w:ascii="Arial" w:hAnsi="Arial" w:eastAsia="Arial"/>
                <w:b/>
                <w:i w:val="0"/>
                <w:caps/>
                <w:color w:val="E9C87D"/>
                <w:sz w:val="17"/>
              </w:rPr>
              <w:t>GOALOS / PARTNER DEMONSTRATION RUNBOOK</w:t>
            </w:r>
          </w:p>
          <w:p>
            <w:pPr>
              <w:keepNext w:val="0"/>
              <w:spacing w:before="0" w:after="280" w:line="240" w:lineRule="auto"/>
            </w:pPr>
            <w:r>
              <w:rPr>
                <w:rFonts w:ascii="Georgia" w:hAnsi="Georgia" w:eastAsia="Georgia"/>
                <w:b/>
                <w:i w:val="0"/>
                <w:caps w:val="0"/>
                <w:color w:val="FFFFFF"/>
                <w:sz w:val="62"/>
              </w:rPr>
              <w:t>Present the system.</w:t>
              <w:br/>
              <w:t>Prove the usefulness.</w:t>
            </w:r>
          </w:p>
          <w:p>
            <w:pPr>
              <w:keepNext w:val="0"/>
              <w:spacing w:before="0" w:after="480" w:line="269" w:lineRule="auto"/>
            </w:pPr>
            <w:r>
              <w:rPr>
                <w:rFonts w:ascii="Georgia" w:hAnsi="Georgia" w:eastAsia="Georgia"/>
                <w:b w:val="0"/>
                <w:i/>
                <w:caps w:val="0"/>
                <w:color w:val="C8D6E4"/>
                <w:sz w:val="29"/>
              </w:rPr>
              <w:t>A precise facilitation guide for a 12-minute executive demonstration, a 30-minute partner session and a first-mission close.</w:t>
            </w:r>
          </w:p>
          <w:tbl>
            <w:tblPr>
              <w:tblW w:type="auto" w:w="0"/>
              <w:jc w:val="center"/>
              <w:tblLook w:firstColumn="1" w:firstRow="1" w:lastColumn="0" w:lastRow="0" w:noHBand="0" w:noVBand="1" w:val="04A0"/>
            </w:tblPr>
            <w:tblGrid>
              <w:gridCol w:w="10396"/>
            </w:tblGrid>
            <w:tr>
              <w:tc>
                <w:tcPr>
                  <w:tcW w:type="dxa" w:w="10396"/>
                  <w:shd w:fill="0C2744"/>
                  <w:tcMar>
                    <w:top w:w="150" w:type="dxa"/>
                    <w:start w:w="180" w:type="dxa"/>
                    <w:bottom w:w="150" w:type="dxa"/>
                    <w:end w:w="180" w:type="dxa"/>
                  </w:tcMar>
                  <w:tcBorders>
                    <w:top w:val="single" w:sz="10" w:color="E9C87D"/>
                    <w:left w:val="single" w:sz="10" w:color="E9C87D"/>
                    <w:bottom w:val="single" w:sz="10" w:color="E9C87D"/>
                    <w:right w:val="single" w:sz="10" w:color="E9C87D"/>
                  </w:tcBorders>
                </w:tcPr>
                <w:p>
                  <w:pPr>
                    <w:jc w:val="center"/>
                  </w:pPr>
                  <w:r>
                    <w:rPr>
                      <w:rFonts w:ascii="Georgia" w:hAnsi="Georgia" w:eastAsia="Georgia"/>
                      <w:b/>
                      <w:i w:val="0"/>
                      <w:caps w:val="0"/>
                      <w:color w:val="FFFFFF"/>
                      <w:sz w:val="29"/>
                    </w:rPr>
                    <w:t>Do not ask the room to believe a grand claim. Ask the system to prove one consequential mission.</w:t>
                  </w:r>
                </w:p>
              </w:tc>
            </w:tr>
          </w:tbl>
          <w:p/>
          <w:p>
            <w:pPr>
              <w:keepNext w:val="0"/>
              <w:spacing w:before="440" w:after="100" w:line="240" w:lineRule="auto"/>
            </w:pPr>
            <w:r>
              <w:rPr>
                <w:rFonts w:ascii="Arial" w:hAnsi="Arial" w:eastAsia="Arial"/>
                <w:b/>
                <w:i w:val="0"/>
                <w:caps/>
                <w:color w:val="E9C87D"/>
                <w:sz w:val="16"/>
              </w:rPr>
              <w:t>FINAL PRODUCTION PRESENTER EDITION · JULY 2026</w:t>
            </w:r>
          </w:p>
          <w:p>
            <w:pPr>
              <w:keepNext w:val="0"/>
              <w:spacing w:before="0" w:after="0" w:line="240" w:lineRule="auto"/>
            </w:pPr>
            <w:r>
              <w:rPr>
                <w:rFonts w:ascii="Arial" w:hAnsi="Arial" w:eastAsia="Arial"/>
                <w:b w:val="0"/>
                <w:i w:val="0"/>
                <w:caps w:val="0"/>
                <w:color w:val="AFC0D0"/>
                <w:sz w:val="17"/>
              </w:rPr>
              <w:t>Use with GoalOS_Partner_Briefing.pptx and GoalOS_Partner_Demonstrator.html. The demo is offline, browser-local, receipt-gated and illustrative.</w:t>
            </w:r>
          </w:p>
        </w:tc>
      </w:tr>
    </w:tbl>
    <w:p>
      <w:r>
        <w:br w:type="page"/>
      </w:r>
    </w:p>
    <w:p>
      <w:pPr>
        <w:pStyle w:val="Eyebrow"/>
      </w:pPr>
      <w:r>
        <w:t>01 · BEFORE THE MEETING</w:t>
      </w:r>
    </w:p>
    <w:p>
      <w:pPr>
        <w:pStyle w:val="Heading1"/>
      </w:pPr>
      <w:r>
        <w:t>Set the room up for a decision - not a technology tour.</w:t>
      </w:r>
    </w:p>
    <w:p>
      <w:pPr>
        <w:pStyle w:val="ListBullet"/>
        <w:spacing w:after="40" w:line="250" w:lineRule="auto"/>
        <w:ind w:left="259" w:hanging="173"/>
      </w:pPr>
      <w:r>
        <w:rPr>
          <w:rFonts w:ascii="Arial" w:hAnsi="Arial" w:eastAsia="Arial"/>
          <w:b w:val="0"/>
          <w:i w:val="0"/>
          <w:caps w:val="0"/>
          <w:color w:val="14263C"/>
          <w:sz w:val="18"/>
        </w:rPr>
        <w:t>Open START_HERE.html and confirm the interactive demonstrator, briefing deck, sample decision packet and Enterprise Participation Instrument open locally.</w:t>
      </w:r>
    </w:p>
    <w:p>
      <w:pPr>
        <w:pStyle w:val="ListBullet"/>
        <w:spacing w:after="40" w:line="250" w:lineRule="auto"/>
        <w:ind w:left="259" w:hanging="173"/>
      </w:pPr>
      <w:r>
        <w:rPr>
          <w:rFonts w:ascii="Arial" w:hAnsi="Arial" w:eastAsia="Arial"/>
          <w:b w:val="0"/>
          <w:i w:val="0"/>
          <w:caps w:val="0"/>
          <w:color w:val="14263C"/>
          <w:sz w:val="18"/>
        </w:rPr>
        <w:t>Select one audience-relevant mission: partnership, procurement, launch readiness or defensive remediation.</w:t>
      </w:r>
    </w:p>
    <w:p>
      <w:pPr>
        <w:pStyle w:val="ListBullet"/>
        <w:spacing w:after="40" w:line="250" w:lineRule="auto"/>
        <w:ind w:left="259" w:hanging="173"/>
      </w:pPr>
      <w:r>
        <w:rPr>
          <w:rFonts w:ascii="Arial" w:hAnsi="Arial" w:eastAsia="Arial"/>
          <w:b w:val="0"/>
          <w:i w:val="0"/>
          <w:caps w:val="0"/>
          <w:color w:val="14263C"/>
          <w:sz w:val="18"/>
        </w:rPr>
        <w:t>Know the audience’s real decision, deadline, risk tolerance, evidence access and review authority.</w:t>
      </w:r>
    </w:p>
    <w:p>
      <w:pPr>
        <w:pStyle w:val="ListBullet"/>
        <w:spacing w:after="40" w:line="250" w:lineRule="auto"/>
        <w:ind w:left="259" w:hanging="173"/>
      </w:pPr>
      <w:r>
        <w:rPr>
          <w:rFonts w:ascii="Arial" w:hAnsi="Arial" w:eastAsia="Arial"/>
          <w:b w:val="0"/>
          <w:i w:val="0"/>
          <w:caps w:val="0"/>
          <w:color w:val="14263C"/>
          <w:sz w:val="18"/>
        </w:rPr>
        <w:t>Keep the demonstrator at 100% zoom. Use Presenter Mode only after confirming the display resolution.</w:t>
      </w:r>
    </w:p>
    <w:p>
      <w:pPr>
        <w:pStyle w:val="ListBullet"/>
        <w:spacing w:after="40" w:line="250" w:lineRule="auto"/>
        <w:ind w:left="259" w:hanging="173"/>
      </w:pPr>
      <w:r>
        <w:rPr>
          <w:rFonts w:ascii="Arial" w:hAnsi="Arial" w:eastAsia="Arial"/>
          <w:b w:val="0"/>
          <w:i w:val="0"/>
          <w:caps w:val="0"/>
          <w:color w:val="14263C"/>
          <w:sz w:val="18"/>
        </w:rPr>
        <w:t>Have the sample Governed Decision State PDF open as proof of the final output, not merely the interface.</w:t>
      </w:r>
    </w:p>
    <w:p>
      <w:pPr>
        <w:pStyle w:val="ListBullet"/>
        <w:spacing w:after="40" w:line="250" w:lineRule="auto"/>
        <w:ind w:left="259" w:hanging="173"/>
      </w:pPr>
      <w:r>
        <w:rPr>
          <w:rFonts w:ascii="Arial" w:hAnsi="Arial" w:eastAsia="Arial"/>
          <w:b w:val="0"/>
          <w:i w:val="0"/>
          <w:caps w:val="0"/>
          <w:color w:val="14263C"/>
          <w:sz w:val="18"/>
        </w:rPr>
        <w:t>Do not lead with $AGIALPHA, planetary scale or a “Holy Grail” label. Lead with the decision problem and the proof gap.</w:t>
      </w:r>
    </w:p>
    <w:tbl>
      <w:tblPr>
        <w:tblW w:type="auto" w:w="0"/>
        <w:jc w:val="center"/>
        <w:tblLayout w:type="fixed"/>
        <w:tblLook w:firstColumn="1" w:firstRow="1" w:lastColumn="0" w:lastRow="0" w:noHBand="0" w:noVBand="1" w:val="04A0"/>
      </w:tblPr>
      <w:tblGrid>
        <w:gridCol w:w="10454"/>
      </w:tblGrid>
      <w:tr>
        <w:tc>
          <w:tcPr>
            <w:tcW w:type="dxa" w:w="10339"/>
            <w:shd w:fill="B8872E"/>
            <w:tcMar>
              <w:top w:w="75" w:type="dxa"/>
              <w:start w:w="110" w:type="dxa"/>
              <w:bottom w:w="65" w:type="dxa"/>
              <w:end w:w="110" w:type="dxa"/>
            </w:tcMar>
            <w:tcBorders>
              <w:top w:val="single" w:sz="7" w:color="B8872E"/>
              <w:left w:val="single" w:sz="7" w:color="B8872E"/>
              <w:bottom w:val="single" w:sz="7" w:color="B8872E"/>
              <w:right w:val="single" w:sz="7" w:color="B8872E"/>
            </w:tcBorders>
          </w:tcPr>
          <w:p>
            <w:r>
              <w:rPr>
                <w:rFonts w:ascii="Arial" w:hAnsi="Arial" w:eastAsia="Arial"/>
                <w:b/>
                <w:i w:val="0"/>
                <w:caps/>
                <w:color w:val="FFFFFF"/>
                <w:sz w:val="15"/>
              </w:rPr>
              <w:t>OPENING LINE</w:t>
            </w:r>
          </w:p>
        </w:tc>
      </w:tr>
      <w:tr>
        <w:tc>
          <w:tcPr>
            <w:tcW w:type="dxa" w:w="10339"/>
            <w:shd w:fill="FFF2CF"/>
            <w:tcMar>
              <w:top w:w="125" w:type="dxa"/>
              <w:start w:w="140" w:type="dxa"/>
              <w:bottom w:w="125" w:type="dxa"/>
              <w:end w:w="140" w:type="dxa"/>
            </w:tcMar>
            <w:tcBorders>
              <w:top w:val="single" w:sz="7" w:color="B8872E"/>
              <w:left w:val="single" w:sz="7" w:color="B8872E"/>
              <w:bottom w:val="single" w:sz="7" w:color="B8872E"/>
              <w:right w:val="single" w:sz="7" w:color="B8872E"/>
            </w:tcBorders>
          </w:tcPr>
          <w:p>
            <w:pPr>
              <w:jc w:val="center"/>
            </w:pPr>
            <w:r>
              <w:rPr>
                <w:rFonts w:ascii="Georgia" w:hAnsi="Georgia" w:eastAsia="Georgia"/>
                <w:b/>
                <w:i w:val="0"/>
                <w:caps w:val="0"/>
                <w:color w:val="14263C"/>
                <w:sz w:val="24"/>
              </w:rPr>
              <w:t>AI output is abundant. Institutional authority is scarce. GoalOS is the operating layer that decides what autonomous work must prove before it can matter.</w:t>
            </w:r>
          </w:p>
        </w:tc>
      </w:tr>
    </w:tbl>
    <w:p>
      <w:pPr>
        <w:spacing w:after="0"/>
      </w:pPr>
    </w:p>
    <w:p>
      <w:pPr>
        <w:pStyle w:val="Heading2"/>
      </w:pPr>
      <w:r>
        <w:t>What success looks like</w:t>
      </w:r>
    </w:p>
    <w:tbl>
      <w:tblPr>
        <w:tblW w:type="auto" w:w="0"/>
        <w:jc w:val="center"/>
        <w:tblLayout w:type="fixed"/>
        <w:tblLook w:firstColumn="1" w:firstRow="1" w:lastColumn="0" w:lastRow="0" w:noHBand="0" w:noVBand="1" w:val="04A0"/>
      </w:tblPr>
      <w:tblGrid>
        <w:gridCol w:w="5227"/>
        <w:gridCol w:w="5227"/>
      </w:tblGrid>
      <w:tr>
        <w:tc>
          <w:tcPr>
            <w:tcW w:type="dxa" w:w="5097"/>
            <w:shd w:fill="EEF5FB"/>
            <w:tcMar>
              <w:top w:w="120" w:type="dxa"/>
              <w:start w:w="130" w:type="dxa"/>
              <w:bottom w:w="120" w:type="dxa"/>
              <w:end w:w="130" w:type="dxa"/>
            </w:tcMar>
            <w:tcBorders>
              <w:top w:val="single" w:sz="8" w:color="387FB7"/>
              <w:left w:val="single" w:sz="8" w:color="387FB7"/>
              <w:bottom w:val="single" w:sz="8" w:color="387FB7"/>
              <w:right w:val="single" w:sz="8" w:color="387FB7"/>
            </w:tcBorders>
          </w:tcPr>
          <w:p>
            <w:r>
              <w:rPr>
                <w:rFonts w:ascii="Georgia" w:hAnsi="Georgia" w:eastAsia="Georgia"/>
                <w:b/>
                <w:i w:val="0"/>
                <w:caps w:val="0"/>
                <w:color w:val="07182B"/>
                <w:sz w:val="23"/>
              </w:rPr>
              <w:t>The executive understands the category</w:t>
            </w:r>
          </w:p>
          <w:p>
            <w:pPr>
              <w:keepNext w:val="0"/>
              <w:spacing w:before="0" w:after="0" w:line="250" w:lineRule="auto"/>
            </w:pPr>
            <w:r>
              <w:rPr>
                <w:rFonts w:ascii="Arial" w:hAnsi="Arial" w:eastAsia="Arial"/>
                <w:b w:val="0"/>
                <w:i w:val="0"/>
                <w:caps w:val="0"/>
                <w:color w:val="68788D"/>
                <w:sz w:val="16"/>
              </w:rPr>
              <w:t>GoalOS is a Proof OS: objective to proof to bounded decision to reusable capability.</w:t>
            </w:r>
          </w:p>
        </w:tc>
        <w:tc>
          <w:tcPr>
            <w:tcW w:type="dxa" w:w="5097"/>
            <w:shd w:fill="EFF9F4"/>
            <w:tcMar>
              <w:top w:w="120" w:type="dxa"/>
              <w:start w:w="130" w:type="dxa"/>
              <w:bottom w:w="120" w:type="dxa"/>
              <w:end w:w="130" w:type="dxa"/>
            </w:tcMar>
            <w:tcBorders>
              <w:top w:val="single" w:sz="8" w:color="21805A"/>
              <w:left w:val="single" w:sz="8" w:color="21805A"/>
              <w:bottom w:val="single" w:sz="8" w:color="21805A"/>
              <w:right w:val="single" w:sz="8" w:color="21805A"/>
            </w:tcBorders>
          </w:tcPr>
          <w:p>
            <w:r>
              <w:rPr>
                <w:rFonts w:ascii="Georgia" w:hAnsi="Georgia" w:eastAsia="Georgia"/>
                <w:b/>
                <w:i w:val="0"/>
                <w:caps w:val="0"/>
                <w:color w:val="07182B"/>
                <w:sz w:val="23"/>
              </w:rPr>
              <w:t>The buyer sees a first use case</w:t>
            </w:r>
          </w:p>
          <w:p>
            <w:pPr>
              <w:keepNext w:val="0"/>
              <w:spacing w:before="0" w:after="0" w:line="250" w:lineRule="auto"/>
            </w:pPr>
            <w:r>
              <w:rPr>
                <w:rFonts w:ascii="Arial" w:hAnsi="Arial" w:eastAsia="Arial"/>
                <w:b w:val="0"/>
                <w:i w:val="0"/>
                <w:caps w:val="0"/>
                <w:color w:val="68788D"/>
                <w:sz w:val="16"/>
              </w:rPr>
              <w:t>The system can be applied to an actual decision in the next 15 business days.</w:t>
            </w:r>
          </w:p>
        </w:tc>
      </w:tr>
      <w:tr>
        <w:tc>
          <w:tcPr>
            <w:tcW w:type="dxa" w:w="5097"/>
            <w:shd w:fill="FFF7DF"/>
            <w:tcMar>
              <w:top w:w="120" w:type="dxa"/>
              <w:start w:w="130" w:type="dxa"/>
              <w:bottom w:w="120" w:type="dxa"/>
              <w:end w:w="130" w:type="dxa"/>
            </w:tcMar>
            <w:tcBorders>
              <w:top w:val="single" w:sz="8" w:color="B8872E"/>
              <w:left w:val="single" w:sz="8" w:color="B8872E"/>
              <w:bottom w:val="single" w:sz="8" w:color="B8872E"/>
              <w:right w:val="single" w:sz="8" w:color="B8872E"/>
            </w:tcBorders>
          </w:tcPr>
          <w:p>
            <w:r>
              <w:rPr>
                <w:rFonts w:ascii="Georgia" w:hAnsi="Georgia" w:eastAsia="Georgia"/>
                <w:b/>
                <w:i w:val="0"/>
                <w:caps w:val="0"/>
                <w:color w:val="07182B"/>
                <w:sz w:val="23"/>
              </w:rPr>
              <w:t>The reviewer trusts the boundary</w:t>
            </w:r>
          </w:p>
          <w:p>
            <w:pPr>
              <w:keepNext w:val="0"/>
              <w:spacing w:before="0" w:after="0" w:line="250" w:lineRule="auto"/>
            </w:pPr>
            <w:r>
              <w:rPr>
                <w:rFonts w:ascii="Arial" w:hAnsi="Arial" w:eastAsia="Arial"/>
                <w:b w:val="0"/>
                <w:i w:val="0"/>
                <w:caps w:val="0"/>
                <w:color w:val="68788D"/>
                <w:sz w:val="16"/>
              </w:rPr>
              <w:t>The presentation separates implemented, reference-ready, planned and pending evidence.</w:t>
            </w:r>
          </w:p>
        </w:tc>
        <w:tc>
          <w:tcPr>
            <w:tcW w:type="dxa" w:w="5097"/>
            <w:shd w:fill="F3EFFB"/>
            <w:tcMar>
              <w:top w:w="120" w:type="dxa"/>
              <w:start w:w="130" w:type="dxa"/>
              <w:bottom w:w="120" w:type="dxa"/>
              <w:end w:w="130" w:type="dxa"/>
            </w:tcMar>
            <w:tcBorders>
              <w:top w:val="single" w:sz="8" w:color="6753A6"/>
              <w:left w:val="single" w:sz="8" w:color="6753A6"/>
              <w:bottom w:val="single" w:sz="8" w:color="6753A6"/>
              <w:right w:val="single" w:sz="8" w:color="6753A6"/>
            </w:tcBorders>
          </w:tcPr>
          <w:p>
            <w:r>
              <w:rPr>
                <w:rFonts w:ascii="Georgia" w:hAnsi="Georgia" w:eastAsia="Georgia"/>
                <w:b/>
                <w:i w:val="0"/>
                <w:caps w:val="0"/>
                <w:color w:val="07182B"/>
                <w:sz w:val="23"/>
              </w:rPr>
              <w:t>The meeting ends with a mission</w:t>
            </w:r>
          </w:p>
          <w:p>
            <w:pPr>
              <w:keepNext w:val="0"/>
              <w:spacing w:before="0" w:after="0" w:line="250" w:lineRule="auto"/>
            </w:pPr>
            <w:r>
              <w:rPr>
                <w:rFonts w:ascii="Arial" w:hAnsi="Arial" w:eastAsia="Arial"/>
                <w:b w:val="0"/>
                <w:i w:val="0"/>
                <w:caps w:val="0"/>
                <w:color w:val="68788D"/>
                <w:sz w:val="16"/>
              </w:rPr>
              <w:t>A sponsor, objective, reviewer, evidence boundary and decision deadline are identified.</w:t>
            </w:r>
          </w:p>
        </w:tc>
      </w:tr>
    </w:tbl>
    <w:p>
      <w:r>
        <w:br w:type="page"/>
      </w:r>
    </w:p>
    <w:p>
      <w:pPr>
        <w:pStyle w:val="Eyebrow"/>
      </w:pPr>
      <w:r>
        <w:t>02 · THE 12-MINUTE EXECUTIVE DEMONSTRATION</w:t>
      </w:r>
    </w:p>
    <w:p>
      <w:pPr>
        <w:pStyle w:val="Heading1"/>
      </w:pPr>
      <w:r>
        <w:t>A tight sequence that moves from problem to proof.</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324"/>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Time</w:t>
            </w:r>
          </w:p>
        </w:tc>
        <w:tc>
          <w:tcPr>
            <w:tcW w:type="dxa" w:w="2088"/>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Move</w:t>
            </w:r>
          </w:p>
        </w:tc>
        <w:tc>
          <w:tcPr>
            <w:tcW w:type="dxa" w:w="6926"/>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Presenter action</w:t>
            </w:r>
          </w:p>
        </w:tc>
      </w:tr>
      <w:tr>
        <w:tc>
          <w:tcPr>
            <w:tcW w:type="dxa" w:w="132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0:00-1:15</w:t>
            </w:r>
          </w:p>
        </w:tc>
        <w:tc>
          <w:tcPr>
            <w:tcW w:type="dxa" w:w="208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Frame the problem</w:t>
            </w:r>
          </w:p>
        </w:tc>
        <w:tc>
          <w:tcPr>
            <w:tcW w:type="dxa" w:w="6926"/>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Show slide 2. Say: “The bottleneck is no longer output. It is deciding which output deserves authority.”</w:t>
            </w:r>
          </w:p>
        </w:tc>
      </w:tr>
      <w:tr>
        <w:tc>
          <w:tcPr>
            <w:tcW w:type="dxa" w:w="1324"/>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1:15-2:30</w:t>
            </w:r>
          </w:p>
        </w:tc>
        <w:tc>
          <w:tcPr>
            <w:tcW w:type="dxa" w:w="208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Define the product</w:t>
            </w:r>
          </w:p>
        </w:tc>
        <w:tc>
          <w:tcPr>
            <w:tcW w:type="dxa" w:w="6926"/>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Show slide 3. Explain the Governed Decision State: claims, evidence, contradiction, risk, action, memory and rollback.</w:t>
            </w:r>
          </w:p>
        </w:tc>
      </w:tr>
      <w:tr>
        <w:tc>
          <w:tcPr>
            <w:tcW w:type="dxa" w:w="132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2:30-3:30</w:t>
            </w:r>
          </w:p>
        </w:tc>
        <w:tc>
          <w:tcPr>
            <w:tcW w:type="dxa" w:w="208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Show the operating law</w:t>
            </w:r>
          </w:p>
        </w:tc>
        <w:tc>
          <w:tcPr>
            <w:tcW w:type="dxa" w:w="6926"/>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Show slide 5. Emphasize that each gate narrows authority and unsupported claims become visible Proof Debt.</w:t>
            </w:r>
          </w:p>
        </w:tc>
      </w:tr>
      <w:tr>
        <w:tc>
          <w:tcPr>
            <w:tcW w:type="dxa" w:w="1324"/>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3:30-6:30</w:t>
            </w:r>
          </w:p>
        </w:tc>
        <w:tc>
          <w:tcPr>
            <w:tcW w:type="dxa" w:w="208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Run one mission</w:t>
            </w:r>
          </w:p>
        </w:tc>
        <w:tc>
          <w:tcPr>
            <w:tcW w:type="dxa" w:w="6926"/>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Open the demonstrator. Select Strategic Partnership Diligence and press Run Mission. Narrate each stage in one sentence.</w:t>
            </w:r>
          </w:p>
        </w:tc>
      </w:tr>
      <w:tr>
        <w:tc>
          <w:tcPr>
            <w:tcW w:type="dxa" w:w="132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6:30-8:00</w:t>
            </w:r>
          </w:p>
        </w:tc>
        <w:tc>
          <w:tcPr>
            <w:tcW w:type="dxa" w:w="208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Inspect the decision</w:t>
            </w:r>
          </w:p>
        </w:tc>
        <w:tc>
          <w:tcPr>
            <w:tcW w:type="dxa" w:w="6926"/>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Read the bounded decision, four closing conditions and “ADMIT WITH SCOPE” verdict.</w:t>
            </w:r>
          </w:p>
        </w:tc>
      </w:tr>
      <w:tr>
        <w:tc>
          <w:tcPr>
            <w:tcW w:type="dxa" w:w="1324"/>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8:00-9:30</w:t>
            </w:r>
          </w:p>
        </w:tc>
        <w:tc>
          <w:tcPr>
            <w:tcW w:type="dxa" w:w="208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Open the Evidence Docket</w:t>
            </w:r>
          </w:p>
        </w:tc>
        <w:tc>
          <w:tcPr>
            <w:tcW w:type="dxa" w:w="6926"/>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Show the claims matrix, blocked production claim, contradiction register, proof debt and replay tree.</w:t>
            </w:r>
          </w:p>
        </w:tc>
      </w:tr>
      <w:tr>
        <w:tc>
          <w:tcPr>
            <w:tcW w:type="dxa" w:w="132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9:30-10:30</w:t>
            </w:r>
          </w:p>
        </w:tc>
        <w:tc>
          <w:tcPr>
            <w:tcW w:type="dxa" w:w="208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Show the durable asset</w:t>
            </w:r>
          </w:p>
        </w:tc>
        <w:tc>
          <w:tcPr>
            <w:tcW w:type="dxa" w:w="6926"/>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Explain that Chronicle admits only scoped, replayable capability; raw output does not become memory.</w:t>
            </w:r>
          </w:p>
        </w:tc>
      </w:tr>
      <w:tr>
        <w:tc>
          <w:tcPr>
            <w:tcW w:type="dxa" w:w="1324"/>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10:30-11:15</w:t>
            </w:r>
          </w:p>
        </w:tc>
        <w:tc>
          <w:tcPr>
            <w:tcW w:type="dxa" w:w="208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Establish credibility</w:t>
            </w:r>
          </w:p>
        </w:tc>
        <w:tc>
          <w:tcPr>
            <w:tcW w:type="dxa" w:w="6926"/>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Show slide 13. State exactly what is specified, implemented, reference-ready and pending.</w:t>
            </w:r>
          </w:p>
        </w:tc>
      </w:tr>
      <w:tr>
        <w:tc>
          <w:tcPr>
            <w:tcW w:type="dxa" w:w="132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11:15-12:00</w:t>
            </w:r>
          </w:p>
        </w:tc>
        <w:tc>
          <w:tcPr>
            <w:tcW w:type="dxa" w:w="208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Close on a real mission</w:t>
            </w:r>
          </w:p>
        </w:tc>
        <w:tc>
          <w:tcPr>
            <w:tcW w:type="dxa" w:w="6926"/>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Show slide 14 or 15. Ask: “Which consequential but reversible decision should we prove first?”</w:t>
            </w:r>
          </w:p>
        </w:tc>
      </w:tr>
    </w:tbl>
    <w:p>
      <w:pPr>
        <w:spacing w:after="0"/>
      </w:pPr>
    </w:p>
    <w:p>
      <w:pPr>
        <w:pStyle w:val="Heading2"/>
      </w:pPr>
      <w:r>
        <w:t>Narration for the live mission</w:t>
      </w:r>
    </w:p>
    <w:p>
      <w:pPr>
        <w:pStyle w:val="ListBullet"/>
        <w:spacing w:after="40" w:line="250" w:lineRule="auto"/>
        <w:ind w:left="259" w:hanging="173"/>
      </w:pPr>
      <w:r>
        <w:rPr>
          <w:rFonts w:ascii="Arial" w:hAnsi="Arial" w:eastAsia="Arial"/>
          <w:b w:val="0"/>
          <w:i w:val="0"/>
          <w:caps w:val="0"/>
          <w:color w:val="14263C"/>
          <w:sz w:val="16"/>
        </w:rPr>
        <w:t>Mission Contract: “We freeze the decision, scope, proof level, reviewers and rollback before autonomous work begins.”</w:t>
      </w:r>
    </w:p>
    <w:p>
      <w:pPr>
        <w:pStyle w:val="ListBullet"/>
        <w:spacing w:after="40" w:line="250" w:lineRule="auto"/>
        <w:ind w:left="259" w:hanging="173"/>
      </w:pPr>
      <w:r>
        <w:rPr>
          <w:rFonts w:ascii="Arial" w:hAnsi="Arial" w:eastAsia="Arial"/>
          <w:b w:val="0"/>
          <w:i w:val="0"/>
          <w:caps w:val="0"/>
          <w:color w:val="14263C"/>
          <w:sz w:val="16"/>
        </w:rPr>
        <w:t>Proof Debt: “Every unsupported claim becomes visible work or remains blocked.”</w:t>
      </w:r>
    </w:p>
    <w:p>
      <w:pPr>
        <w:pStyle w:val="ListBullet"/>
        <w:spacing w:after="40" w:line="250" w:lineRule="auto"/>
        <w:ind w:left="259" w:hanging="173"/>
      </w:pPr>
      <w:r>
        <w:rPr>
          <w:rFonts w:ascii="Arial" w:hAnsi="Arial" w:eastAsia="Arial"/>
          <w:b w:val="0"/>
          <w:i w:val="0"/>
          <w:caps w:val="0"/>
          <w:color w:val="14263C"/>
          <w:sz w:val="16"/>
        </w:rPr>
        <w:t>AGI Jobs: “The system creates mission-specific proof contracts rather than generic task sprawl.”</w:t>
      </w:r>
    </w:p>
    <w:p>
      <w:pPr>
        <w:pStyle w:val="ListBullet"/>
        <w:spacing w:after="40" w:line="250" w:lineRule="auto"/>
        <w:ind w:left="259" w:hanging="173"/>
      </w:pPr>
      <w:r>
        <w:rPr>
          <w:rFonts w:ascii="Arial" w:hAnsi="Arial" w:eastAsia="Arial"/>
          <w:b w:val="0"/>
          <w:i w:val="0"/>
          <w:caps w:val="0"/>
          <w:color w:val="14263C"/>
          <w:sz w:val="16"/>
        </w:rPr>
        <w:t>Evidence Docket: “The reviewer can reconstruct what happened, what passed and what remains unproven.”</w:t>
      </w:r>
    </w:p>
    <w:p>
      <w:pPr>
        <w:pStyle w:val="ListBullet"/>
        <w:spacing w:after="40" w:line="250" w:lineRule="auto"/>
        <w:ind w:left="259" w:hanging="173"/>
      </w:pPr>
      <w:r>
        <w:rPr>
          <w:rFonts w:ascii="Arial" w:hAnsi="Arial" w:eastAsia="Arial"/>
          <w:b w:val="0"/>
          <w:i w:val="0"/>
          <w:caps w:val="0"/>
          <w:color w:val="14263C"/>
          <w:sz w:val="16"/>
        </w:rPr>
        <w:t>Validation: “Independent review may approve, repair, reject, quarantine or hold.”</w:t>
      </w:r>
    </w:p>
    <w:p>
      <w:pPr>
        <w:pStyle w:val="ListBullet"/>
        <w:spacing w:after="40" w:line="250" w:lineRule="auto"/>
        <w:ind w:left="259" w:hanging="173"/>
      </w:pPr>
      <w:r>
        <w:rPr>
          <w:rFonts w:ascii="Arial" w:hAnsi="Arial" w:eastAsia="Arial"/>
          <w:b w:val="0"/>
          <w:i w:val="0"/>
          <w:caps w:val="0"/>
          <w:color w:val="14263C"/>
          <w:sz w:val="16"/>
        </w:rPr>
        <w:t>Chronicle: “Only admitted, scoped and replayable capability may influence future work.”</w:t>
      </w:r>
    </w:p>
    <w:p>
      <w:r>
        <w:br w:type="page"/>
      </w:r>
    </w:p>
    <w:p>
      <w:pPr>
        <w:pStyle w:val="Eyebrow"/>
      </w:pPr>
      <w:r>
        <w:t>03 · THE 30-MINUTE PARTNER SESSION</w:t>
      </w:r>
    </w:p>
    <w:p>
      <w:pPr>
        <w:pStyle w:val="Heading1"/>
      </w:pPr>
      <w:r>
        <w:t>Use the additional time to expose the operating model.</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123"/>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Time</w:t>
            </w:r>
          </w:p>
        </w:tc>
        <w:tc>
          <w:tcPr>
            <w:tcW w:type="dxa" w:w="2448"/>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Section</w:t>
            </w:r>
          </w:p>
        </w:tc>
        <w:tc>
          <w:tcPr>
            <w:tcW w:type="dxa" w:w="6768"/>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Purpose</w:t>
            </w:r>
          </w:p>
        </w:tc>
      </w:tr>
      <w:tr>
        <w:tc>
          <w:tcPr>
            <w:tcW w:type="dxa" w:w="112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5 min</w:t>
            </w:r>
          </w:p>
        </w:tc>
        <w:tc>
          <w:tcPr>
            <w:tcW w:type="dxa" w:w="244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Partner decision context</w:t>
            </w:r>
          </w:p>
        </w:tc>
        <w:tc>
          <w:tcPr>
            <w:tcW w:type="dxa" w:w="676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Decision, deadline, value at risk, reversibility, evidence access and review authority.</w:t>
            </w:r>
          </w:p>
        </w:tc>
      </w:tr>
      <w:tr>
        <w:tc>
          <w:tcPr>
            <w:tcW w:type="dxa" w:w="112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8 min</w:t>
            </w:r>
          </w:p>
        </w:tc>
        <w:tc>
          <w:tcPr>
            <w:tcW w:type="dxa" w:w="244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Live GoalOS mission</w:t>
            </w:r>
          </w:p>
        </w:tc>
        <w:tc>
          <w:tcPr>
            <w:tcW w:type="dxa" w:w="676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Run the closest use case, inspect the Docket and export the mission JSON or Markdown Docket.</w:t>
            </w:r>
          </w:p>
        </w:tc>
      </w:tr>
      <w:tr>
        <w:tc>
          <w:tcPr>
            <w:tcW w:type="dxa" w:w="112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5 min</w:t>
            </w:r>
          </w:p>
        </w:tc>
        <w:tc>
          <w:tcPr>
            <w:tcW w:type="dxa" w:w="244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Business architecture</w:t>
            </w:r>
          </w:p>
        </w:tc>
        <w:tc>
          <w:tcPr>
            <w:tcW w:type="dxa" w:w="676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Proof Mission Sprint -&gt; Enterprise Proof OS -&gt; Private VSG -&gt; Managed Nodes -&gt; Proof Network.</w:t>
            </w:r>
          </w:p>
        </w:tc>
      </w:tr>
      <w:tr>
        <w:tc>
          <w:tcPr>
            <w:tcW w:type="dxa" w:w="112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4 min</w:t>
            </w:r>
          </w:p>
        </w:tc>
        <w:tc>
          <w:tcPr>
            <w:tcW w:type="dxa" w:w="244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Institutional safeguards</w:t>
            </w:r>
          </w:p>
        </w:tc>
        <w:tc>
          <w:tcPr>
            <w:tcW w:type="dxa" w:w="676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Enterprise participation framework: participant authority, exclusive user responsibility, risk assumption, release, hold-harmless, participant-to-participant matters, non-joinder, evidence preservation and the Montréal professional dispute pathway.</w:t>
            </w:r>
          </w:p>
        </w:tc>
      </w:tr>
      <w:tr>
        <w:tc>
          <w:tcPr>
            <w:tcW w:type="dxa" w:w="112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4 min</w:t>
            </w:r>
          </w:p>
        </w:tc>
        <w:tc>
          <w:tcPr>
            <w:tcW w:type="dxa" w:w="244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Evidence status</w:t>
            </w:r>
          </w:p>
        </w:tc>
        <w:tc>
          <w:tcPr>
            <w:tcW w:type="dxa" w:w="676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Specified vs implemented vs reference-ready vs planning-ready vs pending.</w:t>
            </w:r>
          </w:p>
        </w:tc>
      </w:tr>
      <w:tr>
        <w:tc>
          <w:tcPr>
            <w:tcW w:type="dxa" w:w="112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4 min</w:t>
            </w:r>
          </w:p>
        </w:tc>
        <w:tc>
          <w:tcPr>
            <w:tcW w:type="dxa" w:w="244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Pilot design</w:t>
            </w:r>
          </w:p>
        </w:tc>
        <w:tc>
          <w:tcPr>
            <w:tcW w:type="dxa" w:w="676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Name the objective, sponsor, reviewer, private evidence boundary and 15-business-day close.</w:t>
            </w:r>
          </w:p>
        </w:tc>
      </w:tr>
    </w:tbl>
    <w:p>
      <w:pPr>
        <w:spacing w:after="0"/>
      </w:pPr>
    </w:p>
    <w:p>
      <w:pPr>
        <w:pStyle w:val="Heading2"/>
      </w:pPr>
      <w:r>
        <w:t>Questions that convert interest into a mission</w:t>
      </w:r>
    </w:p>
    <w:p>
      <w:pPr>
        <w:pStyle w:val="ListBullet"/>
        <w:spacing w:after="40" w:line="250" w:lineRule="auto"/>
        <w:ind w:left="259" w:hanging="173"/>
      </w:pPr>
      <w:r>
        <w:rPr>
          <w:rFonts w:ascii="Arial" w:hAnsi="Arial" w:eastAsia="Arial"/>
          <w:b w:val="0"/>
          <w:i w:val="0"/>
          <w:caps w:val="0"/>
          <w:color w:val="14263C"/>
          <w:sz w:val="18"/>
        </w:rPr>
        <w:t>Which decision has high value but is still reversible?</w:t>
      </w:r>
    </w:p>
    <w:p>
      <w:pPr>
        <w:pStyle w:val="ListBullet"/>
        <w:spacing w:after="40" w:line="250" w:lineRule="auto"/>
        <w:ind w:left="259" w:hanging="173"/>
      </w:pPr>
      <w:r>
        <w:rPr>
          <w:rFonts w:ascii="Arial" w:hAnsi="Arial" w:eastAsia="Arial"/>
          <w:b w:val="0"/>
          <w:i w:val="0"/>
          <w:caps w:val="0"/>
          <w:color w:val="14263C"/>
          <w:sz w:val="18"/>
        </w:rPr>
        <w:t>What claim is currently being accepted without enough evidence?</w:t>
      </w:r>
    </w:p>
    <w:p>
      <w:pPr>
        <w:pStyle w:val="ListBullet"/>
        <w:spacing w:after="40" w:line="250" w:lineRule="auto"/>
        <w:ind w:left="259" w:hanging="173"/>
      </w:pPr>
      <w:r>
        <w:rPr>
          <w:rFonts w:ascii="Arial" w:hAnsi="Arial" w:eastAsia="Arial"/>
          <w:b w:val="0"/>
          <w:i w:val="0"/>
          <w:caps w:val="0"/>
          <w:color w:val="14263C"/>
          <w:sz w:val="18"/>
        </w:rPr>
        <w:t>Who must be able to challenge or reject the result?</w:t>
      </w:r>
    </w:p>
    <w:p>
      <w:pPr>
        <w:pStyle w:val="ListBullet"/>
        <w:spacing w:after="40" w:line="250" w:lineRule="auto"/>
        <w:ind w:left="259" w:hanging="173"/>
      </w:pPr>
      <w:r>
        <w:rPr>
          <w:rFonts w:ascii="Arial" w:hAnsi="Arial" w:eastAsia="Arial"/>
          <w:b w:val="0"/>
          <w:i w:val="0"/>
          <w:caps w:val="0"/>
          <w:color w:val="14263C"/>
          <w:sz w:val="18"/>
        </w:rPr>
        <w:t>Which evidence is private, privileged, regulated or commercially sensitive?</w:t>
      </w:r>
    </w:p>
    <w:p>
      <w:pPr>
        <w:pStyle w:val="ListBullet"/>
        <w:spacing w:after="40" w:line="250" w:lineRule="auto"/>
        <w:ind w:left="259" w:hanging="173"/>
      </w:pPr>
      <w:r>
        <w:rPr>
          <w:rFonts w:ascii="Arial" w:hAnsi="Arial" w:eastAsia="Arial"/>
          <w:b w:val="0"/>
          <w:i w:val="0"/>
          <w:caps w:val="0"/>
          <w:color w:val="14263C"/>
          <w:sz w:val="18"/>
        </w:rPr>
        <w:t>What conditions would justify a limited pilot, and what must remain blocked?</w:t>
      </w:r>
    </w:p>
    <w:p>
      <w:pPr>
        <w:pStyle w:val="ListBullet"/>
        <w:spacing w:after="40" w:line="250" w:lineRule="auto"/>
        <w:ind w:left="259" w:hanging="173"/>
      </w:pPr>
      <w:r>
        <w:rPr>
          <w:rFonts w:ascii="Arial" w:hAnsi="Arial" w:eastAsia="Arial"/>
          <w:b w:val="0"/>
          <w:i w:val="0"/>
          <w:caps w:val="0"/>
          <w:color w:val="14263C"/>
          <w:sz w:val="18"/>
        </w:rPr>
        <w:t>What would a successful result improve in the next related decision?</w:t>
      </w:r>
    </w:p>
    <w:tbl>
      <w:tblPr>
        <w:tblW w:type="auto" w:w="0"/>
        <w:jc w:val="center"/>
        <w:tblLayout w:type="fixed"/>
        <w:tblLook w:firstColumn="1" w:firstRow="1" w:lastColumn="0" w:lastRow="0" w:noHBand="0" w:noVBand="1" w:val="04A0"/>
      </w:tblPr>
      <w:tblGrid>
        <w:gridCol w:w="10454"/>
      </w:tblGrid>
      <w:tr>
        <w:tc>
          <w:tcPr>
            <w:tcW w:type="dxa" w:w="10339"/>
            <w:shd w:fill="21805A"/>
            <w:tcMar>
              <w:top w:w="75" w:type="dxa"/>
              <w:start w:w="110" w:type="dxa"/>
              <w:bottom w:w="65" w:type="dxa"/>
              <w:end w:w="110" w:type="dxa"/>
            </w:tcMar>
            <w:tcBorders>
              <w:top w:val="single" w:sz="7" w:color="21805A"/>
              <w:left w:val="single" w:sz="7" w:color="21805A"/>
              <w:bottom w:val="single" w:sz="7" w:color="21805A"/>
              <w:right w:val="single" w:sz="7" w:color="21805A"/>
            </w:tcBorders>
          </w:tcPr>
          <w:p>
            <w:r>
              <w:rPr>
                <w:rFonts w:ascii="Arial" w:hAnsi="Arial" w:eastAsia="Arial"/>
                <w:b/>
                <w:i w:val="0"/>
                <w:caps/>
                <w:color w:val="FFFFFF"/>
                <w:sz w:val="15"/>
              </w:rPr>
              <w:t>PILOT QUALIFICATION RULE</w:t>
            </w:r>
          </w:p>
        </w:tc>
      </w:tr>
      <w:tr>
        <w:tc>
          <w:tcPr>
            <w:tcW w:type="dxa" w:w="10339"/>
            <w:shd w:fill="EFF9F4"/>
            <w:tcMar>
              <w:top w:w="125" w:type="dxa"/>
              <w:start w:w="140" w:type="dxa"/>
              <w:bottom w:w="125" w:type="dxa"/>
              <w:end w:w="140" w:type="dxa"/>
            </w:tcMar>
            <w:tcBorders>
              <w:top w:val="single" w:sz="7" w:color="21805A"/>
              <w:left w:val="single" w:sz="7" w:color="21805A"/>
              <w:bottom w:val="single" w:sz="7" w:color="21805A"/>
              <w:right w:val="single" w:sz="7" w:color="21805A"/>
            </w:tcBorders>
          </w:tcPr>
          <w:p>
            <w:pPr>
              <w:jc w:val="center"/>
            </w:pPr>
            <w:r>
              <w:rPr>
                <w:rFonts w:ascii="Georgia" w:hAnsi="Georgia" w:eastAsia="Georgia"/>
                <w:b/>
                <w:i w:val="0"/>
                <w:caps w:val="0"/>
                <w:color w:val="14263C"/>
                <w:sz w:val="24"/>
              </w:rPr>
              <w:t>Choose a mission with a real decision, accessible evidence, an independent reviewer, a bounded action and a credible rollback. Avoid missions that require unsupported production autonomy or professional advice.</w:t>
            </w:r>
          </w:p>
        </w:tc>
      </w:tr>
    </w:tbl>
    <w:p>
      <w:pPr>
        <w:spacing w:after="0"/>
      </w:pPr>
    </w:p>
    <w:p>
      <w:r>
        <w:br w:type="page"/>
      </w:r>
    </w:p>
    <w:p>
      <w:pPr>
        <w:pStyle w:val="Eyebrow"/>
      </w:pPr>
      <w:r>
        <w:t>04 · HIGH-CALIBRE PARTNER QUESTIONS</w:t>
      </w:r>
    </w:p>
    <w:p>
      <w:pPr>
        <w:pStyle w:val="Heading1"/>
      </w:pPr>
      <w:r>
        <w:t>Answer with precision, not hype.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3168"/>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Question</w:t>
            </w:r>
          </w:p>
        </w:tc>
        <w:tc>
          <w:tcPr>
            <w:tcW w:type="dxa" w:w="7171"/>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Disciplined answer</w:t>
            </w:r>
          </w:p>
        </w:tc>
      </w:tr>
      <w:tr>
        <w:tc>
          <w:tcPr>
            <w:tcW w:type="dxa" w:w="316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Is this another agent orchestration platform?</w:t>
            </w:r>
          </w:p>
        </w:tc>
        <w:tc>
          <w:tcPr>
            <w:tcW w:type="dxa" w:w="717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No. Agent execution is only one layer. GoalOS governs what work must prove before it can be trusted, paid, remembered, reused or propagated.</w:t>
            </w:r>
          </w:p>
        </w:tc>
      </w:tr>
      <w:tr>
        <w:tc>
          <w:tcPr>
            <w:tcW w:type="dxa" w:w="316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What is the product today?</w:t>
            </w:r>
          </w:p>
        </w:tc>
        <w:tc>
          <w:tcPr>
            <w:tcW w:type="dxa" w:w="717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A browser-local partner demonstrator, a reference proof institution and a Proof Mission operating method that produces Governed Decision States and Evidence Dockets.</w:t>
            </w:r>
          </w:p>
        </w:tc>
      </w:tr>
      <w:tr>
        <w:tc>
          <w:tcPr>
            <w:tcW w:type="dxa" w:w="316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What is the moat?</w:t>
            </w:r>
          </w:p>
        </w:tc>
        <w:tc>
          <w:tcPr>
            <w:tcW w:type="dxa" w:w="717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Accumulated evidence-backed capability: scope, method, replay, validator history, delayed outcomes, risk, rollback, policy and lineage.</w:t>
            </w:r>
          </w:p>
        </w:tc>
      </w:tr>
      <w:tr>
        <w:tc>
          <w:tcPr>
            <w:tcW w:type="dxa" w:w="316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Where does $AGIALPHA fit?</w:t>
            </w:r>
          </w:p>
        </w:tc>
        <w:tc>
          <w:tcPr>
            <w:tcW w:type="dxa" w:w="717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$AGIALPHA is the bonded-authority rail around payment, trust, challenge, reuse, node eligibility and upgrades. It is not equity, a dividend, a guarantee or the intelligence itself.</w:t>
            </w:r>
          </w:p>
        </w:tc>
      </w:tr>
      <w:tr>
        <w:tc>
          <w:tcPr>
            <w:tcW w:type="dxa" w:w="316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Can customers avoid token complexity?</w:t>
            </w:r>
          </w:p>
        </w:tc>
        <w:tc>
          <w:tcPr>
            <w:tcW w:type="dxa" w:w="717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Yes. Ordinary customers can purchase fiat-denominated proof services while professional providers and validators supply protocol security behind the scenes.</w:t>
            </w:r>
          </w:p>
        </w:tc>
      </w:tr>
      <w:tr>
        <w:tc>
          <w:tcPr>
            <w:tcW w:type="dxa" w:w="316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Is this production-ready?</w:t>
            </w:r>
          </w:p>
        </w:tc>
        <w:tc>
          <w:tcPr>
            <w:tcW w:type="dxa" w:w="717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The doctrine is specified, the browser institution is implemented and reference runtime/contract packages exist. Reviewed live deployment and independent replay remain gated.</w:t>
            </w:r>
          </w:p>
        </w:tc>
      </w:tr>
      <w:tr>
        <w:tc>
          <w:tcPr>
            <w:tcW w:type="dxa" w:w="316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How are responsibility and recourse allocated?</w:t>
            </w:r>
          </w:p>
        </w:tc>
        <w:tc>
          <w:tcPr>
            <w:tcW w:type="dxa" w:w="717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Each Participant acts solely for its own account and contractually assumes exclusive responsibility for its objectives, data, content, systems, personnel, wallets, transactions, taxes, licences, compliance, security, decisions and downstream use. Participation also carries release, non-recourse, hold-harmless for Participant-caused matters and non-joinder obligations in favour of the Protected Parties. User-to-user matters remain between the relevant Participants.</w:t>
            </w:r>
          </w:p>
        </w:tc>
      </w:tr>
      <w:tr>
        <w:tc>
          <w:tcPr>
            <w:tcW w:type="dxa" w:w="316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Why now?</w:t>
            </w:r>
          </w:p>
        </w:tc>
        <w:tc>
          <w:tcPr>
            <w:tcW w:type="dxa" w:w="717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AI has made output cheap. Institutions increasingly need evidence, review, rollback, memory control and accountability before autonomous work can carry authority.</w:t>
            </w:r>
          </w:p>
        </w:tc>
      </w:tr>
      <w:tr>
        <w:tc>
          <w:tcPr>
            <w:tcW w:type="dxa" w:w="316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What is the first commercial wedge?</w:t>
            </w:r>
          </w:p>
        </w:tc>
        <w:tc>
          <w:tcPr>
            <w:tcW w:type="dxa" w:w="7171"/>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One bounded Proof Mission on a consequential decision, followed by recurring Proof OS only after bilateral value is demonstrated.</w:t>
            </w:r>
          </w:p>
        </w:tc>
      </w:tr>
      <w:tr>
        <w:tc>
          <w:tcPr>
            <w:tcW w:type="dxa" w:w="316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What would falsify the proposition?</w:t>
            </w:r>
          </w:p>
        </w:tc>
        <w:tc>
          <w:tcPr>
            <w:tcW w:type="dxa" w:w="7171"/>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Failure to produce decision-useful evidence, independent replay, lower proof debt, better bounded action or reusable capability compared with simpler baselines.</w:t>
            </w:r>
          </w:p>
        </w:tc>
      </w:tr>
    </w:tbl>
    <w:p>
      <w:pPr>
        <w:spacing w:after="0"/>
      </w:pPr>
    </w:p>
    <w:p>
      <w:r>
        <w:br w:type="page"/>
      </w:r>
    </w:p>
    <w:p>
      <w:pPr>
        <w:pStyle w:val="Eyebrow"/>
      </w:pPr>
      <w:r>
        <w:t>05 · CLAIM-SAFE LANGUAGE AND CLOSE</w:t>
      </w:r>
    </w:p>
    <w:p>
      <w:pPr>
        <w:pStyle w:val="Heading1"/>
      </w:pPr>
      <w:r>
        <w:t>Use strong claims that the evidence actually supports.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655"/>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Control</w:t>
            </w:r>
          </w:p>
        </w:tc>
        <w:tc>
          <w:tcPr>
            <w:tcW w:type="dxa" w:w="8683"/>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Approved formulation / prohibition</w:t>
            </w:r>
          </w:p>
        </w:tc>
      </w:tr>
      <w:tr>
        <w:tc>
          <w:tcPr>
            <w:tcW w:type="dxa" w:w="165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Say</w:t>
            </w:r>
          </w:p>
        </w:tc>
        <w:tc>
          <w:tcPr>
            <w:tcW w:type="dxa" w:w="868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“GoalOS is a proof-to-capability architecture and implemented browser-local reference institution.”</w:t>
            </w:r>
          </w:p>
        </w:tc>
      </w:tr>
      <w:tr>
        <w:tc>
          <w:tcPr>
            <w:tcW w:type="dxa" w:w="1655"/>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Say</w:t>
            </w:r>
          </w:p>
        </w:tc>
        <w:tc>
          <w:tcPr>
            <w:tcW w:type="dxa" w:w="868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“The product turns one objective into a Governed Decision State with claims, evidence, risk, action and rollback.”</w:t>
            </w:r>
          </w:p>
        </w:tc>
      </w:tr>
      <w:tr>
        <w:tc>
          <w:tcPr>
            <w:tcW w:type="dxa" w:w="165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Say</w:t>
            </w:r>
          </w:p>
        </w:tc>
        <w:tc>
          <w:tcPr>
            <w:tcW w:type="dxa" w:w="868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“$AGIALPHA makes accepted proof economically accountable within the protocol design.”</w:t>
            </w:r>
          </w:p>
        </w:tc>
      </w:tr>
      <w:tr>
        <w:tc>
          <w:tcPr>
            <w:tcW w:type="dxa" w:w="1655"/>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Say</w:t>
            </w:r>
          </w:p>
        </w:tc>
        <w:tc>
          <w:tcPr>
            <w:tcW w:type="dxa" w:w="868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“The system is architecturally pointed at proof-gated open-ended work; real missions and independent replay determine empirical authority.”</w:t>
            </w:r>
          </w:p>
        </w:tc>
      </w:tr>
      <w:tr>
        <w:tc>
          <w:tcPr>
            <w:tcW w:type="dxa" w:w="165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Do not say</w:t>
            </w:r>
          </w:p>
        </w:tc>
        <w:tc>
          <w:tcPr>
            <w:tcW w:type="dxa" w:w="868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“GoalOS has achieved AGI, ASI or superintelligence.”</w:t>
            </w:r>
          </w:p>
        </w:tc>
      </w:tr>
      <w:tr>
        <w:tc>
          <w:tcPr>
            <w:tcW w:type="dxa" w:w="1655"/>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pPr>
              <w:spacing w:before="0" w:after="0"/>
            </w:pPr>
            <w:r/>
            <w:r>
              <w:rPr>
                <w:b/>
              </w:rPr>
              <w:t>Use when relevant</w:t>
            </w:r>
          </w:p>
        </w:tc>
        <w:tc>
          <w:tcPr>
            <w:tcW w:type="dxa" w:w="868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“Participation is governed by versioned user-responsibility, risk-assumption, release, hold-harmless, participant-to-participant, non-joinder and Montréal dispute terms.”</w:t>
            </w:r>
          </w:p>
        </w:tc>
      </w:tr>
      <w:tr>
        <w:tc>
          <w:tcPr>
            <w:tcW w:type="dxa" w:w="1655"/>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Do not say</w:t>
            </w:r>
          </w:p>
        </w:tc>
        <w:tc>
          <w:tcPr>
            <w:tcW w:type="dxa" w:w="868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“$AGIALPHA guarantees value, profit, yield, liquidity or appreciation.”</w:t>
            </w:r>
          </w:p>
        </w:tc>
      </w:tr>
      <w:tr>
        <w:tc>
          <w:tcPr>
            <w:tcW w:type="dxa" w:w="1655"/>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Do not say</w:t>
            </w:r>
          </w:p>
        </w:tc>
        <w:tc>
          <w:tcPr>
            <w:tcW w:type="dxa" w:w="868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“The current demonstration is an external audit, production certification or legal opinion.”</w:t>
            </w:r>
          </w:p>
        </w:tc>
      </w:tr>
    </w:tbl>
    <w:p>
      <w:pPr>
        <w:spacing w:after="0"/>
      </w:pPr>
    </w:p>
    <w:p>
      <w:pPr>
        <w:pStyle w:val="Heading2"/>
      </w:pPr>
      <w:r>
        <w:t>Closing language</w:t>
      </w:r>
    </w:p>
    <w:tbl>
      <w:tblPr>
        <w:tblW w:type="auto" w:w="0"/>
        <w:jc w:val="center"/>
        <w:tblLayout w:type="fixed"/>
        <w:tblLook w:firstColumn="1" w:firstRow="1" w:lastColumn="0" w:lastRow="0" w:noHBand="0" w:noVBand="1" w:val="04A0"/>
      </w:tblPr>
      <w:tblGrid>
        <w:gridCol w:w="10454"/>
      </w:tblGrid>
      <w:tr>
        <w:tc>
          <w:tcPr>
            <w:tcW w:type="dxa" w:w="10339"/>
            <w:shd w:fill="B8872E"/>
            <w:tcMar>
              <w:top w:w="75" w:type="dxa"/>
              <w:start w:w="110" w:type="dxa"/>
              <w:bottom w:w="65" w:type="dxa"/>
              <w:end w:w="110" w:type="dxa"/>
            </w:tcMar>
            <w:tcBorders>
              <w:top w:val="single" w:sz="7" w:color="B8872E"/>
              <w:left w:val="single" w:sz="7" w:color="B8872E"/>
              <w:bottom w:val="single" w:sz="7" w:color="B8872E"/>
              <w:right w:val="single" w:sz="7" w:color="B8872E"/>
            </w:tcBorders>
          </w:tcPr>
          <w:p>
            <w:r>
              <w:rPr>
                <w:rFonts w:ascii="Arial" w:hAnsi="Arial" w:eastAsia="Arial"/>
                <w:b/>
                <w:i w:val="0"/>
                <w:caps/>
                <w:color w:val="FFFFFF"/>
                <w:sz w:val="15"/>
              </w:rPr>
              <w:t>FINAL CLOSE</w:t>
            </w:r>
          </w:p>
        </w:tc>
      </w:tr>
      <w:tr>
        <w:tc>
          <w:tcPr>
            <w:tcW w:type="dxa" w:w="10339"/>
            <w:shd w:fill="FFF2CF"/>
            <w:tcMar>
              <w:top w:w="125" w:type="dxa"/>
              <w:start w:w="140" w:type="dxa"/>
              <w:bottom w:w="125" w:type="dxa"/>
              <w:end w:w="140" w:type="dxa"/>
            </w:tcMar>
            <w:tcBorders>
              <w:top w:val="single" w:sz="7" w:color="B8872E"/>
              <w:left w:val="single" w:sz="7" w:color="B8872E"/>
              <w:bottom w:val="single" w:sz="7" w:color="B8872E"/>
              <w:right w:val="single" w:sz="7" w:color="B8872E"/>
            </w:tcBorders>
          </w:tcPr>
          <w:p>
            <w:pPr>
              <w:jc w:val="center"/>
            </w:pPr>
            <w:r>
              <w:rPr>
                <w:rFonts w:ascii="Georgia" w:hAnsi="Georgia" w:eastAsia="Georgia"/>
                <w:b/>
                <w:i w:val="0"/>
                <w:caps w:val="0"/>
                <w:color w:val="14263C"/>
                <w:sz w:val="24"/>
              </w:rPr>
              <w:t>We are not asking you to endorse the full long-range thesis. Give GoalOS one consequential, reversible objective. Let the system produce the proof, the boundary and the decision. Then expand only if the evidence earns it.</w:t>
            </w:r>
          </w:p>
        </w:tc>
      </w:tr>
    </w:tbl>
    <w:p>
      <w:pPr>
        <w:spacing w:after="0"/>
      </w:pPr>
    </w:p>
    <w:p>
      <w:pPr>
        <w:pStyle w:val="Heading2"/>
      </w:pPr>
      <w:r>
        <w:t>Immediate next actions</w:t>
      </w:r>
    </w:p>
    <w:p>
      <w:pPr>
        <w:pStyle w:val="ListBullet"/>
        <w:spacing w:after="40" w:line="250" w:lineRule="auto"/>
        <w:ind w:left="259" w:hanging="173"/>
      </w:pPr>
      <w:r>
        <w:rPr>
          <w:rFonts w:ascii="Arial" w:hAnsi="Arial" w:eastAsia="Arial"/>
          <w:b w:val="0"/>
          <w:i w:val="0"/>
          <w:caps w:val="0"/>
          <w:color w:val="14263C"/>
          <w:sz w:val="18"/>
        </w:rPr>
        <w:t>Select the first mission and name the executive sponsor.</w:t>
      </w:r>
    </w:p>
    <w:p>
      <w:pPr>
        <w:pStyle w:val="ListBullet"/>
        <w:spacing w:after="40" w:line="250" w:lineRule="auto"/>
        <w:ind w:left="259" w:hanging="173"/>
      </w:pPr>
      <w:r>
        <w:rPr>
          <w:rFonts w:ascii="Arial" w:hAnsi="Arial" w:eastAsia="Arial"/>
          <w:b w:val="0"/>
          <w:i w:val="0"/>
          <w:caps w:val="0"/>
          <w:color w:val="14263C"/>
          <w:sz w:val="18"/>
        </w:rPr>
        <w:t>Define the decision deadline and the maximum authority the pilot may grant.</w:t>
      </w:r>
    </w:p>
    <w:p>
      <w:pPr>
        <w:pStyle w:val="ListBullet"/>
        <w:spacing w:after="40" w:line="250" w:lineRule="auto"/>
        <w:ind w:left="259" w:hanging="173"/>
      </w:pPr>
      <w:r>
        <w:rPr>
          <w:rFonts w:ascii="Arial" w:hAnsi="Arial" w:eastAsia="Arial"/>
          <w:b w:val="0"/>
          <w:i w:val="0"/>
          <w:caps w:val="0"/>
          <w:color w:val="14263C"/>
          <w:sz w:val="18"/>
        </w:rPr>
        <w:t>Identify the independent reviewer and private evidence boundary.</w:t>
      </w:r>
    </w:p>
    <w:p>
      <w:pPr>
        <w:pStyle w:val="ListBullet"/>
        <w:spacing w:after="40" w:line="250" w:lineRule="auto"/>
        <w:ind w:left="259" w:hanging="173"/>
      </w:pPr>
      <w:r>
        <w:rPr>
          <w:rFonts w:ascii="Arial" w:hAnsi="Arial" w:eastAsia="Arial"/>
          <w:b w:val="0"/>
          <w:i w:val="0"/>
          <w:caps w:val="0"/>
          <w:color w:val="14263C"/>
          <w:sz w:val="18"/>
        </w:rPr>
        <w:t>Freeze the Mission Contract and launch the 15-business-day proof cycle.</w:t>
      </w:r>
    </w:p>
    <w:p>
      <w:pPr>
        <w:pStyle w:val="ListBullet"/>
        <w:spacing w:after="40" w:line="250" w:lineRule="auto"/>
        <w:ind w:left="259" w:hanging="173"/>
      </w:pPr>
      <w:r>
        <w:rPr>
          <w:rFonts w:ascii="Arial" w:hAnsi="Arial" w:eastAsia="Arial"/>
          <w:b w:val="0"/>
          <w:i w:val="0"/>
          <w:caps w:val="0"/>
          <w:color w:val="14263C"/>
          <w:sz w:val="18"/>
        </w:rPr>
        <w:t>Review the Evidence Docket, Chronicle verdict and reusable capability passport.</w:t>
      </w:r>
    </w:p>
    <w:p>
      <w:pPr>
        <w:keepNext w:val="0"/>
        <w:spacing w:before="0" w:after="80" w:line="259" w:lineRule="auto"/>
        <w:jc w:val="center"/>
      </w:pPr>
      <w:r>
        <w:rPr>
          <w:rFonts w:ascii="Arial" w:hAnsi="Arial" w:eastAsia="Arial"/>
          <w:b w:val="0"/>
          <w:i w:val="0"/>
          <w:caps w:val="0"/>
          <w:color w:val="68788D"/>
          <w:sz w:val="16"/>
        </w:rPr>
        <w:t>Presenter reminder: the strongest impression comes from disciplined specificity. Show the system, show the artifacts, show the participation receipt, show the decision boundary, and end with a real mission.</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749" w:right="893" w:bottom="749" w:left="893" w:header="360"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227"/>
      <w:gridCol w:w="5227"/>
    </w:tblGrid>
    <w:tr>
      <w:tc>
        <w:tcPr>
          <w:tcW w:type="dxa" w:w="8352"/>
          <w:shd w:fill="FFFDF8"/>
          <w:tcMar>
            <w:top w:w="35" w:type="dxa"/>
            <w:start w:w="0" w:type="dxa"/>
            <w:bottom w:w="0" w:type="dxa"/>
            <w:end w:w="0" w:type="dxa"/>
          </w:tcMar>
          <w:tcBorders>
            <w:top w:val="single" w:sz="6" w:color="D9D0C1"/>
          </w:tcBorders>
        </w:tcPr>
        <w:p>
          <w:r>
            <w:rPr>
              <w:rFonts w:ascii="Arial" w:hAnsi="Arial" w:eastAsia="Arial"/>
              <w:b/>
              <w:i w:val="0"/>
              <w:caps w:val="0"/>
              <w:color w:val="68788D"/>
              <w:sz w:val="15"/>
            </w:rPr>
            <w:t>GOALOS / AGI ALPHA RESEARCH ARCHITECTURE · JULY 2026</w:t>
          </w:r>
        </w:p>
      </w:tc>
      <w:tc>
        <w:tcPr>
          <w:tcW w:type="dxa" w:w="2102"/>
          <w:shd w:fill="FFFDF8"/>
          <w:tcMar>
            <w:top w:w="35" w:type="dxa"/>
            <w:start w:w="0" w:type="dxa"/>
            <w:bottom w:w="0" w:type="dxa"/>
            <w:end w:w="0" w:type="dxa"/>
          </w:tcMar>
          <w:tcBorders>
            <w:top w:val="single" w:sz="6" w:color="D9D0C1"/>
          </w:tcBorders>
        </w:tcPr>
        <w:p>
          <w:pPr>
            <w:jc w:val="right"/>
          </w:pPr>
          <w:r>
            <w:rPr>
              <w:rFonts w:ascii="Arial" w:hAnsi="Arial" w:eastAsia="Arial"/>
              <w:b/>
              <w:i w:val="0"/>
              <w:caps w:val="0"/>
              <w:color w:val="68788D"/>
              <w:sz w:val="16"/>
            </w:rPr>
            <w:t xml:space="preserve">PAGE </w:t>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27"/>
      <w:gridCol w:w="5227"/>
    </w:tblGrid>
    <w:tr>
      <w:tc>
        <w:tcPr>
          <w:tcW w:type="dxa" w:w="5227"/>
          <w:shd w:fill="FFFDF8"/>
          <w:tcMar>
            <w:top w:w="0" w:type="dxa"/>
            <w:start w:w="0" w:type="dxa"/>
            <w:bottom w:w="40" w:type="dxa"/>
            <w:end w:w="0" w:type="dxa"/>
          </w:tcMar>
          <w:tcBorders>
            <w:bottom w:val="single" w:sz="6" w:color="D9D0C1"/>
          </w:tcBorders>
        </w:tcPr>
        <w:p>
          <w:r>
            <w:rPr>
              <w:rFonts w:ascii="Arial" w:hAnsi="Arial" w:eastAsia="Arial"/>
              <w:b/>
              <w:i w:val="0"/>
              <w:caps/>
              <w:color w:val="68788D"/>
              <w:sz w:val="15"/>
            </w:rPr>
            <w:t>GOALOS / FINAL PRODUCTION PARTNER EDITION</w:t>
          </w:r>
        </w:p>
      </w:tc>
      <w:tc>
        <w:tcPr>
          <w:tcW w:type="dxa" w:w="5227"/>
          <w:shd w:fill="FFFDF8"/>
          <w:tcMar>
            <w:top w:w="0" w:type="dxa"/>
            <w:start w:w="0" w:type="dxa"/>
            <w:bottom w:w="40" w:type="dxa"/>
            <w:end w:w="0" w:type="dxa"/>
          </w:tcMar>
          <w:tcBorders>
            <w:bottom w:val="single" w:sz="6" w:color="D9D0C1"/>
          </w:tcBorders>
        </w:tcPr>
        <w:p>
          <w:pPr>
            <w:jc w:val="right"/>
          </w:pPr>
          <w:r>
            <w:rPr>
              <w:rFonts w:ascii="Arial" w:hAnsi="Arial" w:eastAsia="Arial"/>
              <w:b/>
              <w:i w:val="0"/>
              <w:caps/>
              <w:color w:val="68788D"/>
              <w:sz w:val="15"/>
            </w:rPr>
            <w:t>AI CREATES OUTPUT. GOALOS CREATES PROOF.</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426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20"/>
      <w:outlineLvl w:val="0"/>
    </w:pPr>
    <w:rPr>
      <w:rFonts w:asciiTheme="majorHAnsi" w:eastAsiaTheme="majorEastAsia" w:hAnsiTheme="majorHAnsi" w:cstheme="majorBidi" w:ascii="Georgia" w:hAnsi="Georgia" w:eastAsia="Georgia"/>
      <w:b/>
      <w:bCs/>
      <w:color w:val="07182B"/>
      <w:sz w:val="4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Georgia" w:hAnsi="Georgia" w:eastAsia="Georgia"/>
      <w:b/>
      <w:bCs/>
      <w:color w:val="07182B"/>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eastAsia="Arial"/>
      <w:b/>
      <w:bCs/>
      <w:color w:val="0718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eastAsia="Georgia"/>
      <w:color w:val="0718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Georgia" w:hAnsi="Georgia" w:eastAsia="Georgia"/>
      <w:i/>
      <w:iCs/>
      <w:color w:val="68788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00"/>
    </w:pPr>
    <w:rPr>
      <w:rFonts w:ascii="Arial" w:hAnsi="Arial" w:eastAsia="Arial"/>
      <w:b/>
      <w:caps/>
      <w:color w:val="B8872E"/>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GoalOS Partner Demonstration Runbook</dc:title>
  <dc:subject>Executive presentation and facilitation guide</dc:subject>
  <dc:creator>Vincent Boucher</dc:creator>
  <cp:keywords>GoalOS, AGI ALPHA, proof operating system, governed decision state, partner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