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52"/>
      </w:tblGrid>
      <w:tr>
        <w:tc>
          <w:tcPr>
            <w:tcW w:type="dxa" w:w="10282"/>
            <w:tcMar>
              <w:top w:w="160" w:type="dxa"/>
              <w:start w:w="260" w:type="dxa"/>
              <w:bottom w:w="160" w:type="dxa"/>
              <w:end w:w="260" w:type="dxa"/>
            </w:tcMar>
            <w:shd w:fill="07182B"/>
          </w:tcPr>
          <w:p>
            <w:pPr>
              <w:jc w:val="center"/>
            </w:pPr>
            <w:r>
              <w:rPr>
                <w:rFonts w:ascii="Arial" w:hAnsi="Arial"/>
                <w:b/>
                <w:color w:val="E9C87D"/>
                <w:sz w:val="24"/>
              </w:rPr>
              <w:t>GOALOS / AGI ALPHA</w:t>
            </w:r>
          </w:p>
        </w:tc>
      </w:tr>
      <w:tr>
        <w:tc>
          <w:tcPr>
            <w:tcW w:type="dxa" w:w="10282"/>
            <w:tcMar>
              <w:top w:w="160" w:type="dxa"/>
              <w:start w:w="260" w:type="dxa"/>
              <w:bottom w:w="160" w:type="dxa"/>
              <w:end w:w="260" w:type="dxa"/>
            </w:tcMar>
            <w:shd w:fill="07182B"/>
          </w:tcPr>
          <w:p>
            <w:pPr>
              <w:jc w:val="center"/>
            </w:pPr>
            <w:r>
              <w:rPr>
                <w:rFonts w:ascii="Georgia" w:hAnsi="Georgia"/>
                <w:b/>
                <w:color w:val="FFFFFF"/>
                <w:sz w:val="56"/>
              </w:rPr>
              <w:t>ENTERPRISE PARTICIPATION</w:t>
              <w:br/>
              <w:t>&amp; USER RESPONSIBILITY</w:t>
              <w:br/>
              <w:t>INSTRUMENT</w:t>
            </w:r>
          </w:p>
        </w:tc>
      </w:tr>
      <w:tr>
        <w:tc>
          <w:tcPr>
            <w:tcW w:type="dxa" w:w="10282"/>
            <w:tcMar>
              <w:top w:w="160" w:type="dxa"/>
              <w:start w:w="260" w:type="dxa"/>
              <w:bottom w:w="160" w:type="dxa"/>
              <w:end w:w="260" w:type="dxa"/>
            </w:tcMar>
            <w:shd w:fill="0C2C4D"/>
          </w:tcPr>
          <w:p>
            <w:pPr>
              <w:jc w:val="center"/>
            </w:pPr>
            <w:r>
              <w:rPr>
                <w:rFonts w:ascii="Arial" w:hAnsi="Arial"/>
                <w:b/>
                <w:color w:val="FFFFFF"/>
                <w:sz w:val="22"/>
              </w:rPr>
              <w:t>Exclusive User Responsibility · Assumption of Risk · Release · Hold Harmless · Non-Joinder · Montréal Dispute Protocol</w:t>
            </w:r>
          </w:p>
        </w:tc>
      </w:tr>
      <w:tr>
        <w:tc>
          <w:tcPr>
            <w:tcW w:type="dxa" w:w="10282"/>
            <w:tcMar>
              <w:top w:w="160" w:type="dxa"/>
              <w:start w:w="260" w:type="dxa"/>
              <w:bottom w:w="160" w:type="dxa"/>
              <w:end w:w="260" w:type="dxa"/>
            </w:tcMar>
            <w:shd w:fill="FFF7DF"/>
          </w:tcPr>
          <w:p>
            <w:pPr>
              <w:jc w:val="center"/>
            </w:pPr>
            <w:r>
              <w:rPr>
                <w:rFonts w:ascii="Arial" w:hAnsi="Arial"/>
                <w:b/>
                <w:color w:val="07182B"/>
                <w:sz w:val="18"/>
              </w:rPr>
              <w:t>FRENCH-FIRST BILINGUAL FINAL PRODUCTION PARTNER EDITION</w:t>
              <w:br/>
              <w:t>Version GOS-EPUR-2026.07-v2.1  |  Effective July 2026</w:t>
              <w:br/>
              <w:t>Terms hash: sha256:adc7ee767ea566ba2aa12885e50bbfd7bf22c65708b00ddfd292772fac8298cd</w:t>
            </w:r>
          </w:p>
        </w:tc>
      </w:tr>
    </w:tbl>
    <w:p/>
    <w:tbl>
      <w:tblPr>
        <w:tblW w:type="auto" w:w="0"/>
        <w:jc w:val="center"/>
        <w:tblLayout w:type="fixed"/>
        <w:tblLook w:firstColumn="1" w:firstRow="1" w:lastColumn="0" w:lastRow="0" w:noHBand="0" w:noVBand="1" w:val="04A0"/>
      </w:tblPr>
      <w:tblGrid>
        <w:gridCol w:w="10080"/>
      </w:tblGrid>
      <w:tr>
        <w:tc>
          <w:tcPr>
            <w:tcW w:type="dxa" w:w="10282"/>
            <w:shd w:fill="07182B"/>
            <w:tcMar>
              <w:top w:w="70" w:type="dxa"/>
              <w:start w:w="120" w:type="dxa"/>
              <w:bottom w:w="70" w:type="dxa"/>
              <w:end w:w="120" w:type="dxa"/>
            </w:tcMar>
          </w:tcPr>
          <w:p>
            <w:r>
              <w:rPr>
                <w:rFonts w:ascii="Arial" w:hAnsi="Arial"/>
                <w:b/>
                <w:color w:val="FFFFFF"/>
                <w:sz w:val="15"/>
              </w:rPr>
              <w:t>OPERATIVE COVENANT</w:t>
            </w:r>
          </w:p>
        </w:tc>
      </w:tr>
      <w:tr>
        <w:tc>
          <w:tcPr>
            <w:tcW w:type="dxa" w:w="10282"/>
            <w:shd w:fill="0C2C4D"/>
            <w:tcMar>
              <w:top w:w="110" w:type="dxa"/>
              <w:start w:w="140" w:type="dxa"/>
              <w:bottom w:w="110" w:type="dxa"/>
              <w:end w:w="140" w:type="dxa"/>
            </w:tcMar>
          </w:tcPr>
          <w:p>
            <w:r>
              <w:rPr>
                <w:rFonts w:ascii="Georgia" w:hAnsi="Georgia"/>
                <w:b/>
                <w:color w:val="FFFFFF"/>
                <w:sz w:val="20"/>
              </w:rPr>
              <w:t>Every Participant acts solely for its own account and assumes exclusive responsibility for its activity, decisions, transactions, obligations and downstream use.</w:t>
            </w:r>
          </w:p>
        </w:tc>
      </w:tr>
    </w:tbl>
    <w:p>
      <w:pPr>
        <w:spacing w:after="0"/>
      </w:pPr>
    </w:p>
    <w:p>
      <w:pPr>
        <w:jc w:val="center"/>
      </w:pPr>
      <w:r>
        <w:t>This instrument is intended to be incorporated into every professional or enterprise partner interaction, proof mission, interface, API, validation, settlement, reuse or deployment acceptance flow. The French version is presented first.</w:t>
      </w:r>
    </w:p>
    <w:p>
      <w:r>
        <w:br w:type="page"/>
      </w:r>
    </w:p>
    <w:p>
      <w:pPr>
        <w:pStyle w:val="Title"/>
      </w:pPr>
      <w:r>
        <w:t>DOCUMENT CONTROL &amp; CONTRACTUAL HIERARCHY</w:t>
      </w:r>
    </w:p>
    <w:p>
      <w:pPr>
        <w:spacing w:after="80"/>
        <w:pBdr>
          <w:bottom w:val="single" w:sz="36" w:space="1" w:color="B8872E"/>
        </w:pBdr>
      </w:pPr>
    </w:p>
    <w:tbl>
      <w:tblPr>
        <w:tblW w:type="auto" w:w="0"/>
        <w:jc w:val="center"/>
        <w:tblLayout w:type="fixed"/>
        <w:tblLook w:firstColumn="1" w:firstRow="1" w:lastColumn="0" w:lastRow="0" w:noHBand="0" w:noVBand="1" w:val="04A0"/>
      </w:tblPr>
      <w:tblGrid>
        <w:gridCol w:w="2376"/>
        <w:gridCol w:w="7560"/>
      </w:tblGrid>
      <w:tr>
        <w:tc>
          <w:tcPr>
            <w:tcW w:type="dxa" w:w="5141"/>
            <w:shd w:fill="07182B"/>
          </w:tcPr>
          <w:p>
            <w:r>
              <w:rPr>
                <w:rFonts w:ascii="Arial" w:hAnsi="Arial"/>
                <w:b/>
                <w:color w:val="FFFFFF"/>
                <w:sz w:val="17"/>
              </w:rPr>
              <w:t>Control field</w:t>
            </w:r>
          </w:p>
        </w:tc>
        <w:tc>
          <w:tcPr>
            <w:tcW w:type="dxa" w:w="5141"/>
            <w:shd w:fill="07182B"/>
          </w:tcPr>
          <w:p>
            <w:r>
              <w:rPr>
                <w:rFonts w:ascii="Arial" w:hAnsi="Arial"/>
                <w:b/>
                <w:color w:val="FFFFFF"/>
                <w:sz w:val="17"/>
              </w:rPr>
              <w:t>Operative value</w:t>
            </w:r>
          </w:p>
        </w:tc>
      </w:tr>
      <w:tr>
        <w:tc>
          <w:tcPr>
            <w:tcW w:type="dxa" w:w="2376"/>
            <w:shd w:fill="EEF3F7"/>
            <w:tcMar>
              <w:top w:w="95" w:type="dxa"/>
              <w:start w:w="115" w:type="dxa"/>
              <w:bottom w:w="95" w:type="dxa"/>
              <w:end w:w="115" w:type="dxa"/>
            </w:tcMar>
          </w:tcPr>
          <w:p>
            <w:r>
              <w:rPr>
                <w:rFonts w:ascii="Arial" w:hAnsi="Arial"/>
                <w:b/>
                <w:color w:val="07182B"/>
                <w:sz w:val="16"/>
              </w:rPr>
              <w:t>Document ID</w:t>
            </w:r>
          </w:p>
        </w:tc>
        <w:tc>
          <w:tcPr>
            <w:tcW w:type="dxa" w:w="7560"/>
            <w:tcMar>
              <w:top w:w="95" w:type="dxa"/>
              <w:start w:w="115" w:type="dxa"/>
              <w:bottom w:w="95" w:type="dxa"/>
              <w:end w:w="115" w:type="dxa"/>
            </w:tcMar>
          </w:tcPr>
          <w:p>
            <w:r>
              <w:rPr>
                <w:rFonts w:ascii="Arial" w:hAnsi="Arial"/>
                <w:color w:val="14263C"/>
                <w:sz w:val="16"/>
              </w:rPr>
              <w:t>GOS-EPUR-2026.07-v2.1</w:t>
            </w:r>
          </w:p>
        </w:tc>
      </w:tr>
      <w:tr>
        <w:tc>
          <w:tcPr>
            <w:tcW w:type="dxa" w:w="2376"/>
            <w:shd w:fill="EEF3F7"/>
            <w:tcMar>
              <w:top w:w="95" w:type="dxa"/>
              <w:start w:w="115" w:type="dxa"/>
              <w:bottom w:w="95" w:type="dxa"/>
              <w:end w:w="115" w:type="dxa"/>
            </w:tcMar>
          </w:tcPr>
          <w:p>
            <w:r>
              <w:rPr>
                <w:rFonts w:ascii="Arial" w:hAnsi="Arial"/>
                <w:b/>
                <w:color w:val="07182B"/>
                <w:sz w:val="16"/>
              </w:rPr>
              <w:t>Effective date</w:t>
            </w:r>
          </w:p>
        </w:tc>
        <w:tc>
          <w:tcPr>
            <w:tcW w:type="dxa" w:w="7560"/>
            <w:tcMar>
              <w:top w:w="95" w:type="dxa"/>
              <w:start w:w="115" w:type="dxa"/>
              <w:bottom w:w="95" w:type="dxa"/>
              <w:end w:w="115" w:type="dxa"/>
            </w:tcMar>
          </w:tcPr>
          <w:p>
            <w:r>
              <w:rPr>
                <w:rFonts w:ascii="Arial" w:hAnsi="Arial"/>
                <w:color w:val="14263C"/>
                <w:sz w:val="16"/>
              </w:rPr>
              <w:t>July 2026</w:t>
            </w:r>
          </w:p>
        </w:tc>
      </w:tr>
      <w:tr>
        <w:tc>
          <w:tcPr>
            <w:tcW w:type="dxa" w:w="2376"/>
            <w:shd w:fill="EEF3F7"/>
            <w:tcMar>
              <w:top w:w="95" w:type="dxa"/>
              <w:start w:w="115" w:type="dxa"/>
              <w:bottom w:w="95" w:type="dxa"/>
              <w:end w:w="115" w:type="dxa"/>
            </w:tcMar>
          </w:tcPr>
          <w:p>
            <w:r>
              <w:rPr>
                <w:rFonts w:ascii="Arial" w:hAnsi="Arial"/>
                <w:b/>
                <w:color w:val="07182B"/>
                <w:sz w:val="16"/>
              </w:rPr>
              <w:t>Canonical terms hash</w:t>
            </w:r>
          </w:p>
        </w:tc>
        <w:tc>
          <w:tcPr>
            <w:tcW w:type="dxa" w:w="7560"/>
            <w:tcMar>
              <w:top w:w="95" w:type="dxa"/>
              <w:start w:w="115" w:type="dxa"/>
              <w:bottom w:w="95" w:type="dxa"/>
              <w:end w:w="115" w:type="dxa"/>
            </w:tcMar>
          </w:tcPr>
          <w:p>
            <w:r>
              <w:rPr>
                <w:rFonts w:ascii="Arial" w:hAnsi="Arial"/>
                <w:color w:val="14263C"/>
                <w:sz w:val="16"/>
              </w:rPr>
              <w:t>sha256:adc7ee767ea566ba2aa12885e50bbfd7bf22c65708b00ddfd292772fac8298cd</w:t>
            </w:r>
          </w:p>
        </w:tc>
      </w:tr>
      <w:tr>
        <w:tc>
          <w:tcPr>
            <w:tcW w:type="dxa" w:w="2376"/>
            <w:shd w:fill="EEF3F7"/>
            <w:tcMar>
              <w:top w:w="95" w:type="dxa"/>
              <w:start w:w="115" w:type="dxa"/>
              <w:bottom w:w="95" w:type="dxa"/>
              <w:end w:w="115" w:type="dxa"/>
            </w:tcMar>
          </w:tcPr>
          <w:p>
            <w:r>
              <w:rPr>
                <w:rFonts w:ascii="Arial" w:hAnsi="Arial"/>
                <w:b/>
                <w:color w:val="07182B"/>
                <w:sz w:val="16"/>
              </w:rPr>
              <w:t>Intended capacity</w:t>
            </w:r>
          </w:p>
        </w:tc>
        <w:tc>
          <w:tcPr>
            <w:tcW w:type="dxa" w:w="7560"/>
            <w:tcMar>
              <w:top w:w="95" w:type="dxa"/>
              <w:start w:w="115" w:type="dxa"/>
              <w:bottom w:w="95" w:type="dxa"/>
              <w:end w:w="115" w:type="dxa"/>
            </w:tcMar>
          </w:tcPr>
          <w:p>
            <w:r>
              <w:rPr>
                <w:rFonts w:ascii="Arial" w:hAnsi="Arial"/>
                <w:color w:val="14263C"/>
                <w:sz w:val="16"/>
              </w:rPr>
              <w:t>Enterprise, professional, institutional, governmental and research participants only</w:t>
            </w:r>
          </w:p>
        </w:tc>
      </w:tr>
      <w:tr>
        <w:tc>
          <w:tcPr>
            <w:tcW w:type="dxa" w:w="2376"/>
            <w:shd w:fill="EEF3F7"/>
            <w:tcMar>
              <w:top w:w="95" w:type="dxa"/>
              <w:start w:w="115" w:type="dxa"/>
              <w:bottom w:w="95" w:type="dxa"/>
              <w:end w:w="115" w:type="dxa"/>
            </w:tcMar>
          </w:tcPr>
          <w:p>
            <w:r>
              <w:rPr>
                <w:rFonts w:ascii="Arial" w:hAnsi="Arial"/>
                <w:b/>
                <w:color w:val="07182B"/>
                <w:sz w:val="16"/>
              </w:rPr>
              <w:t>Covered system</w:t>
            </w:r>
          </w:p>
        </w:tc>
        <w:tc>
          <w:tcPr>
            <w:tcW w:type="dxa" w:w="7560"/>
            <w:tcMar>
              <w:top w:w="95" w:type="dxa"/>
              <w:start w:w="115" w:type="dxa"/>
              <w:bottom w:w="95" w:type="dxa"/>
              <w:end w:w="115" w:type="dxa"/>
            </w:tcMar>
          </w:tcPr>
          <w:p>
            <w:r>
              <w:rPr>
                <w:rFonts w:ascii="Arial" w:hAnsi="Arial"/>
                <w:color w:val="14263C"/>
                <w:sz w:val="16"/>
              </w:rPr>
              <w:t>GoalOS, Mission OS, AGI Jobs, AGI Nodes, Chronicle, VSG, $AGIALPHA, smart contracts, interfaces, APIs, proof missions, Dockets, artifacts, namespaces and derivative deployments</w:t>
            </w:r>
          </w:p>
        </w:tc>
      </w:tr>
      <w:tr>
        <w:tc>
          <w:tcPr>
            <w:tcW w:type="dxa" w:w="2376"/>
            <w:shd w:fill="EEF3F7"/>
            <w:tcMar>
              <w:top w:w="95" w:type="dxa"/>
              <w:start w:w="115" w:type="dxa"/>
              <w:bottom w:w="95" w:type="dxa"/>
              <w:end w:w="115" w:type="dxa"/>
            </w:tcMar>
          </w:tcPr>
          <w:p>
            <w:r>
              <w:rPr>
                <w:rFonts w:ascii="Arial" w:hAnsi="Arial"/>
                <w:b/>
                <w:color w:val="07182B"/>
                <w:sz w:val="16"/>
              </w:rPr>
              <w:t>Acceptance evidence</w:t>
            </w:r>
          </w:p>
        </w:tc>
        <w:tc>
          <w:tcPr>
            <w:tcW w:type="dxa" w:w="7560"/>
            <w:tcMar>
              <w:top w:w="95" w:type="dxa"/>
              <w:start w:w="115" w:type="dxa"/>
              <w:bottom w:w="95" w:type="dxa"/>
              <w:end w:w="115" w:type="dxa"/>
            </w:tcMar>
          </w:tcPr>
          <w:p>
            <w:r>
              <w:rPr>
                <w:rFonts w:ascii="Arial" w:hAnsi="Arial"/>
                <w:color w:val="14263C"/>
                <w:sz w:val="16"/>
              </w:rPr>
              <w:t>Versioned receipt, represented principal, role, timestamp, interface version, wallet/credential event and mission identifiers</w:t>
            </w:r>
          </w:p>
        </w:tc>
      </w:tr>
      <w:tr>
        <w:tc>
          <w:tcPr>
            <w:tcW w:type="dxa" w:w="2376"/>
            <w:shd w:fill="EEF3F7"/>
            <w:tcMar>
              <w:top w:w="95" w:type="dxa"/>
              <w:start w:w="115" w:type="dxa"/>
              <w:bottom w:w="95" w:type="dxa"/>
              <w:end w:w="115" w:type="dxa"/>
            </w:tcMar>
          </w:tcPr>
          <w:p>
            <w:r>
              <w:rPr>
                <w:rFonts w:ascii="Arial" w:hAnsi="Arial"/>
                <w:b/>
                <w:color w:val="07182B"/>
                <w:sz w:val="16"/>
              </w:rPr>
              <w:t>Governing framework</w:t>
            </w:r>
          </w:p>
        </w:tc>
        <w:tc>
          <w:tcPr>
            <w:tcW w:type="dxa" w:w="7560"/>
            <w:tcMar>
              <w:top w:w="95" w:type="dxa"/>
              <w:start w:w="115" w:type="dxa"/>
              <w:bottom w:w="95" w:type="dxa"/>
              <w:end w:w="115" w:type="dxa"/>
            </w:tcMar>
          </w:tcPr>
          <w:p>
            <w:r>
              <w:rPr>
                <w:rFonts w:ascii="Arial" w:hAnsi="Arial"/>
                <w:color w:val="14263C"/>
                <w:sz w:val="16"/>
              </w:rPr>
              <w:t>Québec law and applicable federal law of Canada; Montréal professional dispute protocol</w:t>
            </w:r>
          </w:p>
        </w:tc>
      </w:tr>
      <w:tr>
        <w:tc>
          <w:tcPr>
            <w:tcW w:type="dxa" w:w="2376"/>
            <w:shd w:fill="EEF3F7"/>
            <w:tcMar>
              <w:top w:w="95" w:type="dxa"/>
              <w:start w:w="115" w:type="dxa"/>
              <w:bottom w:w="95" w:type="dxa"/>
              <w:end w:w="115" w:type="dxa"/>
            </w:tcMar>
          </w:tcPr>
          <w:p>
            <w:r>
              <w:rPr>
                <w:rFonts w:ascii="Arial" w:hAnsi="Arial"/>
                <w:b/>
                <w:color w:val="07182B"/>
                <w:sz w:val="16"/>
              </w:rPr>
              <w:t>Third-party protection</w:t>
            </w:r>
          </w:p>
        </w:tc>
        <w:tc>
          <w:tcPr>
            <w:tcW w:type="dxa" w:w="7560"/>
            <w:tcMar>
              <w:top w:w="95" w:type="dxa"/>
              <w:start w:w="115" w:type="dxa"/>
              <w:bottom w:w="95" w:type="dxa"/>
              <w:end w:w="115" w:type="dxa"/>
            </w:tcMar>
          </w:tcPr>
          <w:p>
            <w:r>
              <w:rPr>
                <w:rFonts w:ascii="Arial" w:hAnsi="Arial"/>
                <w:color w:val="14263C"/>
                <w:sz w:val="16"/>
              </w:rPr>
              <w:t>Each Protected Party is an intended third-party beneficiary with direct enforcement rights</w:t>
            </w:r>
          </w:p>
        </w:tc>
      </w:tr>
    </w:tbl>
    <w:tbl>
      <w:tblPr>
        <w:tblW w:type="auto" w:w="0"/>
        <w:jc w:val="center"/>
        <w:tblLayout w:type="fixed"/>
        <w:tblLook w:firstColumn="1" w:firstRow="1" w:lastColumn="0" w:lastRow="0" w:noHBand="0" w:noVBand="1" w:val="04A0"/>
      </w:tblPr>
      <w:tblGrid>
        <w:gridCol w:w="10080"/>
      </w:tblGrid>
      <w:tr>
        <w:tc>
          <w:tcPr>
            <w:tcW w:type="dxa" w:w="10282"/>
            <w:shd w:fill="6753A6"/>
            <w:tcMar>
              <w:top w:w="70" w:type="dxa"/>
              <w:start w:w="120" w:type="dxa"/>
              <w:bottom w:w="70" w:type="dxa"/>
              <w:end w:w="120" w:type="dxa"/>
            </w:tcMar>
          </w:tcPr>
          <w:p>
            <w:r>
              <w:rPr>
                <w:rFonts w:ascii="Arial" w:hAnsi="Arial"/>
                <w:b/>
                <w:color w:val="FFFFFF"/>
                <w:sz w:val="15"/>
              </w:rPr>
              <w:t>ORDER OF APPLICATION</w:t>
            </w:r>
          </w:p>
        </w:tc>
      </w:tr>
      <w:tr>
        <w:tc>
          <w:tcPr>
            <w:tcW w:type="dxa" w:w="10282"/>
            <w:shd w:fill="F4F0FB"/>
            <w:tcMar>
              <w:top w:w="110" w:type="dxa"/>
              <w:start w:w="140" w:type="dxa"/>
              <w:bottom w:w="110" w:type="dxa"/>
              <w:end w:w="140" w:type="dxa"/>
            </w:tcMar>
          </w:tcPr>
          <w:p>
            <w:r>
              <w:rPr>
                <w:rFonts w:ascii="Georgia" w:hAnsi="Georgia"/>
                <w:b/>
                <w:color w:val="14263C"/>
                <w:sz w:val="20"/>
              </w:rPr>
              <w:t>Affirmative acceptance receipt -&gt; full participation terms -&gt; mission-specific contract -&gt; deployed technical rules -&gt; explanatory materials. No public communication or interface summary reduces the Participant obligations stated in the full terms.</w:t>
            </w:r>
          </w:p>
        </w:tc>
      </w:tr>
    </w:tbl>
    <w:p>
      <w:pPr>
        <w:spacing w:after="0"/>
      </w:pPr>
    </w:p>
    <w:p>
      <w:pPr>
        <w:pStyle w:val="Title"/>
      </w:pPr>
      <w:r>
        <w:t>PARTIE I — VERSION FRANÇAISE</w:t>
      </w:r>
    </w:p>
    <w:p>
      <w:r>
        <w:rPr>
          <w:rFonts w:ascii="Georgia" w:hAnsi="Georgia"/>
          <w:b/>
          <w:color w:val="07182B"/>
          <w:sz w:val="23"/>
        </w:rPr>
        <w:t>Avis contractuel de participation entreprise, responsabilité exclusive de l’utilisateur, acceptation des risques, quittance, tenue indemne et non-mise-en-cause.</w:t>
      </w:r>
    </w:p>
    <w:tbl>
      <w:tblPr>
        <w:tblW w:type="auto" w:w="0"/>
        <w:jc w:val="center"/>
        <w:tblLayout w:type="fixed"/>
        <w:tblLook w:firstColumn="1" w:firstRow="1" w:lastColumn="0" w:lastRow="0" w:noHBand="0" w:noVBand="1" w:val="04A0"/>
      </w:tblPr>
      <w:tblGrid>
        <w:gridCol w:w="10080"/>
      </w:tblGrid>
      <w:tr>
        <w:tc>
          <w:tcPr>
            <w:tcW w:type="dxa" w:w="10282"/>
            <w:shd w:fill="07182B"/>
            <w:tcMar>
              <w:top w:w="70" w:type="dxa"/>
              <w:start w:w="120" w:type="dxa"/>
              <w:bottom w:w="70" w:type="dxa"/>
              <w:end w:w="120" w:type="dxa"/>
            </w:tcMar>
          </w:tcPr>
          <w:p>
            <w:r>
              <w:rPr>
                <w:rFonts w:ascii="Arial" w:hAnsi="Arial"/>
                <w:b/>
                <w:color w:val="FFFFFF"/>
                <w:sz w:val="15"/>
              </w:rPr>
              <w:t>AVIS IMPORTANT</w:t>
            </w:r>
          </w:p>
        </w:tc>
      </w:tr>
      <w:tr>
        <w:tc>
          <w:tcPr>
            <w:tcW w:type="dxa" w:w="10282"/>
            <w:shd w:fill="0C2C4D"/>
            <w:tcMar>
              <w:top w:w="110" w:type="dxa"/>
              <w:start w:w="140" w:type="dxa"/>
              <w:bottom w:w="110" w:type="dxa"/>
              <w:end w:w="140" w:type="dxa"/>
            </w:tcMar>
          </w:tcPr>
          <w:p>
            <w:r>
              <w:rPr>
                <w:rFonts w:ascii="Georgia" w:hAnsi="Georgia"/>
                <w:b/>
                <w:color w:val="FFFFFF"/>
                <w:sz w:val="20"/>
              </w:rPr>
              <w:t>L’accès aux fonctions interactives, l’exécution d’une mission, la validation, le règlement, la réutilisation et l’exportation sont conditionnels à une acceptation expresse et versionnée.</w:t>
            </w:r>
          </w:p>
        </w:tc>
      </w:tr>
    </w:tbl>
    <w:p>
      <w:pPr>
        <w:spacing w:after="0"/>
      </w:pPr>
    </w:p>
    <w:p>
      <w:pPr>
        <w:pStyle w:val="Heading2"/>
      </w:pPr>
      <w:r>
        <w:rPr>
          <w:rFonts w:ascii="Arial" w:hAnsi="Arial"/>
          <w:b/>
          <w:color w:val="B8872E"/>
          <w:sz w:val="20"/>
        </w:rPr>
        <w:t>1. CAPACITÉ ENTREPRISE ET PROFESSIONNELLE</w:t>
      </w:r>
    </w:p>
    <w:p>
      <w:pPr>
        <w:keepLines w:val="0"/>
        <w:spacing w:after="80"/>
      </w:pPr>
      <w:r>
        <w:rPr>
          <w:rFonts w:ascii="Arial" w:hAnsi="Arial"/>
          <w:b w:val="0"/>
          <w:sz w:val="18"/>
        </w:rPr>
        <w:t xml:space="preserve">Le Système et les documents destinés aux partenaires sont offerts exclusivement à des fins commerciales, institutionnelles, de recherche, professionnelles, gouvernementales ou d'évaluation d'entreprise. Le </w:t>
      </w:r>
      <w:r>
        <w:rPr>
          <w:rFonts w:ascii="Arial" w:hAnsi="Arial"/>
          <w:b/>
          <w:sz w:val="18"/>
        </w:rPr>
        <w:t>Participant</w:t>
      </w:r>
      <w:r>
        <w:rPr>
          <w:rFonts w:ascii="Arial" w:hAnsi="Arial"/>
          <w:b w:val="0"/>
          <w:sz w:val="18"/>
        </w:rPr>
        <w:t xml:space="preserve"> déclare et garantit qu'il agit à ce titre, qu'il possède la pleine capacité et l'autorité juridiques et qu'il ne se fonde pas sur un statut ni sur des recours de consommateur.</w:t>
      </w:r>
    </w:p>
    <w:p>
      <w:pPr>
        <w:pStyle w:val="Heading2"/>
      </w:pPr>
      <w:r>
        <w:rPr>
          <w:rFonts w:ascii="Arial" w:hAnsi="Arial"/>
          <w:b/>
          <w:color w:val="B8872E"/>
          <w:sz w:val="20"/>
        </w:rPr>
        <w:t>2. ACCEPTATION EXPRESSE ET MANDANT REPRÉSENTÉ</w:t>
      </w:r>
    </w:p>
    <w:p>
      <w:pPr>
        <w:keepLines w:val="0"/>
        <w:spacing w:after="80"/>
      </w:pPr>
      <w:r>
        <w:rPr>
          <w:rFonts w:ascii="Arial" w:hAnsi="Arial"/>
          <w:b w:val="0"/>
          <w:sz w:val="18"/>
        </w:rPr>
        <w:t>L'accès aux fonctions interactives, l'exécution d'une mission, la validation, le règlement, la réutilisation, l'exportation, les appels API, les signatures de portefeuille, les identifiants ou les transactions sont conditionnels à l'acceptation expresse des Conditions versionnées. La personne qui accepte déclare être autorisée à lier sa propre personne ainsi que toute organisation identifiée dans le reçu d'acceptation. Le reçu, l'événement d'identification, la signature de portefeuille, la version et l'empreinte des Conditions, l'horodatage, le rôle, le mandant représenté, la version d'interface, la chaîne, le contrat et les identifiants de mission constituent une preuve admissible de l'acceptation et de l'attribution.</w:t>
      </w:r>
    </w:p>
    <w:p>
      <w:pPr>
        <w:pStyle w:val="Heading2"/>
      </w:pPr>
      <w:r>
        <w:rPr>
          <w:rFonts w:ascii="Arial" w:hAnsi="Arial"/>
          <w:b/>
          <w:color w:val="B8872E"/>
          <w:sz w:val="20"/>
        </w:rPr>
        <w:t>3. RESPONSABILITÉ EXCLUSIVE DU PARTICIPANT</w:t>
      </w:r>
    </w:p>
    <w:p>
      <w:pPr>
        <w:keepLines w:val="0"/>
        <w:spacing w:after="80"/>
      </w:pPr>
      <w:r>
        <w:rPr>
          <w:rFonts w:ascii="Arial" w:hAnsi="Arial"/>
          <w:b w:val="0"/>
          <w:sz w:val="18"/>
        </w:rPr>
        <w:t xml:space="preserve">Chaque </w:t>
      </w:r>
      <w:r>
        <w:rPr>
          <w:rFonts w:ascii="Arial" w:hAnsi="Arial"/>
          <w:b/>
          <w:sz w:val="18"/>
        </w:rPr>
        <w:t>Participant</w:t>
      </w:r>
      <w:r>
        <w:rPr>
          <w:rFonts w:ascii="Arial" w:hAnsi="Arial"/>
          <w:b w:val="0"/>
          <w:sz w:val="18"/>
        </w:rPr>
        <w:t xml:space="preserve"> agit exclusivement pour son propre compte et assume seul, de façon exclusive, continue et non délégable : a) ses objectifs, instructions, requêtes, tâches, critères d'acceptation, décisions et approbations; b) son personnel, ses mandataires, entrepreneurs, utilisateurs et identifiants; c) tout contenu, toute donnée, tout renseignement personnel, renseignement confidentiel, secret commercial, droit de propriété intellectuelle, licence et autorisation fourni ou référencé; d) la garde des portefeuilles, clés, signatures, appareils, infrastructures, points d'accès, intégrations, contrôles d'accès, sauvegardes et interventions en cas d'incident; e) tout travail, livrable, vote, validation, contestation, réutilisation, suivi, déploiement et toute conséquence en aval; f) l'emploi, la qualification des travailleurs, la paie, les avantages, l'assurance, la santé et sécurité et les obligations envers les entrepreneurs; g) tout impôt, droit, prélèvement, retenue, remise, facture, registre, déclaration, relevé et dépôt découlant de son activité; h) les sanctions, contrôles à l'exportation, règles anticorruption, règles de lutte contre le blanchiment, exigences de protection des renseignements personnels, de cybersécurité, de consommation, professionnelles, de permis, sectorielles et réglementaires; et i) l'obtention de conseils juridiques, fiscaux, financiers, techniques, de sécurité et professionnels indépendants.</w:t>
      </w:r>
    </w:p>
    <w:p>
      <w:pPr>
        <w:pStyle w:val="Heading2"/>
      </w:pPr>
      <w:r>
        <w:rPr>
          <w:rFonts w:ascii="Arial" w:hAnsi="Arial"/>
          <w:b/>
          <w:color w:val="B8872E"/>
          <w:sz w:val="20"/>
        </w:rPr>
        <w:t>4. RELATIONS ENTRE UTILISATEURS</w:t>
      </w:r>
    </w:p>
    <w:p>
      <w:pPr>
        <w:keepLines w:val="0"/>
        <w:spacing w:after="80"/>
      </w:pPr>
      <w:r>
        <w:rPr>
          <w:rFonts w:ascii="Arial" w:hAnsi="Arial"/>
          <w:b w:val="0"/>
          <w:sz w:val="18"/>
        </w:rPr>
        <w:t xml:space="preserve">Toute relation de travail, tâche, portée, livrable, validation, contestation, paiement, attente de règlement, obligation de confidentialité, convention de propriété intellectuelle, relation d'emploi ou d'entrepreneur, niveau de service, garantie, recours et différend existe exclusivement entre les Participants qui la créent ou l'acceptent. Chaque </w:t>
      </w:r>
      <w:r>
        <w:rPr>
          <w:rFonts w:ascii="Arial" w:hAnsi="Arial"/>
          <w:b/>
          <w:sz w:val="18"/>
        </w:rPr>
        <w:t>Participant</w:t>
      </w:r>
      <w:r>
        <w:rPr>
          <w:rFonts w:ascii="Arial" w:hAnsi="Arial"/>
          <w:b w:val="0"/>
          <w:sz w:val="18"/>
        </w:rPr>
        <w:t xml:space="preserve"> doit documenter sa propre convention et exercer ses recours contre sa propre contrepartie. Aucun </w:t>
      </w:r>
      <w:r>
        <w:rPr>
          <w:rFonts w:ascii="Arial" w:hAnsi="Arial"/>
          <w:b/>
          <w:sz w:val="18"/>
        </w:rPr>
        <w:t>Participant</w:t>
      </w:r>
      <w:r>
        <w:rPr>
          <w:rFonts w:ascii="Arial" w:hAnsi="Arial"/>
          <w:b w:val="0"/>
          <w:sz w:val="18"/>
        </w:rPr>
        <w:t xml:space="preserve"> ne peut prétendre qu'une Partie protégée a assumé, garanti, assuré, souscrit, supervisé ou accepté une obligation entre utilisateurs, sauf convention écrite distincte et expresse.</w:t>
      </w:r>
    </w:p>
    <w:p>
      <w:pPr>
        <w:pStyle w:val="Heading2"/>
      </w:pPr>
      <w:r>
        <w:rPr>
          <w:rFonts w:ascii="Arial" w:hAnsi="Arial"/>
          <w:b/>
          <w:color w:val="B8872E"/>
          <w:sz w:val="20"/>
        </w:rPr>
        <w:t>5. ACCEPTATION DES RISQUES</w:t>
      </w:r>
    </w:p>
    <w:p>
      <w:pPr>
        <w:keepLines w:val="0"/>
        <w:spacing w:after="80"/>
      </w:pPr>
      <w:r>
        <w:rPr>
          <w:rFonts w:ascii="Arial" w:hAnsi="Arial"/>
          <w:b w:val="0"/>
          <w:sz w:val="18"/>
        </w:rPr>
        <w:t xml:space="preserve">Chaque </w:t>
      </w:r>
      <w:r>
        <w:rPr>
          <w:rFonts w:ascii="Arial" w:hAnsi="Arial"/>
          <w:b/>
          <w:sz w:val="18"/>
        </w:rPr>
        <w:t>Participant</w:t>
      </w:r>
      <w:r>
        <w:rPr>
          <w:rFonts w:ascii="Arial" w:hAnsi="Arial"/>
          <w:b w:val="0"/>
          <w:sz w:val="18"/>
        </w:rPr>
        <w:t xml:space="preserve"> accepte sciemment et volontairement tous les risques liés à l'intelligence artificielle, aux systèmes autonomes ou semi-autonomes, aux logiciels, contrats intelligents, actifs numériques, clés cryptographiques, validateurs, réseaux, ponts, oracles, services de tiers, composants libres, stockage adressé par contenu et transactions irréversibles, notamment les erreurs, hallucinations, omissions, biais, défaillances de modèles ou d'outils, pertes de données, atteintes à la vie privée, cyberattaques, exploitations, erreurs logiques, réentrances, échecs de mise à niveau, réorganisations de chaîne, congestion, devancement, MEV, échecs de transaction, pénalités, pertes de clés, volatilité, illiquidité, changements réglementaires, requalifications fiscales, erreurs, collusion ou absence de validateurs, retards de différend, force majeure et perte totale d'actifs numériques. Le </w:t>
      </w:r>
      <w:r>
        <w:rPr>
          <w:rFonts w:ascii="Arial" w:hAnsi="Arial"/>
          <w:b/>
          <w:sz w:val="18"/>
        </w:rPr>
        <w:t>Participant</w:t>
      </w:r>
      <w:r>
        <w:rPr>
          <w:rFonts w:ascii="Arial" w:hAnsi="Arial"/>
          <w:b w:val="0"/>
          <w:sz w:val="18"/>
        </w:rPr>
        <w:t xml:space="preserve"> décide seul si, quand et comment agir à partir d'un résultat.</w:t>
      </w:r>
    </w:p>
    <w:p>
      <w:pPr>
        <w:pStyle w:val="Heading2"/>
      </w:pPr>
      <w:r>
        <w:rPr>
          <w:rFonts w:ascii="Arial" w:hAnsi="Arial"/>
          <w:b/>
          <w:color w:val="B8872E"/>
          <w:sz w:val="20"/>
        </w:rPr>
        <w:t>6. ABSENCE DE CONFIANCE ET D'OBLIGATION D'INTERVENTION</w:t>
      </w:r>
    </w:p>
    <w:p>
      <w:pPr>
        <w:keepLines w:val="0"/>
        <w:spacing w:after="80"/>
      </w:pPr>
      <w:r>
        <w:rPr>
          <w:rFonts w:ascii="Arial" w:hAnsi="Arial"/>
          <w:b w:val="0"/>
          <w:sz w:val="18"/>
        </w:rPr>
        <w:t xml:space="preserve">Les résultats, démonstrations, scores, décisions, Dockets, ProofBundles, validations, attestations, inscriptions Chronicle et objets de capacité sont des intrants à l'appréciation propre du </w:t>
      </w:r>
      <w:r>
        <w:rPr>
          <w:rFonts w:ascii="Arial" w:hAnsi="Arial"/>
          <w:b/>
          <w:sz w:val="18"/>
        </w:rPr>
        <w:t>Participant</w:t>
      </w:r>
      <w:r>
        <w:rPr>
          <w:rFonts w:ascii="Arial" w:hAnsi="Arial"/>
          <w:b w:val="0"/>
          <w:sz w:val="18"/>
        </w:rPr>
        <w:t>. Celui-ci doit vérifier indépendamment toute affirmation importante et obtenir toutes les approbations requises. Aucune Partie protégée n'assume l'obligation de surveiller les participants, superviser le travail, vérifier la légalité, effectuer des contrôles KYC ou AML, retenir ou remettre des impôts, émettre des formulaires, conserver des données, maintenir la disponibilité, résoudre des différends, renverser des transactions, secourir des actifs, récupérer des clés, assurer des pertes, fournir des conseils professionnels ou atteindre un résultat.</w:t>
      </w:r>
    </w:p>
    <w:p>
      <w:pPr>
        <w:pStyle w:val="Heading2"/>
      </w:pPr>
      <w:r>
        <w:rPr>
          <w:rFonts w:ascii="Arial" w:hAnsi="Arial"/>
          <w:b/>
          <w:color w:val="B8872E"/>
          <w:sz w:val="20"/>
        </w:rPr>
        <w:t>7. FOURNITURE EN L'ÉTAT ET EXCLUSION DE GARANTIES</w:t>
      </w:r>
    </w:p>
    <w:p>
      <w:pPr>
        <w:keepLines w:val="0"/>
        <w:spacing w:after="80"/>
      </w:pPr>
      <w:r>
        <w:rPr>
          <w:rFonts w:ascii="Arial" w:hAnsi="Arial"/>
          <w:b w:val="0"/>
          <w:sz w:val="18"/>
        </w:rPr>
        <w:t>Dans toute la mesure permise par le droit applicable, le Système et les documents connexes sont fournis « EN L'ÉTAT », « SELON DISPONIBILITÉ » et « AVEC TOUS LEURS DÉFAUTS ». Sont exclues toutes garanties, représentations, conditions et obligations expresses, implicites, légales ou accessoires, notamment quant à la qualité marchande, la qualité, l'adaptation à un usage, le titre, l'absence de contrefaçon, l'exactitude, l'exhaustivité, la sécurité, la disponibilité, l'interopérabilité, la conformité juridique, le traitement fiscal, le fonctionnement sans erreur ou ininterrompu, la valeur, la liquidité et tout résultat particulier.</w:t>
      </w:r>
    </w:p>
    <w:p>
      <w:pPr>
        <w:pStyle w:val="Heading2"/>
      </w:pPr>
      <w:r>
        <w:rPr>
          <w:rFonts w:ascii="Arial" w:hAnsi="Arial"/>
          <w:b/>
          <w:color w:val="B8872E"/>
          <w:sz w:val="20"/>
        </w:rPr>
        <w:t>8. QUITTANCE, RENONCIATION, ENGAGEMENT DE NE PAS POURSUIVRE ET NON-RECOURS</w:t>
      </w:r>
    </w:p>
    <w:p>
      <w:pPr>
        <w:keepLines w:val="0"/>
        <w:spacing w:after="80"/>
      </w:pPr>
      <w:r>
        <w:rPr>
          <w:rFonts w:ascii="Arial" w:hAnsi="Arial"/>
          <w:b w:val="0"/>
          <w:sz w:val="18"/>
        </w:rPr>
        <w:t xml:space="preserve">Dans toute la mesure permise par le droit applicable, chaque </w:t>
      </w:r>
      <w:r>
        <w:rPr>
          <w:rFonts w:ascii="Arial" w:hAnsi="Arial"/>
          <w:b/>
          <w:sz w:val="18"/>
        </w:rPr>
        <w:t>Participant</w:t>
      </w:r>
      <w:r>
        <w:rPr>
          <w:rFonts w:ascii="Arial" w:hAnsi="Arial"/>
          <w:b w:val="0"/>
          <w:sz w:val="18"/>
        </w:rPr>
        <w:t xml:space="preserve"> donne irrévocablement quittance aux </w:t>
      </w:r>
      <w:r>
        <w:rPr>
          <w:rFonts w:ascii="Arial" w:hAnsi="Arial"/>
          <w:b/>
          <w:sz w:val="18"/>
        </w:rPr>
        <w:t>Parties protégées</w:t>
      </w:r>
      <w:r>
        <w:rPr>
          <w:rFonts w:ascii="Arial" w:hAnsi="Arial"/>
          <w:b w:val="0"/>
          <w:sz w:val="18"/>
        </w:rPr>
        <w:t xml:space="preserve"> et renonce à toute réclamation, demande, action, cause d'action, perte, responsabilité, dommage, coût et dépense découlant de l'Activité du </w:t>
      </w:r>
      <w:r>
        <w:rPr>
          <w:rFonts w:ascii="Arial" w:hAnsi="Arial"/>
          <w:b/>
          <w:sz w:val="18"/>
        </w:rPr>
        <w:t>Participant</w:t>
      </w:r>
      <w:r>
        <w:rPr>
          <w:rFonts w:ascii="Arial" w:hAnsi="Arial"/>
          <w:b w:val="0"/>
          <w:sz w:val="18"/>
        </w:rPr>
        <w:t xml:space="preserve"> ou s'y rapportant; il s'engage à ne pas poursuivre ni réclamer contribution, subrogation, restitution, traçage, remise de profits, fiducie par interprétation, privilège, saisie, saisie-arrêt, sûreté ou autre recours contre une Partie protégée ou contre un solde, une mise, un cautionnement, une unité de jeton, une réserve, un séquestre, une récompense, des frais, une position de liquidité, un actif de contrat intelligent ou une écriture comptable technique associée au protocole, sauf une créance du </w:t>
      </w:r>
      <w:r>
        <w:rPr>
          <w:rFonts w:ascii="Arial" w:hAnsi="Arial"/>
          <w:b/>
          <w:sz w:val="18"/>
        </w:rPr>
        <w:t>Participant</w:t>
      </w:r>
      <w:r>
        <w:rPr>
          <w:rFonts w:ascii="Arial" w:hAnsi="Arial"/>
          <w:b w:val="0"/>
          <w:sz w:val="18"/>
        </w:rPr>
        <w:t xml:space="preserve"> que le code déployé attribue expressément à ce </w:t>
      </w:r>
      <w:r>
        <w:rPr>
          <w:rFonts w:ascii="Arial" w:hAnsi="Arial"/>
          <w:b/>
          <w:sz w:val="18"/>
        </w:rPr>
        <w:t>Participant</w:t>
      </w:r>
      <w:r>
        <w:rPr>
          <w:rFonts w:ascii="Arial" w:hAnsi="Arial"/>
          <w:b w:val="0"/>
          <w:sz w:val="18"/>
        </w:rPr>
        <w:t>.</w:t>
      </w:r>
    </w:p>
    <w:p>
      <w:pPr>
        <w:pStyle w:val="Heading2"/>
      </w:pPr>
      <w:r>
        <w:rPr>
          <w:rFonts w:ascii="Arial" w:hAnsi="Arial"/>
          <w:b/>
          <w:color w:val="B8872E"/>
          <w:sz w:val="20"/>
        </w:rPr>
        <w:t>9. TENUE INDEMNE; FAITS ATTRIBUABLES AU PARTICIPANT</w:t>
      </w:r>
    </w:p>
    <w:p>
      <w:pPr>
        <w:keepLines w:val="0"/>
        <w:spacing w:after="80"/>
      </w:pPr>
      <w:r>
        <w:rPr>
          <w:rFonts w:ascii="Arial" w:hAnsi="Arial"/>
          <w:b w:val="0"/>
          <w:sz w:val="18"/>
        </w:rPr>
        <w:t>Dans toute la mesure permise par le droit applicable, chaque Participant convient de tenir indemne toute Partie protégée à l'égard des réclamations de tiers, responsabilités, cotisations, impôts, pénalités, intérêts, pertes, dommages, coûts et dépenses découlant de l'Activité du Participant ou s'y rapportant; d'une relation entre utilisateurs créée ou acceptée par le Participant; de ses contenus, données, instructions, portefeuilles, clés, systèmes, travaux, validations, contestations, réutilisations, déploiements ou déclarations publiques; d'une violation des présentes Conditions; d'une contrefaçon ou appropriation illicite; d'un événement de confidentialité ou de cybersécurité; d'une réclamation d'emploi ou de travailleur; d'une obligation fiscale, de retenue ou de déclaration; d'une question de sanctions ou de réglementation; ou de l'acte ou omission d'une personne utilisant ses identifiants. Aucun Participant ne peut prétendre admettre une faute au nom d'une Partie protégée, la lier, la restreindre ou lui imposer une obligation sans son consentement écrit préalable. Le présent article ne crée aucune obligation indépendante de prendre en charge une défense ni d'avancer des frais juridiques ou d'expertise. Le présent article ne s'applique pas à la faute intentionnelle ou lourde d'une Partie protégée ni à une responsabilité que le droit applicable interdit d'exclure, de limiter ou de transférer.</w:t>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p>
    <w:p>
      <w:pPr>
        <w:pStyle w:val="Heading2"/>
      </w:pPr>
      <w:r>
        <w:rPr>
          <w:rFonts w:ascii="Arial" w:hAnsi="Arial"/>
          <w:b/>
          <w:color w:val="B8872E"/>
          <w:sz w:val="20"/>
        </w:rPr>
        <w:t>10. IMPÔTS, RETENUES ET REGISTRES</w:t>
      </w:r>
    </w:p>
    <w:p>
      <w:pPr>
        <w:keepLines w:val="0"/>
        <w:spacing w:after="80"/>
      </w:pPr>
      <w:r>
        <w:rPr>
          <w:rFonts w:ascii="Arial" w:hAnsi="Arial"/>
          <w:b w:val="0"/>
          <w:sz w:val="18"/>
        </w:rPr>
        <w:t>Tous les impôts et toutes les conséquences fiscales découlant de l'Activité du Participant sont supportés par le Participant dont l'activité les crée, sous réserve de toute obligation impérative que le droit applicable impose directement à une autre personne. Chaque Participant doit déterminer la qualification, la valeur, la source, le moment, le prix de base, les déclarations, retenues, perceptions, remises et documents; conserver des registres complets; émettre les factures et formulaires requis; et payer les impôts, droits, prélèvements, pénalités et intérêts dont il est responsable. Aucune Partie protégée ne s'engage à calculer, retenir, percevoir, remettre ou déclarer un impôt, ni à émettre un formulaire fiscal pour un Participant, sauf disposition expresse d'une convention distincte signée.</w:t>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p>
    <w:p>
      <w:pPr>
        <w:pStyle w:val="Heading2"/>
      </w:pPr>
      <w:r>
        <w:rPr>
          <w:rFonts w:ascii="Arial" w:hAnsi="Arial"/>
          <w:b/>
          <w:color w:val="B8872E"/>
          <w:sz w:val="20"/>
        </w:rPr>
        <w:t>11. $AGIALPHA ET ACTIVITÉ SUR ACTIFS NUMÉRIQUES</w:t>
      </w:r>
    </w:p>
    <w:p>
      <w:pPr>
        <w:keepLines w:val="0"/>
        <w:spacing w:after="80"/>
      </w:pPr>
      <w:r>
        <w:rPr>
          <w:rFonts w:ascii="Arial" w:hAnsi="Arial"/>
          <w:b w:val="0"/>
          <w:sz w:val="18"/>
        </w:rPr>
        <w:t xml:space="preserve">Toute acquisition, détention, cession, mise en garantie, jalonnement, séquestre, récompense, remboursement, confiscation, contestation, validation, règlement ou autre utilisation de $AGIALPHA ou d'un actif numérique est effectuée exclusivement à l'initiative, pour le compte et aux risques du </w:t>
      </w:r>
      <w:r>
        <w:rPr>
          <w:rFonts w:ascii="Arial" w:hAnsi="Arial"/>
          <w:b/>
          <w:sz w:val="18"/>
        </w:rPr>
        <w:t>Participant</w:t>
      </w:r>
      <w:r>
        <w:rPr>
          <w:rFonts w:ascii="Arial" w:hAnsi="Arial"/>
          <w:b w:val="0"/>
          <w:sz w:val="18"/>
        </w:rPr>
        <w:t>. Celui-ci assume seul la légalité, l'admissibilité, la convenance, la garde, la comptabilisation, l'évaluation, le traitement fiscal et la qualification réglementaire. Aucune participation au capital, propriété, dividende, part de revenus, rendement, rachat, appréciation, liquidité, soutien de prix ou profit n'est promis ni garanti.</w:t>
      </w:r>
    </w:p>
    <w:p>
      <w:pPr>
        <w:pStyle w:val="Heading2"/>
      </w:pPr>
      <w:r>
        <w:rPr>
          <w:rFonts w:ascii="Arial" w:hAnsi="Arial"/>
          <w:b/>
          <w:color w:val="B8872E"/>
          <w:sz w:val="20"/>
        </w:rPr>
        <w:t>12. NON-MISE-EN-CAUSE; MATIÈRES ENTRE UTILISATEURS</w:t>
      </w:r>
    </w:p>
    <w:p>
      <w:pPr>
        <w:keepLines w:val="0"/>
        <w:spacing w:after="80"/>
      </w:pPr>
      <w:r>
        <w:rPr>
          <w:rFonts w:ascii="Arial" w:hAnsi="Arial"/>
          <w:b w:val="0"/>
          <w:sz w:val="18"/>
        </w:rPr>
        <w:t>Chaque Participant doit maintenir toute matière entre utilisateurs entre les Participants concernés et ne doit pas nommer, mettre en cause, appeler en garantie, rechercher un recouvrement auprès d'une Partie protégée ni autrement l'impliquer au seul motif d'un différend entre Participants, de l'association de cette Partie protégée avec le Système, ou de la simple utilisation, publication, référence ou mise à disposition du Système, des documents, de l'interface, d'un contrat intelligent ou de l'infrastructure technique. Si une Partie protégée est nommée en contravention du présent article, le Participant responsable doit prendre promptement toutes les mesures raisonnables sous son contrôle afin de se désister à son égard ou d'en demander la mise hors de cause. Le présent article ne restreint ni une procédure légalement requise, ni une réclamation directe expressément permise par une convention distincte signée, ni un droit, recours, forum ou obligation auquel le droit applicable interdit de renoncer, de limiter ou de transférer.</w:t>
      </w:r>
      <w:r>
        <w:rPr>
          <w:rFonts w:ascii="Arial" w:hAnsi="Arial"/>
          <w:b/>
          <w:sz w:val="18"/>
        </w:rPr>
      </w:r>
      <w:r>
        <w:rPr>
          <w:rFonts w:ascii="Arial" w:hAnsi="Arial"/>
          <w:b w:val="0"/>
          <w:sz w:val="18"/>
        </w:rPr>
      </w:r>
      <w:r>
        <w:rPr>
          <w:rFonts w:ascii="Arial" w:hAnsi="Arial"/>
          <w:b/>
          <w:sz w:val="18"/>
        </w:rPr>
      </w:r>
      <w:r>
        <w:rPr>
          <w:rFonts w:ascii="Arial" w:hAnsi="Arial"/>
          <w:b w:val="0"/>
          <w:sz w:val="18"/>
        </w:rPr>
      </w:r>
    </w:p>
    <w:p>
      <w:pPr>
        <w:pStyle w:val="Heading2"/>
      </w:pPr>
      <w:r>
        <w:rPr>
          <w:rFonts w:ascii="Arial" w:hAnsi="Arial"/>
          <w:b/>
          <w:color w:val="B8872E"/>
          <w:sz w:val="20"/>
        </w:rPr>
        <w:t>13. PRÉVENTION DES DIFFÉRENDS PROFESSIONNELS ET FORUM DE MONTRÉAL</w:t>
      </w:r>
    </w:p>
    <w:p>
      <w:pPr>
        <w:keepLines w:val="0"/>
        <w:spacing w:after="80"/>
      </w:pPr>
      <w:r>
        <w:rPr>
          <w:rFonts w:ascii="Arial" w:hAnsi="Arial"/>
          <w:b w:val="0"/>
          <w:sz w:val="18"/>
        </w:rPr>
        <w:t xml:space="preserve">Avant d'introduire une réclamation permise contre une Partie protégée, le </w:t>
      </w:r>
      <w:r>
        <w:rPr>
          <w:rFonts w:ascii="Arial" w:hAnsi="Arial"/>
          <w:b/>
          <w:sz w:val="18"/>
        </w:rPr>
        <w:t>Participant</w:t>
      </w:r>
      <w:r>
        <w:rPr>
          <w:rFonts w:ascii="Arial" w:hAnsi="Arial"/>
          <w:b w:val="0"/>
          <w:sz w:val="18"/>
        </w:rPr>
        <w:t xml:space="preserve"> doit transmettre un avis de réclamation détaillé, préserver toute preuve pertinente, imposer une mise en suspens juridique interne, respecter une période de statu quo et de confidentialité de 30 jours et participer à une conférence entre représentants principaux. Les questions techniques ou comptables peuvent être soumises à un expert indépendant. Tout différend non réglé est soumis à une médiation confidentielle à Montréal, Québec, Canada puis, à défaut de règlement, à un arbitrage final, exécutoire et confidentiel ayant son siège à Montréal devant un arbitre indépendant, en français ou en anglais selon le choix licite. Toute procédure judiciaire permise aux fins de mesures provisoires, d'exécution, d'homologation ou d'une question non arbitrable est introduite exclusivement devant les tribunaux du district judiciaire de Montréal. Chaque </w:t>
      </w:r>
      <w:r>
        <w:rPr>
          <w:rFonts w:ascii="Arial" w:hAnsi="Arial"/>
          <w:b/>
          <w:sz w:val="18"/>
        </w:rPr>
        <w:t>Participant</w:t>
      </w:r>
      <w:r>
        <w:rPr>
          <w:rFonts w:ascii="Arial" w:hAnsi="Arial"/>
          <w:b w:val="0"/>
          <w:sz w:val="18"/>
        </w:rPr>
        <w:t xml:space="preserve"> professionnel renonce aux procédures représentatives, collectives, consolidées et aux actions collectives ainsi qu'aux objections fondées sur le lieu ou le forum non conveniens, dans toute la mesure permise par le droit applicable.</w:t>
      </w:r>
    </w:p>
    <w:p>
      <w:pPr>
        <w:pStyle w:val="Heading2"/>
      </w:pPr>
      <w:r>
        <w:rPr>
          <w:rFonts w:ascii="Arial" w:hAnsi="Arial"/>
          <w:b/>
          <w:color w:val="B8872E"/>
          <w:sz w:val="20"/>
        </w:rPr>
        <w:t>14. PREUVE ÉLECTRONIQUE, REGISTRES ET SÉCURITÉ</w:t>
      </w:r>
    </w:p>
    <w:p>
      <w:pPr>
        <w:keepLines w:val="0"/>
        <w:spacing w:after="80"/>
      </w:pPr>
      <w:r>
        <w:rPr>
          <w:rFonts w:ascii="Arial" w:hAnsi="Arial"/>
          <w:b w:val="0"/>
          <w:sz w:val="18"/>
        </w:rPr>
        <w:t xml:space="preserve">Chaque </w:t>
      </w:r>
      <w:r>
        <w:rPr>
          <w:rFonts w:ascii="Arial" w:hAnsi="Arial"/>
          <w:b/>
          <w:sz w:val="18"/>
        </w:rPr>
        <w:t>Participant</w:t>
      </w:r>
      <w:r>
        <w:rPr>
          <w:rFonts w:ascii="Arial" w:hAnsi="Arial"/>
          <w:b w:val="0"/>
          <w:sz w:val="18"/>
        </w:rPr>
        <w:t xml:space="preserve"> conserve pendant au moins sept ans, ou pendant toute période plus longue exigée par la loi, les versions et empreintes des Conditions, reçus, signatures, événements de portefeuille, journaux, requêtes, résultats, documents sources, approbations, ProofBundles, dossiers de validation, Dockets, documents fiscaux et dossiers de déploiement. Les documents électroniques, signatures cryptographiques, empreintes de contenu, registres de chaîne, journaux d'interface et reçus d'acceptation peuvent établir l'identité, l'autorité, l'instruction, l'acceptation, l'attribution, le moment et l'état.</w:t>
      </w:r>
    </w:p>
    <w:p>
      <w:pPr>
        <w:pStyle w:val="Heading2"/>
      </w:pPr>
      <w:r>
        <w:rPr>
          <w:rFonts w:ascii="Arial" w:hAnsi="Arial"/>
          <w:b/>
          <w:color w:val="B8872E"/>
          <w:sz w:val="20"/>
        </w:rPr>
        <w:t>15. PARTIES PROTÉGÉES ET TIERS BÉNÉFICIAIRES</w:t>
      </w:r>
    </w:p>
    <w:p>
      <w:pPr>
        <w:keepLines w:val="0"/>
        <w:spacing w:after="80"/>
      </w:pPr>
      <w:r>
        <w:rPr>
          <w:rFonts w:ascii="Arial" w:hAnsi="Arial"/>
          <w:b w:val="0"/>
          <w:sz w:val="18"/>
        </w:rPr>
        <w:t>« Parties protégées » désigne tout auteur, éditeur, concepteur, chercheur, développeur, mainteneur, contributeur, concédant, administrateur, réviseur, validateur, modérateur, fournisseur de nœud, fournisseur d'interface ou d'infrastructure, entrepreneur, conseiller, société affiliée, dirigeant, administrateur, employé, mandataire, délégué, successeur et ayant droit associé à GoalOS, AGI ALPHA, AGI Jobs, AGI Nodes, Chronicle, au Validated Skill Graph, à $AGIALPHA, aux espaces de noms, documents, logiciels, contrats intelligents, interfaces, API ou déploiements connexes, y contribuant, y étant référencé ou en fournissant un élément. Chaque Partie protégée est un tiers bénéficiaire intentionnel pouvant faire exécuter directement les dispositions de quittance, non-recours, tenue indemne, limitation, non-mise-en-cause, confidentialité et règlement des différends.</w:t>
      </w:r>
      <w:r>
        <w:rPr>
          <w:rFonts w:ascii="Arial" w:hAnsi="Arial"/>
          <w:b/>
          <w:sz w:val="18"/>
        </w:rPr>
      </w:r>
      <w:r>
        <w:rPr>
          <w:rFonts w:ascii="Arial" w:hAnsi="Arial"/>
          <w:b w:val="0"/>
          <w:sz w:val="18"/>
        </w:rPr>
      </w:r>
    </w:p>
    <w:p>
      <w:pPr>
        <w:pStyle w:val="Heading2"/>
      </w:pPr>
      <w:r>
        <w:rPr>
          <w:rFonts w:ascii="Arial" w:hAnsi="Arial"/>
          <w:b/>
          <w:color w:val="B8872E"/>
          <w:sz w:val="20"/>
        </w:rPr>
        <w:t>16. LIMITATION DE RESPONSABILITÉ</w:t>
      </w:r>
    </w:p>
    <w:p>
      <w:pPr>
        <w:keepLines w:val="0"/>
        <w:spacing w:after="80"/>
      </w:pPr>
      <w:r>
        <w:rPr>
          <w:rFonts w:ascii="Arial" w:hAnsi="Arial"/>
          <w:b w:val="0"/>
          <w:sz w:val="18"/>
        </w:rPr>
        <w:t xml:space="preserve">Dans toute la mesure permise par le droit applicable, aucune Partie protégée n'est responsable des dommages indirects, accessoires, consécutifs, exemplaires, particuliers, punitifs ou aggravés, ni de la perte de profits, revenus, affaires, occasions, achalandage, données, vie privée, actifs numériques, valeur marchande, économies anticipées ou coûts de remplacement. La responsabilité globale de l'ensemble des </w:t>
      </w:r>
      <w:r>
        <w:rPr>
          <w:rFonts w:ascii="Arial" w:hAnsi="Arial"/>
          <w:b/>
          <w:sz w:val="18"/>
        </w:rPr>
        <w:t>Parties protégées</w:t>
      </w:r>
      <w:r>
        <w:rPr>
          <w:rFonts w:ascii="Arial" w:hAnsi="Arial"/>
          <w:b w:val="0"/>
          <w:sz w:val="18"/>
        </w:rPr>
        <w:t xml:space="preserve"> découlant d'un même événement ou d'une série d'événements liés ne dépasse pas 100 $ CA, ou tout montant minimal supérieur imposé par une règle impérative applicable.</w:t>
      </w:r>
    </w:p>
    <w:p>
      <w:pPr>
        <w:pStyle w:val="Heading2"/>
      </w:pPr>
      <w:r>
        <w:rPr>
          <w:rFonts w:ascii="Arial" w:hAnsi="Arial"/>
          <w:b/>
          <w:color w:val="B8872E"/>
          <w:sz w:val="20"/>
        </w:rPr>
        <w:t>17. DISPOSITIONS GÉNÉRALES</w:t>
      </w:r>
    </w:p>
    <w:p>
      <w:pPr>
        <w:keepLines w:val="0"/>
        <w:spacing w:after="80"/>
      </w:pPr>
      <w:r>
        <w:rPr>
          <w:rFonts w:ascii="Arial" w:hAnsi="Arial"/>
          <w:b w:val="0"/>
          <w:sz w:val="18"/>
        </w:rPr>
        <w:t>Les présentes Conditions, les conditions complètes applicables, le reçu d'acceptation et les règles techniques déployées constituent l'entente entière relative à l'Activité du Participant. Le code déployé détermine les transitions d'état techniques; les présentes Conditions répartissent contractuellement les responsabilités et les risques. Les modifications peuvent être publiées sous forme versionnée et s'appliquent prospectivement après acceptation ou utilisation continue lorsqu'elle est licite. Toute disposition invalide ou inexécutoire est dissociée ou réduite au minimum nécessaire; les autres demeurent en vigueur. Aucune renonciation n'est continue. Le Participant ne peut céder ses droits ou obligations sans consentement écrit préalable. Les dispositions relatives à la responsabilité, aux risques, à la quittance, au non-recours, à la tenue indemne, aux impôts, aux actifs numériques, à la non-mise-en-cause, à la preuve, à la confidentialité, au règlement des différends, à la limitation et aux droits des tiers bénéficiaires survivent indéfiniment. Les règles impératives et non susceptibles de renonciation prévalent uniquement dans la mesure minimale juridiquement requise.</w:t>
      </w:r>
      <w:r>
        <w:rPr>
          <w:rFonts w:ascii="Arial" w:hAnsi="Arial"/>
          <w:b/>
          <w:sz w:val="18"/>
        </w:rPr>
      </w:r>
      <w:r>
        <w:rPr>
          <w:rFonts w:ascii="Arial" w:hAnsi="Arial"/>
          <w:b w:val="0"/>
          <w:sz w:val="18"/>
        </w:rPr>
      </w:r>
      <w:r>
        <w:rPr>
          <w:rFonts w:ascii="Arial" w:hAnsi="Arial"/>
          <w:b/>
          <w:sz w:val="18"/>
        </w:rPr>
      </w:r>
      <w:r>
        <w:rPr>
          <w:rFonts w:ascii="Arial" w:hAnsi="Arial"/>
          <w:b w:val="0"/>
          <w:sz w:val="18"/>
        </w:rPr>
      </w:r>
    </w:p>
    <w:p>
      <w:r>
        <w:br w:type="page"/>
      </w:r>
    </w:p>
    <w:p>
      <w:pPr>
        <w:pStyle w:val="Title"/>
      </w:pPr>
      <w:r>
        <w:t>PART II — ENGLISH VERSION</w:t>
      </w:r>
    </w:p>
    <w:p>
      <w:r>
        <w:rPr>
          <w:rFonts w:ascii="Georgia" w:hAnsi="Georgia"/>
          <w:b/>
          <w:color w:val="07182B"/>
          <w:sz w:val="23"/>
        </w:rPr>
        <w:t>Enterprise Participation, Exclusive User Responsibility, Assumption of Risk, Release, Hold-Harmless and Non-Joinder Terms.</w:t>
      </w:r>
    </w:p>
    <w:tbl>
      <w:tblPr>
        <w:tblW w:type="auto" w:w="0"/>
        <w:jc w:val="center"/>
        <w:tblLayout w:type="fixed"/>
        <w:tblLook w:firstColumn="1" w:firstRow="1" w:lastColumn="0" w:lastRow="0" w:noHBand="0" w:noVBand="1" w:val="04A0"/>
      </w:tblPr>
      <w:tblGrid>
        <w:gridCol w:w="10080"/>
      </w:tblGrid>
      <w:tr>
        <w:tc>
          <w:tcPr>
            <w:tcW w:type="dxa" w:w="10282"/>
            <w:shd w:fill="07182B"/>
            <w:tcMar>
              <w:top w:w="70" w:type="dxa"/>
              <w:start w:w="120" w:type="dxa"/>
              <w:bottom w:w="70" w:type="dxa"/>
              <w:end w:w="120" w:type="dxa"/>
            </w:tcMar>
          </w:tcPr>
          <w:p>
            <w:r>
              <w:rPr>
                <w:rFonts w:ascii="Arial" w:hAnsi="Arial"/>
                <w:b/>
                <w:color w:val="FFFFFF"/>
                <w:sz w:val="15"/>
              </w:rPr>
              <w:t>IMPORTANT NOTICE</w:t>
            </w:r>
          </w:p>
        </w:tc>
      </w:tr>
      <w:tr>
        <w:tc>
          <w:tcPr>
            <w:tcW w:type="dxa" w:w="10282"/>
            <w:shd w:fill="0C2C4D"/>
            <w:tcMar>
              <w:top w:w="110" w:type="dxa"/>
              <w:start w:w="140" w:type="dxa"/>
              <w:bottom w:w="110" w:type="dxa"/>
              <w:end w:w="140" w:type="dxa"/>
            </w:tcMar>
          </w:tcPr>
          <w:p>
            <w:r>
              <w:rPr>
                <w:rFonts w:ascii="Georgia" w:hAnsi="Georgia"/>
                <w:b/>
                <w:color w:val="FFFFFF"/>
                <w:sz w:val="20"/>
              </w:rPr>
              <w:t>Access to interactive functions, mission execution, validation, settlement, reuse and export is conditioned on affirmative, versioned acceptance.</w:t>
            </w:r>
          </w:p>
        </w:tc>
      </w:tr>
    </w:tbl>
    <w:p>
      <w:pPr>
        <w:spacing w:after="0"/>
      </w:pPr>
    </w:p>
    <w:p>
      <w:pPr>
        <w:pStyle w:val="Heading2"/>
      </w:pPr>
      <w:r>
        <w:rPr>
          <w:rFonts w:ascii="Arial" w:hAnsi="Arial"/>
          <w:b/>
          <w:color w:val="B8872E"/>
          <w:sz w:val="20"/>
        </w:rPr>
        <w:t>1. ENTERPRISE AND PROFESSIONAL CAPACITY</w:t>
      </w:r>
    </w:p>
    <w:p>
      <w:pPr>
        <w:keepLines w:val="0"/>
        <w:spacing w:after="80"/>
      </w:pPr>
      <w:r>
        <w:rPr>
          <w:rFonts w:ascii="Arial" w:hAnsi="Arial"/>
          <w:b w:val="0"/>
          <w:sz w:val="18"/>
        </w:rPr>
        <w:t xml:space="preserve">The System and partner materials are offered solely for commercial, institutional, research, professional, governmental, or enterprise evaluation and use. The </w:t>
      </w:r>
      <w:r>
        <w:rPr>
          <w:rFonts w:ascii="Arial" w:hAnsi="Arial"/>
          <w:b/>
          <w:sz w:val="18"/>
        </w:rPr>
        <w:t>Participant</w:t>
      </w:r>
      <w:r>
        <w:rPr>
          <w:rFonts w:ascii="Arial" w:hAnsi="Arial"/>
          <w:b w:val="0"/>
          <w:sz w:val="18"/>
        </w:rPr>
        <w:t xml:space="preserve"> represents and warrants that it is acting in such a capacity, has full legal capacity and authority, and is not relying on consumer status or consumer remedies.</w:t>
      </w:r>
    </w:p>
    <w:p>
      <w:pPr>
        <w:pStyle w:val="Heading2"/>
      </w:pPr>
      <w:r>
        <w:rPr>
          <w:rFonts w:ascii="Arial" w:hAnsi="Arial"/>
          <w:b/>
          <w:color w:val="B8872E"/>
          <w:sz w:val="20"/>
        </w:rPr>
        <w:t>2. AFFIRMATIVE ASSENT AND REPRESENTED PRINCIPAL</w:t>
      </w:r>
    </w:p>
    <w:p>
      <w:pPr>
        <w:keepLines w:val="0"/>
        <w:spacing w:after="80"/>
      </w:pPr>
      <w:r>
        <w:rPr>
          <w:rFonts w:ascii="Arial" w:hAnsi="Arial"/>
          <w:b w:val="0"/>
          <w:sz w:val="18"/>
        </w:rPr>
        <w:t>Access to interactive functions, mission execution, validation, settlement, reuse, export, API calls, wallet signatures, credentials, or transactions is conditioned on affirmative acceptance of the versioned Terms. The accepting individual represents that the individual is authorized to bind both the individual and every organization identified in the acceptance receipt. The acceptance receipt, credential event, wallet signature, terms version, hash, timestamp, role, represented principal, interface version, chain, contract and mission identifiers constitute admissible evidence of assent and attribution.</w:t>
      </w:r>
    </w:p>
    <w:p>
      <w:pPr>
        <w:pStyle w:val="Heading2"/>
      </w:pPr>
      <w:r>
        <w:rPr>
          <w:rFonts w:ascii="Arial" w:hAnsi="Arial"/>
          <w:b/>
          <w:color w:val="B8872E"/>
          <w:sz w:val="20"/>
        </w:rPr>
        <w:t>3. EXCLUSIVE PARTICIPANT RESPONSIBILITY</w:t>
      </w:r>
    </w:p>
    <w:p>
      <w:pPr>
        <w:keepLines w:val="0"/>
        <w:spacing w:after="80"/>
      </w:pPr>
      <w:r>
        <w:rPr>
          <w:rFonts w:ascii="Arial" w:hAnsi="Arial"/>
          <w:b w:val="0"/>
          <w:sz w:val="18"/>
        </w:rPr>
        <w:t xml:space="preserve">Each </w:t>
      </w:r>
      <w:r>
        <w:rPr>
          <w:rFonts w:ascii="Arial" w:hAnsi="Arial"/>
          <w:b/>
          <w:sz w:val="18"/>
        </w:rPr>
        <w:t>Participant</w:t>
      </w:r>
      <w:r>
        <w:rPr>
          <w:rFonts w:ascii="Arial" w:hAnsi="Arial"/>
          <w:b w:val="0"/>
          <w:sz w:val="18"/>
        </w:rPr>
        <w:t xml:space="preserve"> acts solely for its own account and bears sole, exclusive, continuing and non-delegable responsibility for: </w:t>
      </w:r>
      <w:r>
        <w:rPr>
          <w:rFonts w:ascii="Arial" w:hAnsi="Arial"/>
          <w:b w:val="0"/>
          <w:sz w:val="18"/>
        </w:rPr>
        <w:t>(a)</w:t>
      </w:r>
      <w:r>
        <w:rPr>
          <w:rFonts w:ascii="Arial" w:hAnsi="Arial"/>
          <w:b w:val="0"/>
          <w:sz w:val="18"/>
        </w:rPr>
        <w:t xml:space="preserve"> its objectives, instructions, prompts, jobs, acceptance criteria, decisions and approvals; </w:t>
      </w:r>
      <w:r>
        <w:rPr>
          <w:rFonts w:ascii="Arial" w:hAnsi="Arial"/>
          <w:b w:val="0"/>
          <w:sz w:val="18"/>
        </w:rPr>
        <w:t>(b)</w:t>
      </w:r>
      <w:r>
        <w:rPr>
          <w:rFonts w:ascii="Arial" w:hAnsi="Arial"/>
          <w:b w:val="0"/>
          <w:sz w:val="18"/>
        </w:rPr>
        <w:t xml:space="preserve"> its personnel, agents, contractors, users and credentials; </w:t>
      </w:r>
      <w:r>
        <w:rPr>
          <w:rFonts w:ascii="Arial" w:hAnsi="Arial"/>
          <w:b w:val="0"/>
          <w:sz w:val="18"/>
        </w:rPr>
        <w:t>(c)</w:t>
      </w:r>
      <w:r>
        <w:rPr>
          <w:rFonts w:ascii="Arial" w:hAnsi="Arial"/>
          <w:b w:val="0"/>
          <w:sz w:val="18"/>
        </w:rPr>
        <w:t xml:space="preserve"> all content, data, personal information, confidential information, trade secrets, intellectual property, licences and permissions supplied or referenced; </w:t>
      </w:r>
      <w:r>
        <w:rPr>
          <w:rFonts w:ascii="Arial" w:hAnsi="Arial"/>
          <w:b w:val="0"/>
          <w:sz w:val="18"/>
        </w:rPr>
        <w:t>(d)</w:t>
      </w:r>
      <w:r>
        <w:rPr>
          <w:rFonts w:ascii="Arial" w:hAnsi="Arial"/>
          <w:b w:val="0"/>
          <w:sz w:val="18"/>
        </w:rPr>
        <w:t xml:space="preserve"> wallet custody, keys, signatures, devices, infrastructure, endpoints, integrations, access controls, backups and incident response; </w:t>
      </w:r>
      <w:r>
        <w:rPr>
          <w:rFonts w:ascii="Arial" w:hAnsi="Arial"/>
          <w:b w:val="0"/>
          <w:sz w:val="18"/>
        </w:rPr>
        <w:t>(e)</w:t>
      </w:r>
      <w:r>
        <w:rPr>
          <w:rFonts w:ascii="Arial" w:hAnsi="Arial"/>
          <w:b w:val="0"/>
          <w:sz w:val="18"/>
        </w:rPr>
        <w:t xml:space="preserve"> all work, deliverables, votes, validations, challenges, reuse, monitoring, deployment and downstream consequences; </w:t>
      </w:r>
      <w:r>
        <w:rPr>
          <w:rFonts w:ascii="Arial" w:hAnsi="Arial"/>
          <w:b w:val="0"/>
          <w:sz w:val="18"/>
        </w:rPr>
        <w:t>(f)</w:t>
      </w:r>
      <w:r>
        <w:rPr>
          <w:rFonts w:ascii="Arial" w:hAnsi="Arial"/>
          <w:b w:val="0"/>
          <w:sz w:val="18"/>
        </w:rPr>
        <w:t xml:space="preserve"> employment, worker classification, payroll, benefits, insurance, health and safety and contractor obligations; </w:t>
      </w:r>
      <w:r>
        <w:rPr>
          <w:rFonts w:ascii="Arial" w:hAnsi="Arial"/>
          <w:b w:val="0"/>
          <w:sz w:val="18"/>
        </w:rPr>
        <w:t>(g)</w:t>
      </w:r>
      <w:r>
        <w:rPr>
          <w:rFonts w:ascii="Arial" w:hAnsi="Arial"/>
          <w:b w:val="0"/>
          <w:sz w:val="18"/>
        </w:rPr>
        <w:t xml:space="preserve"> every tax, duty, levy, withholding, remittance, invoice, record, return, information report and filing arising from its activity; </w:t>
      </w:r>
      <w:r>
        <w:rPr>
          <w:rFonts w:ascii="Arial" w:hAnsi="Arial"/>
          <w:b w:val="0"/>
          <w:sz w:val="18"/>
        </w:rPr>
        <w:t>(h)</w:t>
      </w:r>
      <w:r>
        <w:rPr>
          <w:rFonts w:ascii="Arial" w:hAnsi="Arial"/>
          <w:b w:val="0"/>
          <w:sz w:val="18"/>
        </w:rPr>
        <w:t xml:space="preserve"> sanctions, export control, anti-bribery, anti-money-laundering, privacy, cybersecurity, consumer, professional, licensing, sectoral and other regulatory compliance; and </w:t>
      </w:r>
      <w:r>
        <w:rPr>
          <w:rFonts w:ascii="Arial" w:hAnsi="Arial"/>
          <w:b w:val="0"/>
          <w:sz w:val="18"/>
        </w:rPr>
        <w:t>(i)</w:t>
      </w:r>
      <w:r>
        <w:rPr>
          <w:rFonts w:ascii="Arial" w:hAnsi="Arial"/>
          <w:b w:val="0"/>
          <w:sz w:val="18"/>
        </w:rPr>
        <w:t xml:space="preserve"> independent legal, tax, financial, technical, security and professional advice.</w:t>
      </w:r>
    </w:p>
    <w:p>
      <w:pPr>
        <w:pStyle w:val="Heading2"/>
      </w:pPr>
      <w:r>
        <w:rPr>
          <w:rFonts w:ascii="Arial" w:hAnsi="Arial"/>
          <w:b/>
          <w:color w:val="B8872E"/>
          <w:sz w:val="20"/>
        </w:rPr>
        <w:t>4. USER-TO-USER RELATIONSHIPS</w:t>
      </w:r>
    </w:p>
    <w:p>
      <w:pPr>
        <w:keepLines w:val="0"/>
        <w:spacing w:after="80"/>
      </w:pPr>
      <w:r>
        <w:rPr>
          <w:rFonts w:ascii="Arial" w:hAnsi="Arial"/>
          <w:b w:val="0"/>
          <w:sz w:val="18"/>
        </w:rPr>
        <w:t xml:space="preserve">Every work relationship, job, scope, deliverable, validation, challenge, payment, settlement expectation, confidentiality obligation, intellectual-property arrangement, employment or contractor relationship, service level, warranty, remedy and dispute exists solely among the Participants who create or accept it. Each </w:t>
      </w:r>
      <w:r>
        <w:rPr>
          <w:rFonts w:ascii="Arial" w:hAnsi="Arial"/>
          <w:b/>
          <w:sz w:val="18"/>
        </w:rPr>
        <w:t>Participant</w:t>
      </w:r>
      <w:r>
        <w:rPr>
          <w:rFonts w:ascii="Arial" w:hAnsi="Arial"/>
          <w:b w:val="0"/>
          <w:sz w:val="18"/>
        </w:rPr>
        <w:t xml:space="preserve"> must document its own agreement and pursue its own counterparty. No </w:t>
      </w:r>
      <w:r>
        <w:rPr>
          <w:rFonts w:ascii="Arial" w:hAnsi="Arial"/>
          <w:b/>
          <w:sz w:val="18"/>
        </w:rPr>
        <w:t>Participant</w:t>
      </w:r>
      <w:r>
        <w:rPr>
          <w:rFonts w:ascii="Arial" w:hAnsi="Arial"/>
          <w:b w:val="0"/>
          <w:sz w:val="18"/>
        </w:rPr>
        <w:t xml:space="preserve"> may represent that any Protected Party has assumed, guaranteed, insured, underwritten, supervised or become a party to a user-to-user obligation unless a separate written instrument expressly states otherwise.</w:t>
      </w:r>
    </w:p>
    <w:p>
      <w:pPr>
        <w:pStyle w:val="Heading2"/>
      </w:pPr>
      <w:r>
        <w:rPr>
          <w:rFonts w:ascii="Arial" w:hAnsi="Arial"/>
          <w:b/>
          <w:color w:val="B8872E"/>
          <w:sz w:val="20"/>
        </w:rPr>
        <w:t>5. ASSUMPTION OF RISK</w:t>
      </w:r>
    </w:p>
    <w:p>
      <w:pPr>
        <w:keepLines w:val="0"/>
        <w:spacing w:after="80"/>
      </w:pPr>
      <w:r>
        <w:rPr>
          <w:rFonts w:ascii="Arial" w:hAnsi="Arial"/>
          <w:b w:val="0"/>
          <w:sz w:val="18"/>
        </w:rPr>
        <w:t xml:space="preserve">Each </w:t>
      </w:r>
      <w:r>
        <w:rPr>
          <w:rFonts w:ascii="Arial" w:hAnsi="Arial"/>
          <w:b/>
          <w:sz w:val="18"/>
        </w:rPr>
        <w:t>Participant</w:t>
      </w:r>
      <w:r>
        <w:rPr>
          <w:rFonts w:ascii="Arial" w:hAnsi="Arial"/>
          <w:b w:val="0"/>
          <w:sz w:val="18"/>
        </w:rPr>
        <w:t xml:space="preserve"> knowingly and voluntarily assumes all risks associated with artificial intelligence, autonomous or semi-autonomous systems, software, smart contracts, digital assets, cryptographic keys, validators, networks, bridges, oracles, third-party services, open-source components, content-addressed storage and irreversible transactions, including error, hallucination, omission, bias, model or tool failure, loss of data, privacy breach, cyberattack, exploit, logic error, reentrancy, upgrade failure, chain reorganization, congestion, front-running, MEV, failed transaction, slashing, loss of keys, market volatility, illiquidity, regulatory change, tax recharacterization, validator error, collusion, non-participation, dispute delay, force majeure and total loss of digital assets. The </w:t>
      </w:r>
      <w:r>
        <w:rPr>
          <w:rFonts w:ascii="Arial" w:hAnsi="Arial"/>
          <w:b/>
          <w:sz w:val="18"/>
        </w:rPr>
        <w:t>Participant</w:t>
      </w:r>
      <w:r>
        <w:rPr>
          <w:rFonts w:ascii="Arial" w:hAnsi="Arial"/>
          <w:b w:val="0"/>
          <w:sz w:val="18"/>
        </w:rPr>
        <w:t xml:space="preserve"> is solely responsible for deciding whether, when and how to act on any output.</w:t>
      </w:r>
    </w:p>
    <w:p>
      <w:pPr>
        <w:pStyle w:val="Heading2"/>
      </w:pPr>
      <w:r>
        <w:rPr>
          <w:rFonts w:ascii="Arial" w:hAnsi="Arial"/>
          <w:b/>
          <w:color w:val="B8872E"/>
          <w:sz w:val="20"/>
        </w:rPr>
        <w:t>6. NO RELIANCE; NO DUTY TO INTERVENE</w:t>
      </w:r>
    </w:p>
    <w:p>
      <w:pPr>
        <w:keepLines w:val="0"/>
        <w:spacing w:after="80"/>
      </w:pPr>
      <w:r>
        <w:rPr>
          <w:rFonts w:ascii="Arial" w:hAnsi="Arial"/>
          <w:b w:val="0"/>
          <w:sz w:val="18"/>
        </w:rPr>
        <w:t xml:space="preserve">Outputs, demonstrations, scores, decisions, Dockets, ProofBundles, validations, attestations, Chronicle entries and capability objects are inputs to the </w:t>
      </w:r>
      <w:r>
        <w:rPr>
          <w:rFonts w:ascii="Arial" w:hAnsi="Arial"/>
          <w:b/>
          <w:sz w:val="18"/>
        </w:rPr>
        <w:t>Participant</w:t>
      </w:r>
      <w:r>
        <w:rPr>
          <w:rFonts w:ascii="Arial" w:hAnsi="Arial"/>
          <w:b w:val="0"/>
          <w:sz w:val="18"/>
        </w:rPr>
        <w:t xml:space="preserve">'s own judgment. The </w:t>
      </w:r>
      <w:r>
        <w:rPr>
          <w:rFonts w:ascii="Arial" w:hAnsi="Arial"/>
          <w:b/>
          <w:sz w:val="18"/>
        </w:rPr>
        <w:t>Participant</w:t>
      </w:r>
      <w:r>
        <w:rPr>
          <w:rFonts w:ascii="Arial" w:hAnsi="Arial"/>
          <w:b w:val="0"/>
          <w:sz w:val="18"/>
        </w:rPr>
        <w:t xml:space="preserve"> must independently verify every consequential claim and obtain all required approvals. No Protected Party undertakes any duty to monitor participants, supervise work, review legality, perform KYC or AML, withhold or remit taxes, issue forms, preserve data, maintain availability, resolve disputes, reverse transactions, rescue assets, recover keys, insure losses, provide professional advice, or achieve any result.</w:t>
      </w:r>
    </w:p>
    <w:p>
      <w:pPr>
        <w:pStyle w:val="Heading2"/>
      </w:pPr>
      <w:r>
        <w:rPr>
          <w:rFonts w:ascii="Arial" w:hAnsi="Arial"/>
          <w:b/>
          <w:color w:val="B8872E"/>
          <w:sz w:val="20"/>
        </w:rPr>
        <w:t>7. AS-IS PROVISION; DISCLAIMER OF WARRANTIES</w:t>
      </w:r>
    </w:p>
    <w:p>
      <w:pPr>
        <w:keepLines w:val="0"/>
        <w:spacing w:after="80"/>
      </w:pPr>
      <w:r>
        <w:rPr>
          <w:rFonts w:ascii="Arial" w:hAnsi="Arial"/>
          <w:b w:val="0"/>
          <w:sz w:val="18"/>
        </w:rPr>
        <w:t>To the maximum extent permitted by applicable law, the System and all related materials are provided AS IS, AS AVAILABLE and WITH ALL FAULTS. All express, implied, statutory and collateral warranties, representations, conditions and duties are disclaimed, including merchantability, quality, fitness for purpose, title, non-infringement, accuracy, completeness, security, availability, interoperability, legal compliance, tax treatment, error-free operation, uninterrupted operation, value, liquidity and any particular outcome.</w:t>
      </w:r>
    </w:p>
    <w:p>
      <w:pPr>
        <w:pStyle w:val="Heading2"/>
      </w:pPr>
      <w:r>
        <w:rPr>
          <w:rFonts w:ascii="Arial" w:hAnsi="Arial"/>
          <w:b/>
          <w:color w:val="B8872E"/>
          <w:sz w:val="20"/>
        </w:rPr>
        <w:t>8. RELEASE, WAIVER, COVENANT NOT TO SUE AND NON-RECOURSE</w:t>
      </w:r>
    </w:p>
    <w:p>
      <w:pPr>
        <w:keepLines w:val="0"/>
        <w:spacing w:after="80"/>
      </w:pPr>
      <w:r>
        <w:rPr>
          <w:rFonts w:ascii="Arial" w:hAnsi="Arial"/>
          <w:b w:val="0"/>
          <w:sz w:val="18"/>
        </w:rPr>
        <w:t xml:space="preserve">To the maximum extent permitted by applicable law, each </w:t>
      </w:r>
      <w:r>
        <w:rPr>
          <w:rFonts w:ascii="Arial" w:hAnsi="Arial"/>
          <w:b/>
          <w:sz w:val="18"/>
        </w:rPr>
        <w:t>Participant</w:t>
      </w:r>
      <w:r>
        <w:rPr>
          <w:rFonts w:ascii="Arial" w:hAnsi="Arial"/>
          <w:b w:val="0"/>
          <w:sz w:val="18"/>
        </w:rPr>
        <w:t xml:space="preserve"> irrevocably releases, waives and discharges the </w:t>
      </w:r>
      <w:r>
        <w:rPr>
          <w:rFonts w:ascii="Arial" w:hAnsi="Arial"/>
          <w:b/>
          <w:sz w:val="18"/>
        </w:rPr>
        <w:t>Protected Parties</w:t>
      </w:r>
      <w:r>
        <w:rPr>
          <w:rFonts w:ascii="Arial" w:hAnsi="Arial"/>
          <w:b w:val="0"/>
          <w:sz w:val="18"/>
        </w:rPr>
        <w:t xml:space="preserve"> from every claim, demand, action, cause of action, loss, liability, damage, cost and expense arising from or related to </w:t>
      </w:r>
      <w:r>
        <w:rPr>
          <w:rFonts w:ascii="Arial" w:hAnsi="Arial"/>
          <w:b/>
          <w:sz w:val="18"/>
        </w:rPr>
        <w:t>Participant</w:t>
      </w:r>
      <w:r>
        <w:rPr>
          <w:rFonts w:ascii="Arial" w:hAnsi="Arial"/>
          <w:b w:val="0"/>
          <w:sz w:val="18"/>
        </w:rPr>
        <w:t xml:space="preserve"> Activity, and covenants not to sue or seek contribution, subrogation, restitution, tracing, disgorgement, constructive trust, lien, attachment, garnishment, security interest or other recourse against any Protected Party or protocol-associated balance, stake, bond, token unit, reserve, escrow, reward, fee, liquidity position, smart-contract asset or technical accounting entry, except for a participant claim expressly credited by deployed code to that </w:t>
      </w:r>
      <w:r>
        <w:rPr>
          <w:rFonts w:ascii="Arial" w:hAnsi="Arial"/>
          <w:b/>
          <w:sz w:val="18"/>
        </w:rPr>
        <w:t>Participant</w:t>
      </w:r>
      <w:r>
        <w:rPr>
          <w:rFonts w:ascii="Arial" w:hAnsi="Arial"/>
          <w:b w:val="0"/>
          <w:sz w:val="18"/>
        </w:rPr>
        <w:t>.</w:t>
      </w:r>
    </w:p>
    <w:p>
      <w:pPr>
        <w:pStyle w:val="Heading2"/>
      </w:pPr>
      <w:r>
        <w:rPr>
          <w:rFonts w:ascii="Arial" w:hAnsi="Arial"/>
          <w:b/>
          <w:color w:val="B8872E"/>
          <w:sz w:val="20"/>
        </w:rPr>
        <w:t>9. HOLD HARMLESS; PARTICIPANT-CAUSED MATTERS</w:t>
      </w:r>
    </w:p>
    <w:p>
      <w:pPr>
        <w:keepLines w:val="0"/>
        <w:spacing w:after="80"/>
      </w:pPr>
      <w:r>
        <w:rPr>
          <w:rFonts w:ascii="Arial" w:hAnsi="Arial"/>
          <w:b w:val="0"/>
          <w:sz w:val="18"/>
        </w:rPr>
        <w:t>To the maximum extent permitted by applicable law, each Participant agrees to hold harmless every Protected Party from third-party claims, liabilities, assessments, taxes, penalties, interest, losses, damages, costs and expenses arising from or relating to: Participant Activity; a user-to-user relationship created or accepted by the Participant; the Participant's content, data, instructions, wallet, keys, systems, work, validation, challenge, reuse, deployment or public statement; breach of these Terms; infringement or misappropriation; a privacy or cybersecurity event; an employment or worker claim; a tax, withholding or reporting obligation; a sanctions or regulatory matter; or an act or omission of a person using the Participant's credentials. No Participant may purport to admit fault for, bind, restrict or impose an obligation on a Protected Party without that Protected Party's prior written consent. This Article does not create an independent duty to defend or advance legal or expert costs. This Article does not apply to a Protected Party's own intentional or gross fault, or to any liability that applicable law does not permit to be excluded, limited or transferred.</w:t>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p>
    <w:p>
      <w:pPr>
        <w:pStyle w:val="Heading2"/>
      </w:pPr>
      <w:r>
        <w:rPr>
          <w:rFonts w:ascii="Arial" w:hAnsi="Arial"/>
          <w:b/>
          <w:color w:val="B8872E"/>
          <w:sz w:val="20"/>
        </w:rPr>
        <w:t>10. TAXES, WITHHOLDING AND RECORDS</w:t>
      </w:r>
    </w:p>
    <w:p>
      <w:pPr>
        <w:keepLines w:val="0"/>
        <w:spacing w:after="80"/>
      </w:pPr>
      <w:r>
        <w:rPr>
          <w:rFonts w:ascii="Arial" w:hAnsi="Arial"/>
          <w:b w:val="0"/>
          <w:sz w:val="18"/>
        </w:rPr>
        <w:t>All taxes and fiscal consequences arising from Participant Activity are borne by the Participant whose activity creates them, subject to any mandatory duty that applicable law places directly on another person. Each Participant shall determine classification, valuation, source, timing, basis, reporting, withholding, collection, remittance and documentation; maintain complete records; issue required invoices and forms; and pay all taxes, duties, levies, penalties and interest for which it is responsible. No Protected Party undertakes to calculate, withhold, collect, remit, report or issue tax forms for a Participant unless a separate signed agreement expressly provides otherwise.</w:t>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r>
        <w:rPr>
          <w:rFonts w:ascii="Arial" w:hAnsi="Arial"/>
          <w:b/>
          <w:sz w:val="18"/>
        </w:rPr>
      </w:r>
      <w:r>
        <w:rPr>
          <w:rFonts w:ascii="Arial" w:hAnsi="Arial"/>
          <w:b w:val="0"/>
          <w:sz w:val="18"/>
        </w:rPr>
      </w:r>
    </w:p>
    <w:p>
      <w:pPr>
        <w:pStyle w:val="Heading2"/>
      </w:pPr>
      <w:r>
        <w:rPr>
          <w:rFonts w:ascii="Arial" w:hAnsi="Arial"/>
          <w:b/>
          <w:color w:val="B8872E"/>
          <w:sz w:val="20"/>
        </w:rPr>
        <w:t>11. $AGIALPHA AND DIGITAL-ASSET ACTIVITY</w:t>
      </w:r>
    </w:p>
    <w:p>
      <w:pPr>
        <w:keepLines w:val="0"/>
        <w:spacing w:after="80"/>
      </w:pPr>
      <w:r>
        <w:rPr>
          <w:rFonts w:ascii="Arial" w:hAnsi="Arial"/>
          <w:b w:val="0"/>
          <w:sz w:val="18"/>
        </w:rPr>
        <w:t xml:space="preserve">Any acquisition, holding, transfer, bonding, staking, escrow, reward, refund, forfeiture, challenge, validation, settlement or other use of $AGIALPHA or a digital asset is undertaken solely at the </w:t>
      </w:r>
      <w:r>
        <w:rPr>
          <w:rFonts w:ascii="Arial" w:hAnsi="Arial"/>
          <w:b/>
          <w:sz w:val="18"/>
        </w:rPr>
        <w:t>Participant</w:t>
      </w:r>
      <w:r>
        <w:rPr>
          <w:rFonts w:ascii="Arial" w:hAnsi="Arial"/>
          <w:b w:val="0"/>
          <w:sz w:val="18"/>
        </w:rPr>
        <w:t xml:space="preserve">'s initiative, for the </w:t>
      </w:r>
      <w:r>
        <w:rPr>
          <w:rFonts w:ascii="Arial" w:hAnsi="Arial"/>
          <w:b/>
          <w:sz w:val="18"/>
        </w:rPr>
        <w:t>Participant</w:t>
      </w:r>
      <w:r>
        <w:rPr>
          <w:rFonts w:ascii="Arial" w:hAnsi="Arial"/>
          <w:b w:val="0"/>
          <w:sz w:val="18"/>
        </w:rPr>
        <w:t xml:space="preserve">'s account and at the </w:t>
      </w:r>
      <w:r>
        <w:rPr>
          <w:rFonts w:ascii="Arial" w:hAnsi="Arial"/>
          <w:b/>
          <w:sz w:val="18"/>
        </w:rPr>
        <w:t>Participant</w:t>
      </w:r>
      <w:r>
        <w:rPr>
          <w:rFonts w:ascii="Arial" w:hAnsi="Arial"/>
          <w:b w:val="0"/>
          <w:sz w:val="18"/>
        </w:rPr>
        <w:t xml:space="preserve">'s risk. The </w:t>
      </w:r>
      <w:r>
        <w:rPr>
          <w:rFonts w:ascii="Arial" w:hAnsi="Arial"/>
          <w:b/>
          <w:sz w:val="18"/>
        </w:rPr>
        <w:t>Participant</w:t>
      </w:r>
      <w:r>
        <w:rPr>
          <w:rFonts w:ascii="Arial" w:hAnsi="Arial"/>
          <w:b w:val="0"/>
          <w:sz w:val="18"/>
        </w:rPr>
        <w:t xml:space="preserve"> is exclusively responsible for legality, eligibility, suitability, custody, accounting, valuation, tax treatment and regulatory classification. No equity, ownership, dividend, revenue share, yield, redemption, appreciation, liquidity, price support or profit is promised or guaranteed.</w:t>
      </w:r>
    </w:p>
    <w:p>
      <w:pPr>
        <w:pStyle w:val="Heading2"/>
      </w:pPr>
      <w:r>
        <w:rPr>
          <w:rFonts w:ascii="Arial" w:hAnsi="Arial"/>
          <w:b/>
          <w:color w:val="B8872E"/>
          <w:sz w:val="20"/>
        </w:rPr>
        <w:t>12. NON-JOINDER; USER-TO-USER MATTERS</w:t>
      </w:r>
    </w:p>
    <w:p>
      <w:pPr>
        <w:keepLines w:val="0"/>
        <w:spacing w:after="80"/>
      </w:pPr>
      <w:r>
        <w:rPr>
          <w:rFonts w:ascii="Arial" w:hAnsi="Arial"/>
          <w:b w:val="0"/>
          <w:sz w:val="18"/>
        </w:rPr>
        <w:t>Each Participant shall keep every user-to-user matter between the relevant Participants and shall not name, join, implead, seek recovery from or otherwise involve a Protected Party solely because of a dispute between Participants, that Protected Party's association with the System, or the mere use, publication, reference or availability of the System, documentation, interface, smart contract or technical infrastructure. If a Protected Party is named contrary to this Article, the responsible Participant shall promptly take all reasonable steps within its control to discontinue the claim against, or seek dismissal of, that Protected Party. This Article does not restrict lawful process, a direct claim expressly permitted by a separate signed agreement, or any right, remedy, forum or obligation that applicable law does not permit to be waived, limited or transferred.</w:t>
      </w:r>
      <w:r>
        <w:rPr>
          <w:rFonts w:ascii="Arial" w:hAnsi="Arial"/>
          <w:b/>
          <w:sz w:val="18"/>
        </w:rPr>
      </w:r>
      <w:r>
        <w:rPr>
          <w:rFonts w:ascii="Arial" w:hAnsi="Arial"/>
          <w:b w:val="0"/>
          <w:sz w:val="18"/>
        </w:rPr>
      </w:r>
      <w:r>
        <w:rPr>
          <w:rFonts w:ascii="Arial" w:hAnsi="Arial"/>
          <w:b/>
          <w:sz w:val="18"/>
        </w:rPr>
      </w:r>
      <w:r>
        <w:rPr>
          <w:rFonts w:ascii="Arial" w:hAnsi="Arial"/>
          <w:b w:val="0"/>
          <w:sz w:val="18"/>
        </w:rPr>
      </w:r>
    </w:p>
    <w:p>
      <w:pPr>
        <w:pStyle w:val="Heading2"/>
      </w:pPr>
      <w:r>
        <w:rPr>
          <w:rFonts w:ascii="Arial" w:hAnsi="Arial"/>
          <w:b/>
          <w:color w:val="B8872E"/>
          <w:sz w:val="20"/>
        </w:rPr>
        <w:t>13. PROFESSIONAL DISPUTE PREVENTION AND MONTRÉAL FORUM</w:t>
      </w:r>
    </w:p>
    <w:p>
      <w:pPr>
        <w:keepLines w:val="0"/>
        <w:spacing w:after="80"/>
      </w:pPr>
      <w:r>
        <w:rPr>
          <w:rFonts w:ascii="Arial" w:hAnsi="Arial"/>
          <w:b w:val="0"/>
          <w:sz w:val="18"/>
        </w:rPr>
        <w:t>Before commencing a permitted claim against a Protected Party, a Participant must deliver a particularized written Claim Notice, preserve all relevant evidence, impose an internal legal hold, observe a 30-day standstill and confidentiality period, and participate in a senior-representative conference. Technical or accounting issues may be referred to independent expert determination. Unresolved disputes shall proceed to confidential mediation in Montréal, Quebec, Canada and, if not resolved, to confidential final and binding arbitration seated in Montréal before one independent arbitrator, in English or French as lawfully selected. Any court proceeding permitted for interim relief, enforcement, homologation or a non-arbitrable matter shall be brought exclusively in the courts of the Judicial District of Montréal, Quebec. Each professional Participant waives representative, collective, consolidated and class proceedings and objections based on venue or forum non conveniens, to the maximum extent permitted by applicable law.</w:t>
      </w:r>
      <w:r>
        <w:rPr>
          <w:rFonts w:ascii="Arial" w:hAnsi="Arial"/>
          <w:b/>
          <w:sz w:val="18"/>
        </w:rPr>
      </w:r>
      <w:r>
        <w:rPr>
          <w:rFonts w:ascii="Arial" w:hAnsi="Arial"/>
          <w:b w:val="0"/>
          <w:sz w:val="18"/>
        </w:rPr>
      </w:r>
      <w:r>
        <w:rPr>
          <w:rFonts w:ascii="Arial" w:hAnsi="Arial"/>
          <w:b/>
          <w:sz w:val="18"/>
        </w:rPr>
      </w:r>
      <w:r>
        <w:rPr>
          <w:rFonts w:ascii="Arial" w:hAnsi="Arial"/>
          <w:b w:val="0"/>
          <w:sz w:val="18"/>
        </w:rPr>
      </w:r>
    </w:p>
    <w:p>
      <w:pPr>
        <w:pStyle w:val="Heading2"/>
      </w:pPr>
      <w:r>
        <w:rPr>
          <w:rFonts w:ascii="Arial" w:hAnsi="Arial"/>
          <w:b/>
          <w:color w:val="B8872E"/>
          <w:sz w:val="20"/>
        </w:rPr>
        <w:t>14. ELECTRONIC EVIDENCE, RECORDS AND SECURITY</w:t>
      </w:r>
    </w:p>
    <w:p>
      <w:pPr>
        <w:keepLines w:val="0"/>
        <w:spacing w:after="80"/>
      </w:pPr>
      <w:r>
        <w:rPr>
          <w:rFonts w:ascii="Arial" w:hAnsi="Arial"/>
          <w:b w:val="0"/>
          <w:sz w:val="18"/>
        </w:rPr>
        <w:t xml:space="preserve">Each </w:t>
      </w:r>
      <w:r>
        <w:rPr>
          <w:rFonts w:ascii="Arial" w:hAnsi="Arial"/>
          <w:b/>
          <w:sz w:val="18"/>
        </w:rPr>
        <w:t>Participant</w:t>
      </w:r>
      <w:r>
        <w:rPr>
          <w:rFonts w:ascii="Arial" w:hAnsi="Arial"/>
          <w:b w:val="0"/>
          <w:sz w:val="18"/>
        </w:rPr>
        <w:t xml:space="preserve"> shall preserve terms versions, hashes, receipts, signatures, wallet events, logs, prompts, outputs, source records, approvals, ProofBundles, validator records, Dockets, tax records and deployment records for at least seven years or the longer period required by law. Electronic records, cryptographic signatures, content hashes, blockchain records, interface logs and acceptance receipts may be used as evidence of identity, authority, instruction, assent, attribution, timing and state.</w:t>
      </w:r>
    </w:p>
    <w:p>
      <w:pPr>
        <w:pStyle w:val="Heading2"/>
      </w:pPr>
      <w:r>
        <w:rPr>
          <w:rFonts w:ascii="Arial" w:hAnsi="Arial"/>
          <w:b/>
          <w:color w:val="B8872E"/>
          <w:sz w:val="20"/>
        </w:rPr>
        <w:t>15. PROTECTED PARTIES; THIRD-PARTY BENEFICIARIES</w:t>
      </w:r>
    </w:p>
    <w:p>
      <w:pPr>
        <w:keepLines w:val="0"/>
        <w:spacing w:after="80"/>
      </w:pPr>
      <w:r>
        <w:rPr>
          <w:rFonts w:ascii="Arial" w:hAnsi="Arial"/>
          <w:b/>
          <w:sz w:val="18"/>
        </w:rPr>
        <w:t>Protected Parties means every author, publisher, designer, researcher, developer, maintainer, contributor, licensor, administrator, reviewer, validator, moderator, node provider, interface provider, infrastructure provider, contractor, adviser, affiliate, officer, director, employee, agent, delegate, successor and assign associated with, contributing to, referenced by, or providing any component or material relating to GoalOS, AGI ALPHA, AGI Jobs, AGI Nodes, Chronicle, the Validated Skill Graph, $AGIALPHA, related namespaces, documentation, software, smart contracts, interfaces, APIs or deployments. Each Protected Party is an intended third-party beneficiary entitled to enforce the release, non-recourse, hold-harmless, limitation, non-joinder, confidentiality and dispute provisions directly.</w:t>
      </w:r>
      <w:r>
        <w:rPr>
          <w:rFonts w:ascii="Arial" w:hAnsi="Arial"/>
          <w:b w:val="0"/>
          <w:sz w:val="18"/>
        </w:rPr>
      </w:r>
    </w:p>
    <w:p>
      <w:pPr>
        <w:pStyle w:val="Heading2"/>
      </w:pPr>
      <w:r>
        <w:rPr>
          <w:rFonts w:ascii="Arial" w:hAnsi="Arial"/>
          <w:b/>
          <w:color w:val="B8872E"/>
          <w:sz w:val="20"/>
        </w:rPr>
        <w:t>16. LIMITATION OF LIABILITY</w:t>
      </w:r>
    </w:p>
    <w:p>
      <w:pPr>
        <w:keepLines w:val="0"/>
        <w:spacing w:after="80"/>
      </w:pPr>
      <w:r>
        <w:rPr>
          <w:rFonts w:ascii="Arial" w:hAnsi="Arial"/>
          <w:b w:val="0"/>
          <w:sz w:val="18"/>
        </w:rPr>
        <w:t xml:space="preserve">To the maximum extent permitted by applicable law, no Protected Party shall be liable for indirect, incidental, consequential, exemplary, special, punitive or aggravated damages, loss of profit, revenue, business, opportunity, goodwill, data, privacy, digital assets, market value, anticipated savings or replacement cost. The aggregate liability of all </w:t>
      </w:r>
      <w:r>
        <w:rPr>
          <w:rFonts w:ascii="Arial" w:hAnsi="Arial"/>
          <w:b/>
          <w:sz w:val="18"/>
        </w:rPr>
        <w:t>Protected Parties</w:t>
      </w:r>
      <w:r>
        <w:rPr>
          <w:rFonts w:ascii="Arial" w:hAnsi="Arial"/>
          <w:b w:val="0"/>
          <w:sz w:val="18"/>
        </w:rPr>
        <w:t xml:space="preserve"> arising from a single event or related series of events shall not exceed CAD 100, or any greater minimum amount that applicable mandatory law requires.</w:t>
      </w:r>
    </w:p>
    <w:p>
      <w:pPr>
        <w:pStyle w:val="Heading2"/>
      </w:pPr>
      <w:r>
        <w:rPr>
          <w:rFonts w:ascii="Arial" w:hAnsi="Arial"/>
          <w:b/>
          <w:color w:val="B8872E"/>
          <w:sz w:val="20"/>
        </w:rPr>
        <w:t>17. GENERAL</w:t>
      </w:r>
    </w:p>
    <w:p>
      <w:pPr>
        <w:keepLines w:val="0"/>
        <w:spacing w:after="80"/>
      </w:pPr>
      <w:r>
        <w:rPr>
          <w:rFonts w:ascii="Arial" w:hAnsi="Arial"/>
          <w:b w:val="0"/>
          <w:sz w:val="18"/>
        </w:rPr>
        <w:t>These Terms, the applicable full terms, the acceptance receipt and the deployed technical rules constitute the entire agreement concerning Participant Activity. The deployed code determines technical state transitions; these Terms allocate contractual responsibility and risk. Amendments may be published in versioned form and apply prospectively upon acceptance or continued use where lawful. Invalid or unenforceable provisions shall be severed or reduced to the minimum extent necessary; the remainder survives. No waiver is continuing. The Participant may not assign rights or obligations without prior written consent. Sections concerning responsibility, risk, release, non-recourse, hold-harmless, taxes, digital assets, non-joinder, evidence, confidentiality, dispute resolution, limitation and third-party beneficiary rights survive indefinitely. Mandatory and non-waivable law prevails only to the minimum extent legally required.</w:t>
      </w:r>
      <w:r>
        <w:rPr>
          <w:rFonts w:ascii="Arial" w:hAnsi="Arial"/>
          <w:b/>
          <w:sz w:val="18"/>
        </w:rPr>
      </w:r>
      <w:r>
        <w:rPr>
          <w:rFonts w:ascii="Arial" w:hAnsi="Arial"/>
          <w:b w:val="0"/>
          <w:sz w:val="18"/>
        </w:rPr>
      </w:r>
      <w:r>
        <w:rPr>
          <w:rFonts w:ascii="Arial" w:hAnsi="Arial"/>
          <w:b/>
          <w:sz w:val="18"/>
        </w:rPr>
      </w:r>
      <w:r>
        <w:rPr>
          <w:rFonts w:ascii="Arial" w:hAnsi="Arial"/>
          <w:b w:val="0"/>
          <w:sz w:val="18"/>
        </w:rPr>
      </w:r>
    </w:p>
    <w:p>
      <w:r>
        <w:br w:type="page"/>
      </w:r>
    </w:p>
    <w:p>
      <w:pPr>
        <w:pStyle w:val="Title"/>
      </w:pPr>
      <w:r>
        <w:t>SCHEDULE A · ENTERPRISE PARTICIPATION RECEIPT</w:t>
      </w:r>
    </w:p>
    <w:p>
      <w:pPr>
        <w:spacing w:after="80"/>
        <w:pBdr>
          <w:bottom w:val="single" w:sz="36" w:space="1" w:color="B8872E"/>
        </w:pBdr>
      </w:pPr>
    </w:p>
    <w:tbl>
      <w:tblPr>
        <w:tblW w:type="auto" w:w="0"/>
        <w:jc w:val="center"/>
        <w:tblLayout w:type="fixed"/>
        <w:tblLook w:firstColumn="1" w:firstRow="1" w:lastColumn="0" w:lastRow="0" w:noHBand="0" w:noVBand="1" w:val="04A0"/>
      </w:tblPr>
      <w:tblGrid>
        <w:gridCol w:w="10080"/>
      </w:tblGrid>
      <w:tr>
        <w:tc>
          <w:tcPr>
            <w:tcW w:type="dxa" w:w="10282"/>
            <w:shd w:fill="07182B"/>
            <w:tcMar>
              <w:top w:w="70" w:type="dxa"/>
              <w:start w:w="120" w:type="dxa"/>
              <w:bottom w:w="70" w:type="dxa"/>
              <w:end w:w="120" w:type="dxa"/>
            </w:tcMar>
          </w:tcPr>
          <w:p>
            <w:r>
              <w:rPr>
                <w:rFonts w:ascii="Arial" w:hAnsi="Arial"/>
                <w:b/>
                <w:color w:val="FFFFFF"/>
                <w:sz w:val="15"/>
              </w:rPr>
              <w:t>CONDITION PRECEDENT</w:t>
            </w:r>
          </w:p>
        </w:tc>
      </w:tr>
      <w:tr>
        <w:tc>
          <w:tcPr>
            <w:tcW w:type="dxa" w:w="10282"/>
            <w:shd w:fill="0C2C4D"/>
            <w:tcMar>
              <w:top w:w="110" w:type="dxa"/>
              <w:start w:w="140" w:type="dxa"/>
              <w:bottom w:w="110" w:type="dxa"/>
              <w:end w:w="140" w:type="dxa"/>
            </w:tcMar>
          </w:tcPr>
          <w:p>
            <w:r>
              <w:rPr>
                <w:rFonts w:ascii="Georgia" w:hAnsi="Georgia"/>
                <w:b/>
                <w:color w:val="FFFFFF"/>
                <w:sz w:val="20"/>
              </w:rPr>
              <w:t>This receipt must be completed and bound to the applicable mission, interface, transaction or deployment before any protected function is used.</w:t>
            </w:r>
          </w:p>
        </w:tc>
      </w:tr>
    </w:tbl>
    <w:p>
      <w:pPr>
        <w:spacing w:after="0"/>
      </w:pPr>
    </w:p>
    <w:tbl>
      <w:tblPr>
        <w:tblW w:type="auto" w:w="0"/>
        <w:jc w:val="center"/>
        <w:tblLayout w:type="fixed"/>
        <w:tblLook w:firstColumn="1" w:firstRow="1" w:lastColumn="0" w:lastRow="0" w:noHBand="0" w:noVBand="1" w:val="04A0"/>
      </w:tblPr>
      <w:tblGrid>
        <w:gridCol w:w="3168"/>
        <w:gridCol w:w="6768"/>
      </w:tblGrid>
      <w:tr>
        <w:tc>
          <w:tcPr>
            <w:tcW w:type="dxa" w:w="5141"/>
            <w:shd w:fill="07182B"/>
          </w:tcPr>
          <w:p>
            <w:r>
              <w:rPr>
                <w:rFonts w:ascii="Arial" w:hAnsi="Arial"/>
                <w:b/>
                <w:color w:val="FFFFFF"/>
                <w:sz w:val="17"/>
              </w:rPr>
              <w:t>Receipt field</w:t>
            </w:r>
          </w:p>
        </w:tc>
        <w:tc>
          <w:tcPr>
            <w:tcW w:type="dxa" w:w="5141"/>
            <w:shd w:fill="07182B"/>
          </w:tcPr>
          <w:p>
            <w:r>
              <w:rPr>
                <w:rFonts w:ascii="Arial" w:hAnsi="Arial"/>
                <w:b/>
                <w:color w:val="FFFFFF"/>
                <w:sz w:val="17"/>
              </w:rPr>
              <w:t>Recorded value / acknowledgment</w:t>
            </w:r>
          </w:p>
        </w:tc>
      </w:tr>
      <w:tr>
        <w:tc>
          <w:tcPr>
            <w:tcW w:type="dxa" w:w="3168"/>
            <w:shd w:fill="EEF3F7"/>
            <w:tcMar>
              <w:top w:w="92" w:type="dxa"/>
              <w:start w:w="112" w:type="dxa"/>
              <w:bottom w:w="92" w:type="dxa"/>
              <w:end w:w="112" w:type="dxa"/>
            </w:tcMar>
          </w:tcPr>
          <w:p>
            <w:r>
              <w:rPr>
                <w:rFonts w:ascii="Arial" w:hAnsi="Arial"/>
                <w:b/>
                <w:color w:val="07182B"/>
                <w:sz w:val="16"/>
              </w:rPr>
              <w:t>Terms version</w:t>
            </w:r>
          </w:p>
        </w:tc>
        <w:tc>
          <w:tcPr>
            <w:tcW w:type="dxa" w:w="6768"/>
            <w:tcMar>
              <w:top w:w="92" w:type="dxa"/>
              <w:start w:w="112" w:type="dxa"/>
              <w:bottom w:w="92" w:type="dxa"/>
              <w:end w:w="112" w:type="dxa"/>
            </w:tcMar>
          </w:tcPr>
          <w:p>
            <w:pPr>
              <w:spacing w:before="0" w:after="0"/>
            </w:pPr>
            <w:r>
              <w:rPr>
                <w:rFonts w:ascii="Arial" w:hAnsi="Arial"/>
                <w:color w:val="14263C"/>
                <w:sz w:val="18"/>
              </w:rPr>
              <w:t>GOS-EPUR-2026.07-v2.1</w:t>
            </w:r>
          </w:p>
        </w:tc>
      </w:tr>
      <w:tr>
        <w:tc>
          <w:tcPr>
            <w:tcW w:type="dxa" w:w="3168"/>
            <w:shd w:fill="EEF3F7"/>
            <w:tcMar>
              <w:top w:w="92" w:type="dxa"/>
              <w:start w:w="112" w:type="dxa"/>
              <w:bottom w:w="92" w:type="dxa"/>
              <w:end w:w="112" w:type="dxa"/>
            </w:tcMar>
          </w:tcPr>
          <w:p>
            <w:r>
              <w:rPr>
                <w:rFonts w:ascii="Arial" w:hAnsi="Arial"/>
                <w:b/>
                <w:color w:val="07182B"/>
                <w:sz w:val="16"/>
              </w:rPr>
              <w:t>Canonical terms hash</w:t>
            </w:r>
          </w:p>
        </w:tc>
        <w:tc>
          <w:tcPr>
            <w:tcW w:type="dxa" w:w="6768"/>
            <w:tcMar>
              <w:top w:w="92" w:type="dxa"/>
              <w:start w:w="112" w:type="dxa"/>
              <w:bottom w:w="92" w:type="dxa"/>
              <w:end w:w="112" w:type="dxa"/>
            </w:tcMar>
          </w:tcPr>
          <w:p>
            <w:pPr>
              <w:spacing w:before="0" w:after="0"/>
            </w:pPr>
            <w:r>
              <w:rPr>
                <w:rFonts w:ascii="Arial" w:hAnsi="Arial"/>
                <w:color w:val="14263C"/>
                <w:sz w:val="16"/>
              </w:rPr>
              <w:t>sha256:adc7ee767ea566ba2aa12885e50bbfd7bf22c65708b00ddfd292772fac8298cd</w:t>
            </w:r>
          </w:p>
        </w:tc>
      </w:tr>
      <w:tr>
        <w:tc>
          <w:tcPr>
            <w:tcW w:type="dxa" w:w="3168"/>
            <w:shd w:fill="EEF3F7"/>
            <w:tcMar>
              <w:top w:w="92" w:type="dxa"/>
              <w:start w:w="112" w:type="dxa"/>
              <w:bottom w:w="92" w:type="dxa"/>
              <w:end w:w="112" w:type="dxa"/>
            </w:tcMar>
          </w:tcPr>
          <w:p>
            <w:r>
              <w:rPr>
                <w:rFonts w:ascii="Arial" w:hAnsi="Arial"/>
                <w:b/>
                <w:color w:val="07182B"/>
                <w:sz w:val="16"/>
              </w:rPr>
              <w:t>Accepting person</w:t>
            </w:r>
          </w:p>
        </w:tc>
        <w:tc>
          <w:tcPr>
            <w:tcW w:type="dxa" w:w="6768"/>
            <w:tcMar>
              <w:top w:w="92" w:type="dxa"/>
              <w:start w:w="112" w:type="dxa"/>
              <w:bottom w:w="92" w:type="dxa"/>
              <w:end w:w="112" w:type="dxa"/>
            </w:tcMar>
          </w:tcPr>
          <w:p>
            <w:r>
              <w:rPr>
                <w:rFonts w:ascii="Arial" w:hAnsi="Arial"/>
                <w:color w:val="14263C"/>
                <w:sz w:val="16"/>
              </w:rPr>
              <w:t>____________________________________________</w:t>
            </w:r>
          </w:p>
        </w:tc>
      </w:tr>
      <w:tr>
        <w:tc>
          <w:tcPr>
            <w:tcW w:type="dxa" w:w="3168"/>
            <w:shd w:fill="EEF3F7"/>
            <w:tcMar>
              <w:top w:w="92" w:type="dxa"/>
              <w:start w:w="112" w:type="dxa"/>
              <w:bottom w:w="92" w:type="dxa"/>
              <w:end w:w="112" w:type="dxa"/>
            </w:tcMar>
          </w:tcPr>
          <w:p>
            <w:r>
              <w:rPr>
                <w:rFonts w:ascii="Arial" w:hAnsi="Arial"/>
                <w:b/>
                <w:color w:val="07182B"/>
                <w:sz w:val="16"/>
              </w:rPr>
              <w:t>Represented organization</w:t>
            </w:r>
          </w:p>
        </w:tc>
        <w:tc>
          <w:tcPr>
            <w:tcW w:type="dxa" w:w="6768"/>
            <w:tcMar>
              <w:top w:w="92" w:type="dxa"/>
              <w:start w:w="112" w:type="dxa"/>
              <w:bottom w:w="92" w:type="dxa"/>
              <w:end w:w="112" w:type="dxa"/>
            </w:tcMar>
          </w:tcPr>
          <w:p>
            <w:r>
              <w:rPr>
                <w:rFonts w:ascii="Arial" w:hAnsi="Arial"/>
                <w:color w:val="14263C"/>
                <w:sz w:val="16"/>
              </w:rPr>
              <w:t>____________________________________________</w:t>
            </w:r>
          </w:p>
        </w:tc>
      </w:tr>
      <w:tr>
        <w:tc>
          <w:tcPr>
            <w:tcW w:type="dxa" w:w="3168"/>
            <w:shd w:fill="EEF3F7"/>
            <w:tcMar>
              <w:top w:w="92" w:type="dxa"/>
              <w:start w:w="112" w:type="dxa"/>
              <w:bottom w:w="92" w:type="dxa"/>
              <w:end w:w="112" w:type="dxa"/>
            </w:tcMar>
          </w:tcPr>
          <w:p>
            <w:r>
              <w:rPr>
                <w:rFonts w:ascii="Arial" w:hAnsi="Arial"/>
                <w:b/>
                <w:color w:val="07182B"/>
                <w:sz w:val="16"/>
              </w:rPr>
              <w:t>Role / capacity</w:t>
            </w:r>
          </w:p>
        </w:tc>
        <w:tc>
          <w:tcPr>
            <w:tcW w:type="dxa" w:w="6768"/>
            <w:tcMar>
              <w:top w:w="92" w:type="dxa"/>
              <w:start w:w="112" w:type="dxa"/>
              <w:bottom w:w="92" w:type="dxa"/>
              <w:end w:w="112" w:type="dxa"/>
            </w:tcMar>
          </w:tcPr>
          <w:p>
            <w:r>
              <w:rPr>
                <w:rFonts w:ascii="Arial" w:hAnsi="Arial"/>
                <w:color w:val="14263C"/>
                <w:sz w:val="16"/>
              </w:rPr>
              <w:t>____________________________________________</w:t>
            </w:r>
          </w:p>
        </w:tc>
      </w:tr>
      <w:tr>
        <w:tc>
          <w:tcPr>
            <w:tcW w:type="dxa" w:w="3168"/>
            <w:shd w:fill="EEF3F7"/>
            <w:tcMar>
              <w:top w:w="92" w:type="dxa"/>
              <w:start w:w="112" w:type="dxa"/>
              <w:bottom w:w="92" w:type="dxa"/>
              <w:end w:w="112" w:type="dxa"/>
            </w:tcMar>
          </w:tcPr>
          <w:p>
            <w:r>
              <w:rPr>
                <w:rFonts w:ascii="Arial" w:hAnsi="Arial"/>
                <w:b/>
                <w:color w:val="07182B"/>
                <w:sz w:val="16"/>
              </w:rPr>
              <w:t>Email / notice address</w:t>
            </w:r>
          </w:p>
        </w:tc>
        <w:tc>
          <w:tcPr>
            <w:tcW w:type="dxa" w:w="6768"/>
            <w:tcMar>
              <w:top w:w="92" w:type="dxa"/>
              <w:start w:w="112" w:type="dxa"/>
              <w:bottom w:w="92" w:type="dxa"/>
              <w:end w:w="112" w:type="dxa"/>
            </w:tcMar>
          </w:tcPr>
          <w:p>
            <w:r>
              <w:rPr>
                <w:rFonts w:ascii="Arial" w:hAnsi="Arial"/>
                <w:color w:val="14263C"/>
                <w:sz w:val="16"/>
              </w:rPr>
              <w:t>____________________________________________</w:t>
            </w:r>
          </w:p>
        </w:tc>
      </w:tr>
      <w:tr>
        <w:tc>
          <w:tcPr>
            <w:tcW w:type="dxa" w:w="3168"/>
            <w:shd w:fill="EEF3F7"/>
            <w:tcMar>
              <w:top w:w="92" w:type="dxa"/>
              <w:start w:w="112" w:type="dxa"/>
              <w:bottom w:w="92" w:type="dxa"/>
              <w:end w:w="112" w:type="dxa"/>
            </w:tcMar>
          </w:tcPr>
          <w:p>
            <w:r>
              <w:rPr>
                <w:rFonts w:ascii="Arial" w:hAnsi="Arial"/>
                <w:b/>
                <w:color w:val="07182B"/>
                <w:sz w:val="16"/>
              </w:rPr>
              <w:t>Mission / interface / contract ID</w:t>
            </w:r>
          </w:p>
        </w:tc>
        <w:tc>
          <w:tcPr>
            <w:tcW w:type="dxa" w:w="6768"/>
            <w:tcMar>
              <w:top w:w="92" w:type="dxa"/>
              <w:start w:w="112" w:type="dxa"/>
              <w:bottom w:w="92" w:type="dxa"/>
              <w:end w:w="112" w:type="dxa"/>
            </w:tcMar>
          </w:tcPr>
          <w:p>
            <w:r>
              <w:rPr>
                <w:rFonts w:ascii="Arial" w:hAnsi="Arial"/>
                <w:color w:val="14263C"/>
                <w:sz w:val="16"/>
              </w:rPr>
              <w:t>____________________________________________</w:t>
            </w:r>
          </w:p>
        </w:tc>
      </w:tr>
      <w:tr>
        <w:tc>
          <w:tcPr>
            <w:tcW w:type="dxa" w:w="3168"/>
            <w:shd w:fill="EEF3F7"/>
            <w:tcMar>
              <w:top w:w="92" w:type="dxa"/>
              <w:start w:w="112" w:type="dxa"/>
              <w:bottom w:w="92" w:type="dxa"/>
              <w:end w:w="112" w:type="dxa"/>
            </w:tcMar>
          </w:tcPr>
          <w:p>
            <w:r>
              <w:rPr>
                <w:rFonts w:ascii="Arial" w:hAnsi="Arial"/>
                <w:b/>
                <w:color w:val="07182B"/>
                <w:sz w:val="16"/>
              </w:rPr>
              <w:t>Acceptance timestamp</w:t>
            </w:r>
          </w:p>
        </w:tc>
        <w:tc>
          <w:tcPr>
            <w:tcW w:type="dxa" w:w="6768"/>
            <w:tcMar>
              <w:top w:w="92" w:type="dxa"/>
              <w:start w:w="112" w:type="dxa"/>
              <w:bottom w:w="92" w:type="dxa"/>
              <w:end w:w="112" w:type="dxa"/>
            </w:tcMar>
          </w:tcPr>
          <w:p>
            <w:r>
              <w:rPr>
                <w:rFonts w:ascii="Arial" w:hAnsi="Arial"/>
                <w:color w:val="14263C"/>
                <w:sz w:val="16"/>
              </w:rPr>
              <w:t>____________________________________________</w:t>
            </w:r>
          </w:p>
        </w:tc>
      </w:tr>
      <w:tr>
        <w:tc>
          <w:tcPr>
            <w:tcW w:type="dxa" w:w="3168"/>
            <w:shd w:fill="EEF3F7"/>
            <w:tcMar>
              <w:top w:w="92" w:type="dxa"/>
              <w:start w:w="112" w:type="dxa"/>
              <w:bottom w:w="92" w:type="dxa"/>
              <w:end w:w="112" w:type="dxa"/>
            </w:tcMar>
          </w:tcPr>
          <w:p>
            <w:r>
              <w:rPr>
                <w:rFonts w:ascii="Arial" w:hAnsi="Arial"/>
                <w:b/>
                <w:color w:val="07182B"/>
                <w:sz w:val="16"/>
              </w:rPr>
              <w:t>French version remitted</w:t>
            </w:r>
          </w:p>
        </w:tc>
        <w:tc>
          <w:tcPr>
            <w:tcW w:type="dxa" w:w="6768"/>
            <w:tcMar>
              <w:top w:w="92" w:type="dxa"/>
              <w:start w:w="112" w:type="dxa"/>
              <w:bottom w:w="92" w:type="dxa"/>
              <w:end w:w="112" w:type="dxa"/>
            </w:tcMar>
          </w:tcPr>
          <w:p>
            <w:r>
              <w:rPr>
                <w:rFonts w:ascii="Arial" w:hAnsi="Arial"/>
                <w:color w:val="14263C"/>
                <w:sz w:val="16"/>
              </w:rPr>
              <w:t>YES / Date: ________________________________</w:t>
            </w:r>
          </w:p>
        </w:tc>
      </w:tr>
      <w:tr>
        <w:tc>
          <w:tcPr>
            <w:tcW w:type="dxa" w:w="3168"/>
            <w:shd w:fill="EEF3F7"/>
            <w:tcMar>
              <w:top w:w="92" w:type="dxa"/>
              <w:start w:w="112" w:type="dxa"/>
              <w:bottom w:w="92" w:type="dxa"/>
              <w:end w:w="112" w:type="dxa"/>
            </w:tcMar>
          </w:tcPr>
          <w:p>
            <w:r>
              <w:rPr>
                <w:rFonts w:ascii="Arial" w:hAnsi="Arial"/>
                <w:b/>
                <w:color w:val="07182B"/>
                <w:sz w:val="16"/>
              </w:rPr>
              <w:t>Express language election after French delivery</w:t>
            </w:r>
          </w:p>
        </w:tc>
        <w:tc>
          <w:tcPr>
            <w:tcW w:type="dxa" w:w="6768"/>
            <w:tcMar>
              <w:top w:w="92" w:type="dxa"/>
              <w:start w:w="112" w:type="dxa"/>
              <w:bottom w:w="92" w:type="dxa"/>
              <w:end w:w="112" w:type="dxa"/>
            </w:tcMar>
          </w:tcPr>
          <w:p>
            <w:r>
              <w:rPr>
                <w:rFonts w:ascii="Arial" w:hAnsi="Arial"/>
                <w:color w:val="14263C"/>
                <w:sz w:val="16"/>
              </w:rPr>
              <w:t>FRENCH / ENGLISH / BOTH</w:t>
            </w:r>
          </w:p>
        </w:tc>
      </w:tr>
      <w:tr>
        <w:tc>
          <w:tcPr>
            <w:tcW w:type="dxa" w:w="3168"/>
            <w:shd w:fill="EEF3F7"/>
            <w:tcMar>
              <w:top w:w="92" w:type="dxa"/>
              <w:start w:w="112" w:type="dxa"/>
              <w:bottom w:w="92" w:type="dxa"/>
              <w:end w:w="112" w:type="dxa"/>
            </w:tcMar>
          </w:tcPr>
          <w:p>
            <w:r>
              <w:rPr>
                <w:rFonts w:ascii="Arial" w:hAnsi="Arial"/>
                <w:b/>
                <w:color w:val="07182B"/>
                <w:sz w:val="16"/>
              </w:rPr>
              <w:t>Authority representation</w:t>
            </w:r>
          </w:p>
        </w:tc>
        <w:tc>
          <w:tcPr>
            <w:tcW w:type="dxa" w:w="6768"/>
            <w:tcMar>
              <w:top w:w="92" w:type="dxa"/>
              <w:start w:w="112" w:type="dxa"/>
              <w:bottom w:w="92" w:type="dxa"/>
              <w:end w:w="112" w:type="dxa"/>
            </w:tcMar>
          </w:tcPr>
          <w:p>
            <w:r>
              <w:rPr>
                <w:rFonts w:ascii="Arial" w:hAnsi="Arial"/>
                <w:color w:val="14263C"/>
                <w:sz w:val="16"/>
              </w:rPr>
              <w:t>I have authority to bind myself and the represented organization.</w:t>
            </w:r>
          </w:p>
        </w:tc>
      </w:tr>
      <w:tr>
        <w:tc>
          <w:tcPr>
            <w:tcW w:type="dxa" w:w="3168"/>
            <w:shd w:fill="EEF3F7"/>
            <w:tcMar>
              <w:top w:w="92" w:type="dxa"/>
              <w:start w:w="112" w:type="dxa"/>
              <w:bottom w:w="92" w:type="dxa"/>
              <w:end w:w="112" w:type="dxa"/>
            </w:tcMar>
          </w:tcPr>
          <w:p>
            <w:r>
              <w:rPr>
                <w:rFonts w:ascii="Arial" w:hAnsi="Arial"/>
                <w:b/>
                <w:color w:val="07182B"/>
                <w:sz w:val="16"/>
              </w:rPr>
              <w:t>Responsibility acknowledgment</w:t>
            </w:r>
          </w:p>
        </w:tc>
        <w:tc>
          <w:tcPr>
            <w:tcW w:type="dxa" w:w="6768"/>
            <w:tcMar>
              <w:top w:w="92" w:type="dxa"/>
              <w:start w:w="112" w:type="dxa"/>
              <w:bottom w:w="92" w:type="dxa"/>
              <w:end w:w="112" w:type="dxa"/>
            </w:tcMar>
          </w:tcPr>
          <w:p>
            <w:r>
              <w:rPr>
                <w:rFonts w:ascii="Arial" w:hAnsi="Arial"/>
                <w:color w:val="14263C"/>
                <w:sz w:val="16"/>
              </w:rPr>
              <w:t>I accept exclusive responsibility for the Participant Activity described in the Terms.</w:t>
            </w:r>
          </w:p>
        </w:tc>
      </w:tr>
      <w:tr>
        <w:tc>
          <w:tcPr>
            <w:tcW w:type="dxa" w:w="3168"/>
            <w:shd w:fill="EEF3F7"/>
            <w:tcMar>
              <w:top w:w="92" w:type="dxa"/>
              <w:start w:w="112" w:type="dxa"/>
              <w:bottom w:w="92" w:type="dxa"/>
              <w:end w:w="112" w:type="dxa"/>
            </w:tcMar>
          </w:tcPr>
          <w:p>
            <w:r>
              <w:rPr>
                <w:rFonts w:ascii="Arial" w:hAnsi="Arial"/>
                <w:b/>
                <w:color w:val="07182B"/>
                <w:sz w:val="16"/>
              </w:rPr>
              <w:t>Risk acknowledgment</w:t>
            </w:r>
          </w:p>
        </w:tc>
        <w:tc>
          <w:tcPr>
            <w:tcW w:type="dxa" w:w="6768"/>
            <w:tcMar>
              <w:top w:w="92" w:type="dxa"/>
              <w:start w:w="112" w:type="dxa"/>
              <w:bottom w:w="92" w:type="dxa"/>
              <w:end w:w="112" w:type="dxa"/>
            </w:tcMar>
          </w:tcPr>
          <w:p>
            <w:r>
              <w:rPr>
                <w:rFonts w:ascii="Arial" w:hAnsi="Arial"/>
                <w:color w:val="14263C"/>
                <w:sz w:val="16"/>
              </w:rPr>
              <w:t>I knowingly accept the technical, economic, legal, tax, security and irreversibility risks described in the Terms.</w:t>
            </w:r>
          </w:p>
        </w:tc>
      </w:tr>
      <w:tr>
        <w:tc>
          <w:tcPr>
            <w:tcW w:type="dxa" w:w="3168"/>
            <w:shd w:fill="EEF3F7"/>
            <w:tcMar>
              <w:top w:w="92" w:type="dxa"/>
              <w:start w:w="112" w:type="dxa"/>
              <w:bottom w:w="92" w:type="dxa"/>
              <w:end w:w="112" w:type="dxa"/>
            </w:tcMar>
          </w:tcPr>
          <w:p>
            <w:r>
              <w:rPr>
                <w:rFonts w:ascii="Arial" w:hAnsi="Arial"/>
                <w:b/>
                <w:color w:val="07182B"/>
                <w:sz w:val="16"/>
              </w:rPr>
              <w:t>Protective covenants</w:t>
            </w:r>
          </w:p>
        </w:tc>
        <w:tc>
          <w:tcPr>
            <w:tcW w:type="dxa" w:w="6768"/>
            <w:tcMar>
              <w:top w:w="92" w:type="dxa"/>
              <w:start w:w="112" w:type="dxa"/>
              <w:bottom w:w="92" w:type="dxa"/>
              <w:end w:w="112" w:type="dxa"/>
            </w:tcMar>
          </w:tcPr>
          <w:p>
            <w:pPr>
              <w:spacing w:before="0" w:after="0"/>
            </w:pPr>
            <w:r>
              <w:rPr>
                <w:rFonts w:ascii="Arial" w:hAnsi="Arial"/>
                <w:color w:val="14263C"/>
                <w:sz w:val="16"/>
              </w:rPr>
              <w:t>I accept the release, non-recourse, hold-harmless for Participant-caused matters, participant-to-participant allocation and non-joinder provisions.</w:t>
            </w:r>
          </w:p>
        </w:tc>
      </w:tr>
      <w:tr>
        <w:tc>
          <w:tcPr>
            <w:tcW w:type="dxa" w:w="3168"/>
            <w:shd w:fill="EEF3F7"/>
            <w:tcMar>
              <w:top w:w="92" w:type="dxa"/>
              <w:start w:w="112" w:type="dxa"/>
              <w:bottom w:w="92" w:type="dxa"/>
              <w:end w:w="112" w:type="dxa"/>
            </w:tcMar>
          </w:tcPr>
          <w:p>
            <w:r>
              <w:rPr>
                <w:rFonts w:ascii="Arial" w:hAnsi="Arial"/>
                <w:b/>
                <w:color w:val="07182B"/>
                <w:sz w:val="16"/>
              </w:rPr>
              <w:t>Montréal dispute protocol</w:t>
            </w:r>
          </w:p>
        </w:tc>
        <w:tc>
          <w:tcPr>
            <w:tcW w:type="dxa" w:w="6768"/>
            <w:tcMar>
              <w:top w:w="92" w:type="dxa"/>
              <w:start w:w="112" w:type="dxa"/>
              <w:bottom w:w="92" w:type="dxa"/>
              <w:end w:w="112" w:type="dxa"/>
            </w:tcMar>
          </w:tcPr>
          <w:p>
            <w:r>
              <w:rPr>
                <w:rFonts w:ascii="Arial" w:hAnsi="Arial"/>
                <w:color w:val="14263C"/>
                <w:sz w:val="16"/>
              </w:rPr>
              <w:t>I accept the notice, preservation, Montréal mediation, Montréal arbitration and Montréal court provisions.</w:t>
            </w:r>
          </w:p>
        </w:tc>
      </w:tr>
      <w:tr>
        <w:tc>
          <w:tcPr>
            <w:tcW w:type="dxa" w:w="3168"/>
            <w:shd w:fill="EEF3F7"/>
            <w:tcMar>
              <w:top w:w="92" w:type="dxa"/>
              <w:start w:w="112" w:type="dxa"/>
              <w:bottom w:w="92" w:type="dxa"/>
              <w:end w:w="112" w:type="dxa"/>
            </w:tcMar>
          </w:tcPr>
          <w:p>
            <w:r>
              <w:rPr>
                <w:rFonts w:ascii="Arial" w:hAnsi="Arial"/>
                <w:b/>
                <w:color w:val="07182B"/>
                <w:sz w:val="16"/>
              </w:rPr>
              <w:t>Signature / cryptographic signature</w:t>
            </w:r>
          </w:p>
        </w:tc>
        <w:tc>
          <w:tcPr>
            <w:tcW w:type="dxa" w:w="6768"/>
            <w:tcMar>
              <w:top w:w="92" w:type="dxa"/>
              <w:start w:w="112" w:type="dxa"/>
              <w:bottom w:w="92" w:type="dxa"/>
              <w:end w:w="112" w:type="dxa"/>
            </w:tcMar>
          </w:tcPr>
          <w:p>
            <w:r>
              <w:rPr>
                <w:rFonts w:ascii="Arial" w:hAnsi="Arial"/>
                <w:color w:val="14263C"/>
                <w:sz w:val="16"/>
              </w:rPr>
              <w:t>____________________________________________</w:t>
            </w:r>
          </w:p>
        </w:tc>
      </w:tr>
    </w:tbl>
    <w:p/>
    <w:p>
      <w:pPr>
        <w:spacing w:before="0" w:after="0"/>
      </w:pPr>
      <w:r>
        <w:br w:type="page"/>
      </w:r>
    </w:p>
    <w:tbl>
      <w:tblPr>
        <w:tblW w:type="dxa" w:w="10280"/>
        <w:jc w:val="center"/>
        <w:tblLayout w:type="fixed"/>
        <w:tblLook w:firstColumn="1" w:firstRow="1" w:lastColumn="0" w:lastRow="0" w:noHBand="0" w:noVBand="1" w:val="04A0"/>
        <w:tblInd w:w="0" w:type="dxa"/>
      </w:tblPr>
      <w:tblGrid>
        <w:gridCol w:w="3350"/>
        <w:gridCol w:w="6930"/>
      </w:tblGrid>
      <w:tr>
        <w:trPr>
          <w:cantSplit/>
        </w:trPr>
        <w:tc>
          <w:tcPr>
            <w:tcW w:type="dxa" w:w="10280"/>
            <w:gridSpan w:val="2"/>
            <w:shd w:fill="07182B"/>
            <w:tcMar>
              <w:top w:w="85" w:type="dxa"/>
              <w:start w:w="130" w:type="dxa"/>
              <w:bottom w:w="85" w:type="dxa"/>
              <w:end w:w="130" w:type="dxa"/>
            </w:tcMar>
            <w:tcBorders>
              <w:top w:val="single" w:sz="4" w:color="07182B"/>
              <w:left w:val="single" w:sz="4" w:color="07182B"/>
              <w:bottom w:val="single" w:sz="4" w:color="07182B"/>
              <w:right w:val="single" w:sz="4" w:color="07182B"/>
              <w:insideH w:val="single" w:sz="4" w:color="07182B"/>
              <w:insideV w:val="single" w:sz="4" w:color="07182B"/>
            </w:tcBorders>
            <w:vAlign w:val="center"/>
          </w:tcPr>
          <w:p>
            <w:pPr>
              <w:spacing w:before="0" w:after="0" w:line="240" w:lineRule="auto"/>
              <w:jc w:val="center"/>
            </w:pPr>
            <w:r/>
            <w:r>
              <w:rPr>
                <w:rFonts w:ascii="Arial" w:hAnsi="Arial"/>
                <w:b/>
                <w:color w:val="FFFFFF"/>
                <w:sz w:val="16"/>
              </w:rPr>
              <w:t>PARTICIPANT EXECUTION CERTIFICATE</w:t>
            </w:r>
          </w:p>
        </w:tc>
      </w:tr>
      <w:tr>
        <w:trPr>
          <w:cantSplit/>
        </w:trPr>
        <w:tc>
          <w:tcPr>
            <w:tcW w:type="dxa" w:w="10280"/>
            <w:gridSpan w:val="2"/>
            <w:shd w:fill="EFF9F4"/>
            <w:tcMar>
              <w:top w:w="125" w:type="dxa"/>
              <w:start w:w="150" w:type="dxa"/>
              <w:bottom w:w="125" w:type="dxa"/>
              <w:end w:w="150" w:type="dxa"/>
            </w:tcMar>
            <w:tcBorders>
              <w:top w:val="single" w:sz="5" w:color="9ECBB5"/>
              <w:left w:val="single" w:sz="5" w:color="9ECBB5"/>
              <w:bottom w:val="single" w:sz="5" w:color="9ECBB5"/>
              <w:right w:val="single" w:sz="5" w:color="9ECBB5"/>
              <w:insideH w:val="single" w:sz="5" w:color="9ECBB5"/>
              <w:insideV w:val="single" w:sz="5" w:color="9ECBB5"/>
            </w:tcBorders>
            <w:vAlign w:val="center"/>
          </w:tcPr>
          <w:p>
            <w:pPr>
              <w:spacing w:before="0" w:after="0" w:line="240" w:lineRule="auto"/>
              <w:jc w:val="left"/>
            </w:pPr>
            <w:r/>
            <w:r>
              <w:rPr>
                <w:rFonts w:ascii="Arial" w:hAnsi="Arial"/>
                <w:b/>
                <w:color w:val="14263C"/>
                <w:sz w:val="18"/>
              </w:rPr>
              <w:t>The Participant certifies that it has reviewed the complete Instrument, had the opportunity to obtain independent advice, accepts the allocation of responsibility and risk, confirms the authority and language-election representations recorded in Schedule A, and directs the System to proceed only within the scope identified below.</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color w:val="526177"/>
                <w:sz w:val="14"/>
              </w:rPr>
              <w:t>REPRESENTED ORGANIZATION</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val="0"/>
                <w:color w:val="14263C"/>
                <w:sz w:val="16"/>
              </w:rPr>
              <w:t>____________________________________________________________</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color w:val="526177"/>
                <w:sz w:val="14"/>
              </w:rPr>
              <w:t>ACCEPTING REPRESENTATIVE</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val="0"/>
                <w:color w:val="14263C"/>
                <w:sz w:val="16"/>
              </w:rPr>
              <w:t>____________________________________________________________</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color w:val="526177"/>
                <w:sz w:val="14"/>
              </w:rPr>
              <w:t>TITLE / LEGAL CAPACITY</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val="0"/>
                <w:color w:val="14263C"/>
                <w:sz w:val="16"/>
              </w:rPr>
              <w:t>____________________________________________________________</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color w:val="526177"/>
                <w:sz w:val="14"/>
              </w:rPr>
              <w:t>PARTICIPANT ROLE</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val="0"/>
                <w:color w:val="14263C"/>
                <w:sz w:val="16"/>
              </w:rPr>
              <w:t>Mission Sponsor / Agent / Validator / Node Operator / Skill Reuser / Other: __________</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color w:val="526177"/>
                <w:sz w:val="14"/>
              </w:rPr>
              <w:t>MISSION / INTERFACE / DEPLOYMENT REFERENCE</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val="0"/>
                <w:color w:val="14263C"/>
                <w:sz w:val="16"/>
              </w:rPr>
              <w:t>____________________________________________________________</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color w:val="526177"/>
                <w:sz w:val="14"/>
              </w:rPr>
              <w:t>SELECTED CONTRACT LANGUAGE</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val="0"/>
                <w:color w:val="14263C"/>
                <w:sz w:val="16"/>
              </w:rPr>
              <w:t>French / English following French-first delivery where applicable</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color w:val="526177"/>
                <w:sz w:val="14"/>
              </w:rPr>
              <w:t>TERMS VERSION</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Pr>
                <w:sz w:val="18"/>
              </w:rPr>
              <w:t>GOS-EPUR-2026.07-v2.1</w:t>
            </w:r>
            <w:r>
              <w:rPr>
                <w:rFonts w:ascii="Arial" w:hAnsi="Arial"/>
                <w:b/>
                <w:color w:val="14263C"/>
                <w:sz w:val="18"/>
              </w:rPr>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color w:val="526177"/>
                <w:sz w:val="14"/>
              </w:rPr>
              <w:t>CANONICAL BILINGUAL TERMS HASH</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Pr>
                <w:sz w:val="15"/>
              </w:rPr>
              <w:t>sha256:835877b3063e27b6dfc62d6cf6c2e49d1d4533aaa698496c2edc32c6d4f50de7</w:t>
            </w:r>
            <w:r>
              <w:rPr>
                <w:rFonts w:ascii="Arial" w:hAnsi="Arial"/>
                <w:b w:val="0"/>
                <w:color w:val="14263C"/>
                <w:sz w:val="15"/>
              </w:rPr>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color w:val="526177"/>
                <w:sz w:val="14"/>
              </w:rPr>
              <w:t>RECEIPT ID / ACCEPTANCE TIMESTAMP</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val="0"/>
                <w:color w:val="14263C"/>
                <w:sz w:val="16"/>
              </w:rPr>
              <w:t>____________________________________________________________</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color w:val="526177"/>
                <w:sz w:val="14"/>
              </w:rPr>
              <w:t>SIGNATURE / CRYPTOGRAPHIC SIGNATURE</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FFFFF"/>
            <w:vAlign w:val="center"/>
          </w:tcPr>
          <w:p>
            <w:pPr>
              <w:spacing w:before="0" w:after="0" w:line="240" w:lineRule="auto"/>
              <w:jc w:val="left"/>
            </w:pPr>
            <w:r/>
            <w:r>
              <w:rPr>
                <w:rFonts w:ascii="Arial" w:hAnsi="Arial"/>
                <w:b w:val="0"/>
                <w:color w:val="14263C"/>
                <w:sz w:val="16"/>
              </w:rPr>
              <w:t>____________________________________________________________</w:t>
            </w:r>
          </w:p>
        </w:tc>
      </w:tr>
      <w:tr>
        <w:trPr>
          <w:trHeight w:hRule="atLeast" w:val="440"/>
          <w:cantSplit/>
        </w:trPr>
        <w:tc>
          <w:tcPr>
            <w:tcW w:type="dxa" w:w="335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color w:val="526177"/>
                <w:sz w:val="14"/>
              </w:rPr>
              <w:t>INTERNAL AUTHORIZATION REFERENCE (OPTIONAL)</w:t>
            </w:r>
          </w:p>
        </w:tc>
        <w:tc>
          <w:tcPr>
            <w:tcW w:type="dxa" w:w="6930"/>
            <w:tcMar>
              <w:top w:w="80" w:type="dxa"/>
              <w:start w:w="120" w:type="dxa"/>
              <w:bottom w:w="80" w:type="dxa"/>
              <w:end w:w="120" w:type="dxa"/>
            </w:tcMar>
            <w:tcBorders>
              <w:top w:val="single" w:sz="5" w:color="D9D0C1"/>
              <w:left w:val="single" w:sz="5" w:color="D9D0C1"/>
              <w:bottom w:val="single" w:sz="5" w:color="D9D0C1"/>
              <w:right w:val="single" w:sz="5" w:color="D9D0C1"/>
              <w:insideH w:val="single" w:sz="5" w:color="D9D0C1"/>
              <w:insideV w:val="single" w:sz="5" w:color="D9D0C1"/>
            </w:tcBorders>
            <w:shd w:fill="FBF8F1"/>
            <w:vAlign w:val="center"/>
          </w:tcPr>
          <w:p>
            <w:pPr>
              <w:spacing w:before="0" w:after="0" w:line="240" w:lineRule="auto"/>
              <w:jc w:val="left"/>
            </w:pPr>
            <w:r/>
            <w:r>
              <w:rPr>
                <w:rFonts w:ascii="Arial" w:hAnsi="Arial"/>
                <w:b w:val="0"/>
                <w:color w:val="14263C"/>
                <w:sz w:val="16"/>
              </w:rPr>
              <w:t>____________________________________________________________</w:t>
            </w:r>
          </w:p>
        </w:tc>
      </w:tr>
    </w:tbl>
    <w:p>
      <w:pPr>
        <w:spacing w:after="0"/>
      </w:pP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112"/>
      <w:gridCol w:w="5112"/>
    </w:tblGrid>
    <w:tr>
      <w:tc>
        <w:tcPr>
          <w:tcW w:type="dxa" w:w="5112"/>
        </w:tcPr>
        <w:p>
          <w:pPr>
            <w:jc w:val="left"/>
          </w:pPr>
          <w:r>
            <w:rPr>
              <w:rFonts w:ascii="Arial" w:hAnsi="Arial"/>
              <w:b/>
              <w:color w:val="68788D"/>
              <w:sz w:val="14"/>
            </w:rPr>
            <w:t>FINAL PRODUCTION PARTNER EDITION · JULY 2026</w:t>
          </w:r>
        </w:p>
      </w:tc>
      <w:tc>
        <w:tcPr>
          <w:tcW w:type="dxa" w:w="5112"/>
        </w:tcPr>
        <w:p>
          <w:pPr>
            <w:jc w:val="right"/>
          </w:pPr>
          <w:r>
            <w:rPr>
              <w:rFonts w:ascii="Arial" w:hAnsi="Arial"/>
              <w:b/>
              <w:color w:val="68788D"/>
              <w:sz w:val="15"/>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7182B"/>
        <w:sz w:val="14"/>
      </w:rPr>
      <w:t>GOALOS / ENTERPRISE PARTICIPATION INSTRUMENT   |   GOS-EPUR v2.1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426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Georgia" w:hAnsi="Georgia"/>
      <w:b/>
      <w:bCs/>
      <w:color w:val="07182B"/>
      <w:sz w:val="3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B8872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7182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718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Enterprise Participation &amp; User Responsibility Instrument v2.1</dc:title>
  <dc:subject>French-first bilingual enterprise participation, exclusive user responsibility, risk allocation, release, hold-harmless and non-joinder instrument</dc:subject>
  <dc:creator>GoalOS / AGI ALPHA Research Architecture</dc:creator>
  <cp:keywords>GoalOS, AGI ALPHA, enterprise participation, user responsibility, hold harmless, non-joinder, Montréal, Quebec</cp:keywords>
  <dc:description>Final Production Partner Edition - GOS-EPUR-2026.07-v2.1</dc:description>
  <cp:lastModifiedBy>GoalOS / AGI ALPHA Research Architecture</cp:lastModifiedBy>
  <cp:revision>1</cp:revision>
  <dcterms:created xsi:type="dcterms:W3CDTF">2013-12-23T23:15:00Z</dcterms:created>
  <dcterms:modified xsi:type="dcterms:W3CDTF">2013-12-23T23:15:00Z</dcterms:modified>
  <cp:category>Enterprise participation and contractual controls</cp:category>
</cp:coreProperties>
</file>