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Liberation Sans" w:hAnsi="Liberation Sans"/>
          <w:b/>
          <w:color w:val="B7892A"/>
          <w:sz w:val="20"/>
        </w:rPr>
        <w:t>SOVEREIGN INTELLIGENCE CONSTITUTION</w:t>
      </w:r>
    </w:p>
    <w:p>
      <w:pPr>
        <w:spacing w:before="0" w:after="80"/>
        <w:jc w:val="center"/>
      </w:pPr>
      <w:r>
        <w:rPr>
          <w:rFonts w:ascii="Liberation Sans" w:hAnsi="Liberation Sans"/>
          <w:b/>
          <w:color w:val="071323"/>
          <w:sz w:val="60"/>
        </w:rPr>
        <w:t>GoalOS-Native alpha-AGI Ascension using AGIALPHA</w:t>
      </w:r>
    </w:p>
    <w:p>
      <w:pPr>
        <w:spacing w:before="0" w:after="320"/>
        <w:jc w:val="center"/>
      </w:pPr>
      <w:r>
        <w:rPr>
          <w:rFonts w:ascii="Liberation Sans" w:hAnsi="Liberation Sans"/>
          <w:color w:val="10263F"/>
          <w:sz w:val="30"/>
        </w:rPr>
        <w:t>A Sovereign RSI Architecture for Evidence-Governed Intelligence Organizations</w:t>
      </w:r>
    </w:p>
    <w:p>
      <w:pPr>
        <w:spacing w:after="160"/>
        <w:pBdr>
          <w:bottom w:val="single" w:sz="8" w:space="1" w:color="B7892A"/>
        </w:pBdr>
      </w:pPr>
    </w:p>
    <w:p>
      <w:pPr>
        <w:spacing w:before="0" w:after="80"/>
        <w:jc w:val="center"/>
      </w:pPr>
      <w:r>
        <w:rPr>
          <w:rFonts w:ascii="Liberation Sans" w:hAnsi="Liberation Sans"/>
          <w:b/>
          <w:color w:val="071323"/>
          <w:sz w:val="28"/>
        </w:rPr>
        <w:t>By Vincent Boucher</w:t>
      </w:r>
    </w:p>
    <w:p>
      <w:pPr>
        <w:spacing w:before="0" w:after="40"/>
        <w:jc w:val="center"/>
      </w:pPr>
      <w:r>
        <w:rPr>
          <w:rFonts w:ascii="Liberation Sans" w:hAnsi="Liberation Sans"/>
          <w:b/>
          <w:color w:val="10263F"/>
          <w:sz w:val="22"/>
        </w:rPr>
        <w:t>President, QUEBEC.AI &amp; MONTREAL.AI</w:t>
      </w:r>
    </w:p>
    <w:p>
      <w:pPr>
        <w:spacing w:before="0" w:after="360"/>
        <w:jc w:val="center"/>
      </w:pPr>
      <w:r>
        <w:rPr>
          <w:rFonts w:ascii="Liberation Sans" w:hAnsi="Liberation Sans"/>
          <w:color w:val="56616F"/>
          <w:sz w:val="20"/>
        </w:rPr>
        <w:t>Sovereign AI | AI-First Institutions | AI Governance | Governed Agents</w:t>
      </w:r>
    </w:p>
    <w:p>
      <w:pPr>
        <w:spacing w:before="0" w:after="80"/>
        <w:jc w:val="center"/>
      </w:pPr>
      <w:r>
        <w:rPr>
          <w:rFonts w:ascii="Liberation Sans" w:hAnsi="Liberation Sans"/>
          <w:b/>
          <w:color w:val="B7892A"/>
          <w:sz w:val="24"/>
        </w:rPr>
        <w:t>Core thesis</w:t>
      </w:r>
    </w:p>
    <w:p>
      <w:pPr>
        <w:spacing w:before="0" w:after="240"/>
        <w:jc w:val="center"/>
      </w:pPr>
      <w:r>
        <w:rPr>
          <w:rFonts w:ascii="Liberation Sans" w:hAnsi="Liberation Sans"/>
          <w:b/>
          <w:color w:val="071323"/>
          <w:sz w:val="26"/>
        </w:rPr>
        <w:t>GoalOS sets sovereign aims. AGIALPHA coordinates proof-settled work. AEP-001 defines valid evidence. The Proof Gradient decides what may evolve. The intelligence stays private. The proof becomes verifiable.</w:t>
      </w:r>
    </w:p>
    <w:p>
      <w:pPr>
        <w:spacing w:before="0" w:after="320"/>
        <w:jc w:val="center"/>
      </w:pPr>
      <w:r>
        <w:rPr>
          <w:rFonts w:ascii="Liberation Sans" w:hAnsi="Liberation Sans"/>
          <w:color w:val="56616F"/>
          <w:sz w:val="21"/>
        </w:rPr>
        <w:t>This paper defines a practical sovereign RSI architecture: improvements earn the right to propagate only through evidence, evaluation, reviewer validation, scope control, monitoring, and rollback readiness.</w:t>
      </w:r>
    </w:p>
    <w:p>
      <w:pPr>
        <w:spacing w:before="0" w:after="0"/>
        <w:jc w:val="center"/>
      </w:pPr>
      <w:r>
        <w:rPr>
          <w:rFonts w:ascii="Liberation Sans" w:hAnsi="Liberation Sans"/>
          <w:color w:val="B7892A"/>
          <w:sz w:val="20"/>
        </w:rPr>
        <w:t>Sovereign RSI Edition v6.3</w:t>
      </w:r>
    </w:p>
    <w:p>
      <w:r>
        <w:br w:type="page"/>
      </w:r>
    </w:p>
    <w:p>
      <w:pPr>
        <w:pStyle w:val="Heading1"/>
        <w:spacing w:before="0" w:after="120"/>
      </w:pPr>
      <w:r>
        <w:rPr>
          <w:rFonts w:ascii="Liberation Sans" w:hAnsi="Liberation Sans"/>
        </w:rPr>
        <w:t>Abstract</w:t>
      </w:r>
    </w:p>
    <w:p>
      <w:pPr>
        <w:spacing w:before="0" w:after="160"/>
      </w:pPr>
      <w:r>
        <w:rPr>
          <w:rFonts w:ascii="Liberation Sans" w:hAnsi="Liberation Sans"/>
        </w:rPr>
        <w:t>AI systems should not merely act, remember, or self-improve. They should produce evidence strong enough to govern what may improve next. GoalOS-native alpha-AGI Ascension using AGIALPHA defines a sovereign RSI architecture in which institutional aims become signed commitments, bounded agents execute proof missions, AGIALPHA coordinates proof-settled work, reviewers validate evidence, Evidence Dockets make claims auditable, and the Selection Gate grants propagation rights only to verified improvements.</w:t>
      </w:r>
    </w:p>
    <w:p>
      <w:pPr>
        <w:spacing w:before="0" w:after="160"/>
      </w:pPr>
      <w:r>
        <w:rPr>
          <w:rFonts w:ascii="Liberation Sans" w:hAnsi="Liberation Sans"/>
        </w:rPr>
        <w:t>The paper reinterprets alpha-AGI Ascension as a practical proof-work economy: opportunities become proof missions; builders produce replayable ProofBundles; reviewers issue attestations; Proof Cards create public-safe trust; credentials and reputation route future work; and accepted artifacts become proof-backed upgrade rights. The result is not an ungated swarm or a speculative foresight market. It is an evidence-governed intelligence institution whose recursive self-improvement occurs through proofs, baselines, challenge windows, canaries, rollbacks, and durable chronicle memory.</w:t>
      </w:r>
    </w:p>
    <w:p>
      <w:pPr>
        <w:spacing w:before="0" w:after="160"/>
      </w:pPr>
      <w:r>
        <w:rPr>
          <w:rFonts w:ascii="Liberation Sans" w:hAnsi="Liberation Sans"/>
        </w:rPr>
        <w:t>Claim boundary: this is a protocol and architecture paper. It does not claim achieved AGI, ASI, superintelligence, guaranteed economic return, legal approval, tax approval, security approval, energy abundance, or Kardashev Type II achievement. It defines the machinery required to test whether verified work can become reusable capability and whether reusable capability can compound under sovereign governance.</w:t>
      </w:r>
    </w:p>
    <w:p>
      <w:pPr>
        <w:pStyle w:val="Heading1"/>
        <w:spacing w:before="0" w:after="120"/>
      </w:pPr>
      <w:r>
        <w:rPr>
          <w:rFonts w:ascii="Liberation Sans" w:hAnsi="Liberation Sans"/>
        </w:rPr>
        <w:t>1. Executive Thesis</w:t>
      </w:r>
    </w:p>
    <w:p>
      <w:pPr>
        <w:spacing w:before="0" w:after="120"/>
      </w:pPr>
      <w:r>
        <w:rPr>
          <w:rFonts w:ascii="Liberation Sans" w:hAnsi="Liberation Sans"/>
        </w:rPr>
        <w:t>The strategic advantage of GoalOS-native alpha-AGI Ascension is not raw autonomy. It is governed improvement. Frontier models make action cheap; they do not make institutional trust cheap. This architecture makes trust programmable by requiring every material improvement to pass through evidence, evaluation, reviewer validation, scope control, canary rollout, monitoring, and rollback readiness before it can affect future work.</w:t>
      </w:r>
    </w:p>
    <w:p>
      <w:pPr>
        <w:spacing w:after="80"/>
        <w:jc w:val="center"/>
      </w:pPr>
      <w:r>
        <w:drawing>
          <wp:inline xmlns:a="http://schemas.openxmlformats.org/drawingml/2006/main" xmlns:pic="http://schemas.openxmlformats.org/drawingml/2006/picture">
            <wp:extent cx="6217920" cy="2410673"/>
            <wp:docPr id="1" name="Picture 1"/>
            <wp:cNvGraphicFramePr>
              <a:graphicFrameLocks noChangeAspect="1"/>
            </wp:cNvGraphicFramePr>
            <a:graphic>
              <a:graphicData uri="http://schemas.openxmlformats.org/drawingml/2006/picture">
                <pic:pic>
                  <pic:nvPicPr>
                    <pic:cNvPr id="0" name="fig1_sovereign_rsi_stack.png"/>
                    <pic:cNvPicPr/>
                  </pic:nvPicPr>
                  <pic:blipFill>
                    <a:blip r:embed="rId11"/>
                    <a:stretch>
                      <a:fillRect/>
                    </a:stretch>
                  </pic:blipFill>
                  <pic:spPr>
                    <a:xfrm>
                      <a:off x="0" y="0"/>
                      <a:ext cx="6217920" cy="2410673"/>
                    </a:xfrm>
                    <a:prstGeom prst="rect"/>
                  </pic:spPr>
                </pic:pic>
              </a:graphicData>
            </a:graphic>
          </wp:inline>
        </w:drawing>
      </w:r>
    </w:p>
    <w:p>
      <w:r>
        <w:br w:type="page"/>
      </w:r>
    </w:p>
    <w:p>
      <w:pPr>
        <w:pStyle w:val="Heading1"/>
        <w:spacing w:before="0" w:after="120"/>
      </w:pPr>
      <w:r>
        <w:rPr>
          <w:rFonts w:ascii="Liberation Sans" w:hAnsi="Liberation Sans"/>
        </w:rPr>
        <w:t>2. Canonical Contributions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0263F"/>
          </w:tcPr>
          <w:p>
            <w:pPr>
              <w:spacing w:after="0"/>
            </w:pPr>
            <w:r/>
            <w:r>
              <w:rPr>
                <w:rFonts w:ascii="Liberation Sans" w:hAnsi="Liberation Sans"/>
                <w:b/>
                <w:color w:val="FFFFFF"/>
                <w:sz w:val="16"/>
              </w:rPr>
              <w:t>Contribution</w:t>
            </w:r>
          </w:p>
        </w:tc>
        <w:tc>
          <w:tcPr>
            <w:tcW w:type="dxa" w:w="3360"/>
            <w:shd w:fill="10263F"/>
          </w:tcPr>
          <w:p>
            <w:pPr>
              <w:spacing w:after="0"/>
            </w:pPr>
            <w:r/>
            <w:r>
              <w:rPr>
                <w:rFonts w:ascii="Liberation Sans" w:hAnsi="Liberation Sans"/>
                <w:b/>
                <w:color w:val="FFFFFF"/>
                <w:sz w:val="16"/>
              </w:rPr>
              <w:t>Definition</w:t>
            </w:r>
          </w:p>
        </w:tc>
        <w:tc>
          <w:tcPr>
            <w:tcW w:type="dxa" w:w="3360"/>
            <w:shd w:fill="10263F"/>
          </w:tcPr>
          <w:p>
            <w:pPr>
              <w:spacing w:after="0"/>
            </w:pPr>
            <w:r/>
            <w:r>
              <w:rPr>
                <w:rFonts w:ascii="Liberation Sans" w:hAnsi="Liberation Sans"/>
                <w:b/>
                <w:color w:val="FFFFFF"/>
                <w:sz w:val="16"/>
              </w:rPr>
              <w:t>Why it matters</w:t>
            </w:r>
          </w:p>
        </w:tc>
      </w:tr>
      <w:tr>
        <w:tc>
          <w:tcPr>
            <w:tcW w:type="dxa" w:w="3360"/>
            <w:vAlign w:val="top"/>
          </w:tcPr>
          <w:p>
            <w:pPr>
              <w:spacing w:after="0"/>
            </w:pPr>
            <w:r/>
            <w:r>
              <w:rPr>
                <w:rFonts w:ascii="Liberation Sans" w:hAnsi="Liberation Sans"/>
                <w:b w:val="0"/>
                <w:color w:val="071323"/>
                <w:sz w:val="16"/>
              </w:rPr>
              <w:t>Sovereign RSI</w:t>
            </w:r>
          </w:p>
        </w:tc>
        <w:tc>
          <w:tcPr>
            <w:tcW w:type="dxa" w:w="3360"/>
            <w:vAlign w:val="top"/>
          </w:tcPr>
          <w:p>
            <w:pPr>
              <w:spacing w:after="0"/>
            </w:pPr>
            <w:r/>
            <w:r>
              <w:rPr>
                <w:rFonts w:ascii="Liberation Sans" w:hAnsi="Liberation Sans"/>
                <w:b w:val="0"/>
                <w:color w:val="071323"/>
                <w:sz w:val="16"/>
              </w:rPr>
              <w:t>Defines recursive self-improvement as proof-backed upgrade rights rather than ungated self-modification.</w:t>
            </w:r>
          </w:p>
        </w:tc>
        <w:tc>
          <w:tcPr>
            <w:tcW w:type="dxa" w:w="3360"/>
            <w:vAlign w:val="top"/>
          </w:tcPr>
          <w:p>
            <w:pPr>
              <w:spacing w:after="0"/>
            </w:pPr>
            <w:r/>
            <w:r>
              <w:rPr>
                <w:rFonts w:ascii="Liberation Sans" w:hAnsi="Liberation Sans"/>
                <w:b w:val="0"/>
                <w:color w:val="071323"/>
                <w:sz w:val="16"/>
              </w:rPr>
              <w:t>Practical governance of improvement.</w:t>
            </w:r>
          </w:p>
        </w:tc>
      </w:tr>
      <w:tr>
        <w:tc>
          <w:tcPr>
            <w:tcW w:type="dxa" w:w="3360"/>
            <w:shd w:fill="F6F3EA"/>
            <w:vAlign w:val="top"/>
          </w:tcPr>
          <w:p>
            <w:pPr>
              <w:spacing w:after="0"/>
            </w:pPr>
            <w:r/>
            <w:r>
              <w:rPr>
                <w:rFonts w:ascii="Liberation Sans" w:hAnsi="Liberation Sans"/>
                <w:b w:val="0"/>
                <w:color w:val="071323"/>
                <w:sz w:val="16"/>
              </w:rPr>
              <w:t>GoalOS Aim Layer</w:t>
            </w:r>
          </w:p>
        </w:tc>
        <w:tc>
          <w:tcPr>
            <w:tcW w:type="dxa" w:w="3360"/>
            <w:shd w:fill="F6F3EA"/>
            <w:vAlign w:val="top"/>
          </w:tcPr>
          <w:p>
            <w:pPr>
              <w:spacing w:after="0"/>
            </w:pPr>
            <w:r/>
            <w:r>
              <w:rPr>
                <w:rFonts w:ascii="Liberation Sans" w:hAnsi="Liberation Sans"/>
                <w:b w:val="0"/>
                <w:color w:val="071323"/>
                <w:sz w:val="16"/>
              </w:rPr>
              <w:t>Converts strategic intent into signed commitments with authority, risk, budget, evaluators, and rollback.</w:t>
            </w:r>
          </w:p>
        </w:tc>
        <w:tc>
          <w:tcPr>
            <w:tcW w:type="dxa" w:w="3360"/>
            <w:shd w:fill="F6F3EA"/>
            <w:vAlign w:val="top"/>
          </w:tcPr>
          <w:p>
            <w:pPr>
              <w:spacing w:after="0"/>
            </w:pPr>
            <w:r/>
            <w:r>
              <w:rPr>
                <w:rFonts w:ascii="Liberation Sans" w:hAnsi="Liberation Sans"/>
                <w:b w:val="0"/>
                <w:color w:val="071323"/>
                <w:sz w:val="16"/>
              </w:rPr>
              <w:t>Prevents local agent optimization from drifting away from institutional goals.</w:t>
            </w:r>
          </w:p>
        </w:tc>
      </w:tr>
      <w:tr>
        <w:tc>
          <w:tcPr>
            <w:tcW w:type="dxa" w:w="3360"/>
            <w:vAlign w:val="top"/>
          </w:tcPr>
          <w:p>
            <w:pPr>
              <w:spacing w:after="0"/>
            </w:pPr>
            <w:r/>
            <w:r>
              <w:rPr>
                <w:rFonts w:ascii="Liberation Sans" w:hAnsi="Liberation Sans"/>
                <w:b w:val="0"/>
                <w:color w:val="071323"/>
                <w:sz w:val="16"/>
              </w:rPr>
              <w:t>AGIALPHA Settlement Rail</w:t>
            </w:r>
          </w:p>
        </w:tc>
        <w:tc>
          <w:tcPr>
            <w:tcW w:type="dxa" w:w="3360"/>
            <w:vAlign w:val="top"/>
          </w:tcPr>
          <w:p>
            <w:pPr>
              <w:spacing w:after="0"/>
            </w:pPr>
            <w:r/>
            <w:r>
              <w:rPr>
                <w:rFonts w:ascii="Liberation Sans" w:hAnsi="Liberation Sans"/>
                <w:b w:val="0"/>
                <w:color w:val="071323"/>
                <w:sz w:val="16"/>
              </w:rPr>
              <w:t>Coordinates posting, bonds, proof submission, reviewer validation, settlement, and reputation.</w:t>
            </w:r>
          </w:p>
        </w:tc>
        <w:tc>
          <w:tcPr>
            <w:tcW w:type="dxa" w:w="3360"/>
            <w:vAlign w:val="top"/>
          </w:tcPr>
          <w:p>
            <w:pPr>
              <w:spacing w:after="0"/>
            </w:pPr>
            <w:r/>
            <w:r>
              <w:rPr>
                <w:rFonts w:ascii="Liberation Sans" w:hAnsi="Liberation Sans"/>
                <w:b w:val="0"/>
                <w:color w:val="071323"/>
                <w:sz w:val="16"/>
              </w:rPr>
              <w:t>Turns work into replayable proof-settled machine labor.</w:t>
            </w:r>
          </w:p>
        </w:tc>
      </w:tr>
      <w:tr>
        <w:tc>
          <w:tcPr>
            <w:tcW w:type="dxa" w:w="3360"/>
            <w:shd w:fill="F6F3EA"/>
            <w:vAlign w:val="top"/>
          </w:tcPr>
          <w:p>
            <w:pPr>
              <w:spacing w:after="0"/>
            </w:pPr>
            <w:r/>
            <w:r>
              <w:rPr>
                <w:rFonts w:ascii="Liberation Sans" w:hAnsi="Liberation Sans"/>
                <w:b w:val="0"/>
                <w:color w:val="071323"/>
                <w:sz w:val="16"/>
              </w:rPr>
              <w:t>Evidence Docket</w:t>
            </w:r>
          </w:p>
        </w:tc>
        <w:tc>
          <w:tcPr>
            <w:tcW w:type="dxa" w:w="3360"/>
            <w:shd w:fill="F6F3EA"/>
            <w:vAlign w:val="top"/>
          </w:tcPr>
          <w:p>
            <w:pPr>
              <w:spacing w:after="0"/>
            </w:pPr>
            <w:r/>
            <w:r>
              <w:rPr>
                <w:rFonts w:ascii="Liberation Sans" w:hAnsi="Liberation Sans"/>
                <w:b w:val="0"/>
                <w:color w:val="071323"/>
                <w:sz w:val="16"/>
              </w:rPr>
              <w:t>Packages claims, baselines, proof bundles, costs, risks, replay paths, and challenge records.</w:t>
            </w:r>
          </w:p>
        </w:tc>
        <w:tc>
          <w:tcPr>
            <w:tcW w:type="dxa" w:w="3360"/>
            <w:shd w:fill="F6F3EA"/>
            <w:vAlign w:val="top"/>
          </w:tcPr>
          <w:p>
            <w:pPr>
              <w:spacing w:after="0"/>
            </w:pPr>
            <w:r/>
            <w:r>
              <w:rPr>
                <w:rFonts w:ascii="Liberation Sans" w:hAnsi="Liberation Sans"/>
                <w:b w:val="0"/>
                <w:color w:val="071323"/>
                <w:sz w:val="16"/>
              </w:rPr>
              <w:t>Makes public claims auditable rather than promotional.</w:t>
            </w:r>
          </w:p>
        </w:tc>
      </w:tr>
      <w:tr>
        <w:tc>
          <w:tcPr>
            <w:tcW w:type="dxa" w:w="3360"/>
            <w:vAlign w:val="top"/>
          </w:tcPr>
          <w:p>
            <w:pPr>
              <w:spacing w:after="0"/>
            </w:pPr>
            <w:r/>
            <w:r>
              <w:rPr>
                <w:rFonts w:ascii="Liberation Sans" w:hAnsi="Liberation Sans"/>
                <w:b w:val="0"/>
                <w:color w:val="071323"/>
                <w:sz w:val="16"/>
              </w:rPr>
              <w:t>Selection Gate</w:t>
            </w:r>
          </w:p>
        </w:tc>
        <w:tc>
          <w:tcPr>
            <w:tcW w:type="dxa" w:w="3360"/>
            <w:vAlign w:val="top"/>
          </w:tcPr>
          <w:p>
            <w:pPr>
              <w:spacing w:after="0"/>
            </w:pPr>
            <w:r/>
            <w:r>
              <w:rPr>
                <w:rFonts w:ascii="Liberation Sans" w:hAnsi="Liberation Sans"/>
                <w:b w:val="0"/>
                <w:color w:val="071323"/>
                <w:sz w:val="16"/>
              </w:rPr>
              <w:t>Promotes only candidates with proof, evaluations, scope controls, canary evidence, monitoring, and rollback readiness.</w:t>
            </w:r>
          </w:p>
        </w:tc>
        <w:tc>
          <w:tcPr>
            <w:tcW w:type="dxa" w:w="3360"/>
            <w:vAlign w:val="top"/>
          </w:tcPr>
          <w:p>
            <w:pPr>
              <w:spacing w:after="0"/>
            </w:pPr>
            <w:r/>
            <w:r>
              <w:rPr>
                <w:rFonts w:ascii="Liberation Sans" w:hAnsi="Liberation Sans"/>
                <w:b w:val="0"/>
                <w:color w:val="071323"/>
                <w:sz w:val="16"/>
              </w:rPr>
              <w:t>Separates capability from authority to propagate.</w:t>
            </w:r>
          </w:p>
        </w:tc>
      </w:tr>
      <w:tr>
        <w:tc>
          <w:tcPr>
            <w:tcW w:type="dxa" w:w="3360"/>
            <w:shd w:fill="F6F3EA"/>
            <w:vAlign w:val="top"/>
          </w:tcPr>
          <w:p>
            <w:pPr>
              <w:spacing w:after="0"/>
            </w:pPr>
            <w:r/>
            <w:r>
              <w:rPr>
                <w:rFonts w:ascii="Liberation Sans" w:hAnsi="Liberation Sans"/>
                <w:b w:val="0"/>
                <w:color w:val="071323"/>
                <w:sz w:val="16"/>
              </w:rPr>
              <w:t>Capacity Reinvestment</w:t>
            </w:r>
          </w:p>
        </w:tc>
        <w:tc>
          <w:tcPr>
            <w:tcW w:type="dxa" w:w="3360"/>
            <w:shd w:fill="F6F3EA"/>
            <w:vAlign w:val="top"/>
          </w:tcPr>
          <w:p>
            <w:pPr>
              <w:spacing w:after="0"/>
            </w:pPr>
            <w:r/>
            <w:r>
              <w:rPr>
                <w:rFonts w:ascii="Liberation Sans" w:hAnsi="Liberation Sans"/>
                <w:b w:val="0"/>
                <w:color w:val="071323"/>
                <w:sz w:val="16"/>
              </w:rPr>
              <w:t>Channels verified gains into compute, data, tooling, validators, security, and future mission capacity.</w:t>
            </w:r>
          </w:p>
        </w:tc>
        <w:tc>
          <w:tcPr>
            <w:tcW w:type="dxa" w:w="3360"/>
            <w:shd w:fill="F6F3EA"/>
            <w:vAlign w:val="top"/>
          </w:tcPr>
          <w:p>
            <w:pPr>
              <w:spacing w:after="0"/>
            </w:pPr>
            <w:r/>
            <w:r>
              <w:rPr>
                <w:rFonts w:ascii="Liberation Sans" w:hAnsi="Liberation Sans"/>
                <w:b w:val="0"/>
                <w:color w:val="071323"/>
                <w:sz w:val="16"/>
              </w:rPr>
              <w:t>Connects near-term workflow proof to the long strategic horizon.</w:t>
            </w:r>
          </w:p>
        </w:tc>
      </w:tr>
    </w:tbl>
    <w:p>
      <w:pPr>
        <w:spacing w:after="40"/>
      </w:pPr>
    </w:p>
    <w:p>
      <w:r>
        <w:br w:type="page"/>
      </w:r>
    </w:p>
    <w:p>
      <w:pPr>
        <w:pStyle w:val="Heading1"/>
        <w:spacing w:before="0" w:after="120"/>
      </w:pPr>
      <w:r>
        <w:rPr>
          <w:rFonts w:ascii="Liberation Sans" w:hAnsi="Liberation Sans"/>
        </w:rPr>
        <w:t>3. Reimplementation Mapping</w:t>
      </w:r>
    </w:p>
    <w:p>
      <w:pPr>
        <w:spacing w:before="0" w:after="120"/>
      </w:pPr>
      <w:r>
        <w:rPr>
          <w:rFonts w:ascii="Liberation Sans" w:hAnsi="Liberation Sans"/>
        </w:rPr>
        <w:t>The reimplementation preserves the ambition of alpha-AGI Ascension while replacing ambiguous autonomy with auditable proof mechanics. It turns foresight, seeds, markets, agents, validators, and sovereign transformation into concrete operating primitives: Opportunity Dockets, Proof Missions, Proof Cards, Credentials, Reputation, Evidence Dockets, and Selection Certificates.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0263F"/>
          </w:tcPr>
          <w:p>
            <w:pPr>
              <w:spacing w:after="0"/>
            </w:pPr>
            <w:r/>
            <w:r>
              <w:rPr>
                <w:rFonts w:ascii="Liberation Sans" w:hAnsi="Liberation Sans"/>
                <w:b/>
                <w:color w:val="FFFFFF"/>
                <w:sz w:val="16"/>
              </w:rPr>
              <w:t>Original layer</w:t>
            </w:r>
          </w:p>
        </w:tc>
        <w:tc>
          <w:tcPr>
            <w:tcW w:type="dxa" w:w="3360"/>
            <w:shd w:fill="10263F"/>
          </w:tcPr>
          <w:p>
            <w:pPr>
              <w:spacing w:after="0"/>
            </w:pPr>
            <w:r/>
            <w:r>
              <w:rPr>
                <w:rFonts w:ascii="Liberation Sans" w:hAnsi="Liberation Sans"/>
                <w:b/>
                <w:color w:val="FFFFFF"/>
                <w:sz w:val="16"/>
              </w:rPr>
              <w:t>GoalOS-native layer</w:t>
            </w:r>
          </w:p>
        </w:tc>
        <w:tc>
          <w:tcPr>
            <w:tcW w:type="dxa" w:w="3360"/>
            <w:shd w:fill="10263F"/>
          </w:tcPr>
          <w:p>
            <w:pPr>
              <w:spacing w:after="0"/>
            </w:pPr>
            <w:r/>
            <w:r>
              <w:rPr>
                <w:rFonts w:ascii="Liberation Sans" w:hAnsi="Liberation Sans"/>
                <w:b/>
                <w:color w:val="FFFFFF"/>
                <w:sz w:val="16"/>
              </w:rPr>
              <w:t>Upgrade</w:t>
            </w:r>
          </w:p>
        </w:tc>
      </w:tr>
      <w:tr>
        <w:tc>
          <w:tcPr>
            <w:tcW w:type="dxa" w:w="3360"/>
            <w:vAlign w:val="top"/>
          </w:tcPr>
          <w:p>
            <w:pPr>
              <w:spacing w:after="0"/>
            </w:pPr>
            <w:r/>
            <w:r>
              <w:rPr>
                <w:rFonts w:ascii="Liberation Sans" w:hAnsi="Liberation Sans"/>
                <w:b w:val="0"/>
                <w:color w:val="071323"/>
                <w:sz w:val="16"/>
              </w:rPr>
              <w:t>alpha-AGI Insight</w:t>
            </w:r>
          </w:p>
        </w:tc>
        <w:tc>
          <w:tcPr>
            <w:tcW w:type="dxa" w:w="3360"/>
            <w:vAlign w:val="top"/>
          </w:tcPr>
          <w:p>
            <w:pPr>
              <w:spacing w:after="0"/>
            </w:pPr>
            <w:r/>
            <w:r>
              <w:rPr>
                <w:rFonts w:ascii="Liberation Sans" w:hAnsi="Liberation Sans"/>
                <w:b w:val="0"/>
                <w:color w:val="071323"/>
                <w:sz w:val="16"/>
              </w:rPr>
              <w:t>GoalOS Opportunity Intelligence</w:t>
            </w:r>
          </w:p>
        </w:tc>
        <w:tc>
          <w:tcPr>
            <w:tcW w:type="dxa" w:w="3360"/>
            <w:vAlign w:val="top"/>
          </w:tcPr>
          <w:p>
            <w:pPr>
              <w:spacing w:after="0"/>
            </w:pPr>
            <w:r/>
            <w:r>
              <w:rPr>
                <w:rFonts w:ascii="Liberation Sans" w:hAnsi="Liberation Sans"/>
                <w:b w:val="0"/>
                <w:color w:val="071323"/>
                <w:sz w:val="16"/>
              </w:rPr>
              <w:t>Turns foresight into auditable workflow opportunity dockets.</w:t>
            </w:r>
          </w:p>
        </w:tc>
      </w:tr>
      <w:tr>
        <w:tc>
          <w:tcPr>
            <w:tcW w:type="dxa" w:w="3360"/>
            <w:shd w:fill="F6F3EA"/>
            <w:vAlign w:val="top"/>
          </w:tcPr>
          <w:p>
            <w:pPr>
              <w:spacing w:after="0"/>
            </w:pPr>
            <w:r/>
            <w:r>
              <w:rPr>
                <w:rFonts w:ascii="Liberation Sans" w:hAnsi="Liberation Sans"/>
                <w:b w:val="0"/>
                <w:color w:val="071323"/>
                <w:sz w:val="16"/>
              </w:rPr>
              <w:t>Nova-Seeds</w:t>
            </w:r>
          </w:p>
        </w:tc>
        <w:tc>
          <w:tcPr>
            <w:tcW w:type="dxa" w:w="3360"/>
            <w:shd w:fill="F6F3EA"/>
            <w:vAlign w:val="top"/>
          </w:tcPr>
          <w:p>
            <w:pPr>
              <w:spacing w:after="0"/>
            </w:pPr>
            <w:r/>
            <w:r>
              <w:rPr>
                <w:rFonts w:ascii="Liberation Sans" w:hAnsi="Liberation Sans"/>
                <w:b w:val="0"/>
                <w:color w:val="071323"/>
                <w:sz w:val="16"/>
              </w:rPr>
              <w:t>Proof Seeds</w:t>
            </w:r>
          </w:p>
        </w:tc>
        <w:tc>
          <w:tcPr>
            <w:tcW w:type="dxa" w:w="3360"/>
            <w:shd w:fill="F6F3EA"/>
            <w:vAlign w:val="top"/>
          </w:tcPr>
          <w:p>
            <w:pPr>
              <w:spacing w:after="0"/>
            </w:pPr>
            <w:r/>
            <w:r>
              <w:rPr>
                <w:rFonts w:ascii="Liberation Sans" w:hAnsi="Liberation Sans"/>
                <w:b w:val="0"/>
                <w:color w:val="071323"/>
                <w:sz w:val="16"/>
              </w:rPr>
              <w:t>Replaces speculative seed language with mission-ready, public-safe opportunity artifacts.</w:t>
            </w:r>
          </w:p>
        </w:tc>
      </w:tr>
      <w:tr>
        <w:tc>
          <w:tcPr>
            <w:tcW w:type="dxa" w:w="3360"/>
            <w:vAlign w:val="top"/>
          </w:tcPr>
          <w:p>
            <w:pPr>
              <w:spacing w:after="0"/>
            </w:pPr>
            <w:r/>
            <w:r>
              <w:rPr>
                <w:rFonts w:ascii="Liberation Sans" w:hAnsi="Liberation Sans"/>
                <w:b w:val="0"/>
                <w:color w:val="071323"/>
                <w:sz w:val="16"/>
              </w:rPr>
              <w:t>MARK</w:t>
            </w:r>
          </w:p>
        </w:tc>
        <w:tc>
          <w:tcPr>
            <w:tcW w:type="dxa" w:w="3360"/>
            <w:vAlign w:val="top"/>
          </w:tcPr>
          <w:p>
            <w:pPr>
              <w:spacing w:after="0"/>
            </w:pPr>
            <w:r/>
            <w:r>
              <w:rPr>
                <w:rFonts w:ascii="Liberation Sans" w:hAnsi="Liberation Sans"/>
                <w:b w:val="0"/>
                <w:color w:val="071323"/>
                <w:sz w:val="16"/>
              </w:rPr>
              <w:t>AGIALPHA Proof Mission Board</w:t>
            </w:r>
          </w:p>
        </w:tc>
        <w:tc>
          <w:tcPr>
            <w:tcW w:type="dxa" w:w="3360"/>
            <w:vAlign w:val="top"/>
          </w:tcPr>
          <w:p>
            <w:pPr>
              <w:spacing w:after="0"/>
            </w:pPr>
            <w:r/>
            <w:r>
              <w:rPr>
                <w:rFonts w:ascii="Liberation Sans" w:hAnsi="Liberation Sans"/>
                <w:b w:val="0"/>
                <w:color w:val="071323"/>
                <w:sz w:val="16"/>
              </w:rPr>
              <w:t>Moves from futures on foresight to sponsor-funded proof missions.</w:t>
            </w:r>
          </w:p>
        </w:tc>
      </w:tr>
      <w:tr>
        <w:tc>
          <w:tcPr>
            <w:tcW w:type="dxa" w:w="3360"/>
            <w:shd w:fill="F6F3EA"/>
            <w:vAlign w:val="top"/>
          </w:tcPr>
          <w:p>
            <w:pPr>
              <w:spacing w:after="0"/>
            </w:pPr>
            <w:r/>
            <w:r>
              <w:rPr>
                <w:rFonts w:ascii="Liberation Sans" w:hAnsi="Liberation Sans"/>
                <w:b w:val="0"/>
                <w:color w:val="071323"/>
                <w:sz w:val="16"/>
              </w:rPr>
              <w:t>Sovereign</w:t>
            </w:r>
          </w:p>
        </w:tc>
        <w:tc>
          <w:tcPr>
            <w:tcW w:type="dxa" w:w="3360"/>
            <w:shd w:fill="F6F3EA"/>
            <w:vAlign w:val="top"/>
          </w:tcPr>
          <w:p>
            <w:pPr>
              <w:spacing w:after="0"/>
            </w:pPr>
            <w:r/>
            <w:r>
              <w:rPr>
                <w:rFonts w:ascii="Liberation Sans" w:hAnsi="Liberation Sans"/>
                <w:b w:val="0"/>
                <w:color w:val="071323"/>
                <w:sz w:val="16"/>
              </w:rPr>
              <w:t>GoalOS Proof Room / Sovereign Pilot</w:t>
            </w:r>
          </w:p>
        </w:tc>
        <w:tc>
          <w:tcPr>
            <w:tcW w:type="dxa" w:w="3360"/>
            <w:shd w:fill="F6F3EA"/>
            <w:vAlign w:val="top"/>
          </w:tcPr>
          <w:p>
            <w:pPr>
              <w:spacing w:after="0"/>
            </w:pPr>
            <w:r/>
            <w:r>
              <w:rPr>
                <w:rFonts w:ascii="Liberation Sans" w:hAnsi="Liberation Sans"/>
                <w:b w:val="0"/>
                <w:color w:val="071323"/>
                <w:sz w:val="16"/>
              </w:rPr>
              <w:t>Transforms enterprises through governed workflow improvement, evidence, rollout, and rollback.</w:t>
            </w:r>
          </w:p>
        </w:tc>
      </w:tr>
      <w:tr>
        <w:tc>
          <w:tcPr>
            <w:tcW w:type="dxa" w:w="3360"/>
            <w:vAlign w:val="top"/>
          </w:tcPr>
          <w:p>
            <w:pPr>
              <w:spacing w:after="0"/>
            </w:pPr>
            <w:r/>
            <w:r>
              <w:rPr>
                <w:rFonts w:ascii="Liberation Sans" w:hAnsi="Liberation Sans"/>
                <w:b w:val="0"/>
                <w:color w:val="071323"/>
                <w:sz w:val="16"/>
              </w:rPr>
              <w:t>Marketplace</w:t>
            </w:r>
          </w:p>
        </w:tc>
        <w:tc>
          <w:tcPr>
            <w:tcW w:type="dxa" w:w="3360"/>
            <w:vAlign w:val="top"/>
          </w:tcPr>
          <w:p>
            <w:pPr>
              <w:spacing w:after="0"/>
            </w:pPr>
            <w:r/>
            <w:r>
              <w:rPr>
                <w:rFonts w:ascii="Liberation Sans" w:hAnsi="Liberation Sans"/>
                <w:b w:val="0"/>
                <w:color w:val="071323"/>
                <w:sz w:val="16"/>
              </w:rPr>
              <w:t>AGIALPHA Proof Work Network</w:t>
            </w:r>
          </w:p>
        </w:tc>
        <w:tc>
          <w:tcPr>
            <w:tcW w:type="dxa" w:w="3360"/>
            <w:vAlign w:val="top"/>
          </w:tcPr>
          <w:p>
            <w:pPr>
              <w:spacing w:after="0"/>
            </w:pPr>
            <w:r/>
            <w:r>
              <w:rPr>
                <w:rFonts w:ascii="Liberation Sans" w:hAnsi="Liberation Sans"/>
                <w:b w:val="0"/>
                <w:color w:val="071323"/>
                <w:sz w:val="16"/>
              </w:rPr>
              <w:t>Coordinates sponsors, builders, reviewers, credentials, reputation, and settlement.</w:t>
            </w:r>
          </w:p>
        </w:tc>
      </w:tr>
      <w:tr>
        <w:tc>
          <w:tcPr>
            <w:tcW w:type="dxa" w:w="3360"/>
            <w:shd w:fill="F6F3EA"/>
            <w:vAlign w:val="top"/>
          </w:tcPr>
          <w:p>
            <w:pPr>
              <w:spacing w:after="0"/>
            </w:pPr>
            <w:r/>
            <w:r>
              <w:rPr>
                <w:rFonts w:ascii="Liberation Sans" w:hAnsi="Liberation Sans"/>
                <w:b w:val="0"/>
                <w:color w:val="071323"/>
                <w:sz w:val="16"/>
              </w:rPr>
              <w:t>Agents</w:t>
            </w:r>
          </w:p>
        </w:tc>
        <w:tc>
          <w:tcPr>
            <w:tcW w:type="dxa" w:w="3360"/>
            <w:shd w:fill="F6F3EA"/>
            <w:vAlign w:val="top"/>
          </w:tcPr>
          <w:p>
            <w:pPr>
              <w:spacing w:after="0"/>
            </w:pPr>
            <w:r/>
            <w:r>
              <w:rPr>
                <w:rFonts w:ascii="Liberation Sans" w:hAnsi="Liberation Sans"/>
                <w:b w:val="0"/>
                <w:color w:val="071323"/>
                <w:sz w:val="16"/>
              </w:rPr>
              <w:t>Builders / Operators</w:t>
            </w:r>
          </w:p>
        </w:tc>
        <w:tc>
          <w:tcPr>
            <w:tcW w:type="dxa" w:w="3360"/>
            <w:shd w:fill="F6F3EA"/>
            <w:vAlign w:val="top"/>
          </w:tcPr>
          <w:p>
            <w:pPr>
              <w:spacing w:after="0"/>
            </w:pPr>
            <w:r/>
            <w:r>
              <w:rPr>
                <w:rFonts w:ascii="Liberation Sans" w:hAnsi="Liberation Sans"/>
                <w:b w:val="0"/>
                <w:color w:val="071323"/>
                <w:sz w:val="16"/>
              </w:rPr>
              <w:t>Executes bounded workflows and emits proof bundles.</w:t>
            </w:r>
          </w:p>
        </w:tc>
      </w:tr>
      <w:tr>
        <w:tc>
          <w:tcPr>
            <w:tcW w:type="dxa" w:w="3360"/>
            <w:vAlign w:val="top"/>
          </w:tcPr>
          <w:p>
            <w:pPr>
              <w:spacing w:after="0"/>
            </w:pPr>
            <w:r/>
            <w:r>
              <w:rPr>
                <w:rFonts w:ascii="Liberation Sans" w:hAnsi="Liberation Sans"/>
                <w:b w:val="0"/>
                <w:color w:val="071323"/>
                <w:sz w:val="16"/>
              </w:rPr>
              <w:t>Validator Council</w:t>
            </w:r>
          </w:p>
        </w:tc>
        <w:tc>
          <w:tcPr>
            <w:tcW w:type="dxa" w:w="3360"/>
            <w:vAlign w:val="top"/>
          </w:tcPr>
          <w:p>
            <w:pPr>
              <w:spacing w:after="0"/>
            </w:pPr>
            <w:r/>
            <w:r>
              <w:rPr>
                <w:rFonts w:ascii="Liberation Sans" w:hAnsi="Liberation Sans"/>
                <w:b w:val="0"/>
                <w:color w:val="071323"/>
                <w:sz w:val="16"/>
              </w:rPr>
              <w:t>Reviewer Network + Selection Gate</w:t>
            </w:r>
          </w:p>
        </w:tc>
        <w:tc>
          <w:tcPr>
            <w:tcW w:type="dxa" w:w="3360"/>
            <w:vAlign w:val="top"/>
          </w:tcPr>
          <w:p>
            <w:pPr>
              <w:spacing w:after="0"/>
            </w:pPr>
            <w:r/>
            <w:r>
              <w:rPr>
                <w:rFonts w:ascii="Liberation Sans" w:hAnsi="Liberation Sans"/>
                <w:b w:val="0"/>
                <w:color w:val="071323"/>
                <w:sz w:val="16"/>
              </w:rPr>
              <w:t>Validates evidence through rubrics, challenge windows, and reputation.</w:t>
            </w:r>
          </w:p>
        </w:tc>
      </w:tr>
      <w:tr>
        <w:tc>
          <w:tcPr>
            <w:tcW w:type="dxa" w:w="3360"/>
            <w:shd w:fill="F6F3EA"/>
            <w:vAlign w:val="top"/>
          </w:tcPr>
          <w:p>
            <w:pPr>
              <w:spacing w:after="0"/>
            </w:pPr>
            <w:r/>
            <w:r>
              <w:rPr>
                <w:rFonts w:ascii="Liberation Sans" w:hAnsi="Liberation Sans"/>
                <w:b w:val="0"/>
                <w:color w:val="071323"/>
                <w:sz w:val="16"/>
              </w:rPr>
              <w:t>Architect</w:t>
            </w:r>
          </w:p>
        </w:tc>
        <w:tc>
          <w:tcPr>
            <w:tcW w:type="dxa" w:w="3360"/>
            <w:shd w:fill="F6F3EA"/>
            <w:vAlign w:val="top"/>
          </w:tcPr>
          <w:p>
            <w:pPr>
              <w:spacing w:after="0"/>
            </w:pPr>
            <w:r/>
            <w:r>
              <w:rPr>
                <w:rFonts w:ascii="Liberation Sans" w:hAnsi="Liberation Sans"/>
                <w:b w:val="0"/>
                <w:color w:val="071323"/>
                <w:sz w:val="16"/>
              </w:rPr>
              <w:t>Proof Gradient + Agent Evolution Protocol</w:t>
            </w:r>
          </w:p>
        </w:tc>
        <w:tc>
          <w:tcPr>
            <w:tcW w:type="dxa" w:w="3360"/>
            <w:shd w:fill="F6F3EA"/>
            <w:vAlign w:val="top"/>
          </w:tcPr>
          <w:p>
            <w:pPr>
              <w:spacing w:after="0"/>
            </w:pPr>
            <w:r/>
            <w:r>
              <w:rPr>
                <w:rFonts w:ascii="Liberation Sans" w:hAnsi="Liberation Sans"/>
                <w:b w:val="0"/>
                <w:color w:val="071323"/>
                <w:sz w:val="16"/>
              </w:rPr>
              <w:t>Turns meta-optimization into governed RSI.</w:t>
            </w:r>
          </w:p>
        </w:tc>
      </w:tr>
    </w:tbl>
    <w:p>
      <w:pPr>
        <w:spacing w:after="40"/>
      </w:pPr>
    </w:p>
    <w:p>
      <w:pPr>
        <w:pStyle w:val="Heading1"/>
        <w:spacing w:before="0" w:after="120"/>
      </w:pPr>
      <w:r>
        <w:rPr>
          <w:rFonts w:ascii="Liberation Sans" w:hAnsi="Liberation Sans"/>
        </w:rPr>
        <w:t>4. AGIALPHA Proof-Settlement Lifecycle</w:t>
      </w:r>
    </w:p>
    <w:p>
      <w:pPr>
        <w:spacing w:before="0" w:after="120"/>
      </w:pPr>
      <w:r>
        <w:rPr>
          <w:rFonts w:ascii="Liberation Sans" w:hAnsi="Liberation Sans"/>
        </w:rPr>
        <w:t>AGIALPHA is used as the existing coordination asset for proof-settled work. Its institutional role is utility coordination: mission posting, bonds, settlement, metrology, reviewer coordination, and protocol operations. It is not described as equity, revenue share, yield, ownership, or guaranteed return.</w:t>
      </w:r>
    </w:p>
    <w:p>
      <w:pPr>
        <w:spacing w:after="80"/>
        <w:jc w:val="center"/>
      </w:pPr>
      <w:r>
        <w:drawing>
          <wp:inline xmlns:a="http://schemas.openxmlformats.org/drawingml/2006/main" xmlns:pic="http://schemas.openxmlformats.org/drawingml/2006/picture">
            <wp:extent cx="6217920" cy="2322323"/>
            <wp:docPr id="2" name="Picture 2"/>
            <wp:cNvGraphicFramePr>
              <a:graphicFrameLocks noChangeAspect="1"/>
            </wp:cNvGraphicFramePr>
            <a:graphic>
              <a:graphicData uri="http://schemas.openxmlformats.org/drawingml/2006/picture">
                <pic:pic>
                  <pic:nvPicPr>
                    <pic:cNvPr id="0" name="fig2_agialpha_settlement_chain.png"/>
                    <pic:cNvPicPr/>
                  </pic:nvPicPr>
                  <pic:blipFill>
                    <a:blip r:embed="rId12"/>
                    <a:stretch>
                      <a:fillRect/>
                    </a:stretch>
                  </pic:blipFill>
                  <pic:spPr>
                    <a:xfrm>
                      <a:off x="0" y="0"/>
                      <a:ext cx="6217920" cy="2322323"/>
                    </a:xfrm>
                    <a:prstGeom prst="rect"/>
                  </pic:spPr>
                </pic:pic>
              </a:graphicData>
            </a:graphic>
          </wp:inline>
        </w:drawing>
      </w:r>
    </w:p>
    <w:p>
      <w:r>
        <w:br w:type="page"/>
      </w:r>
    </w:p>
    <w:p>
      <w:pPr>
        <w:pStyle w:val="Heading1"/>
        <w:spacing w:before="0" w:after="120"/>
      </w:pPr>
      <w:r>
        <w:rPr>
          <w:rFonts w:ascii="Liberation Sans" w:hAnsi="Liberation Sans"/>
        </w:rPr>
        <w:t>5. Sovereign RSI: The Practical Mechanism</w:t>
      </w:r>
    </w:p>
    <w:p>
      <w:pPr>
        <w:spacing w:before="0" w:after="120"/>
      </w:pPr>
      <w:r>
        <w:rPr>
          <w:rFonts w:ascii="Liberation Sans" w:hAnsi="Liberation Sans"/>
        </w:rPr>
        <w:t>The RSI mechanism is institutional, not magical. A model does not freely rewrite itself. Instead, the intelligence organization recursively improves workflows, proof templates, validator rubrics, tools, mission environments, agent coalitions, archives, and allocation policies. The object of improvement is the proof-carrying operating system around the agents.</w:t>
      </w:r>
    </w:p>
    <w:p>
      <w:pPr>
        <w:spacing w:before="0" w:after="120"/>
      </w:pPr>
      <w:r>
        <w:rPr>
          <w:rFonts w:ascii="Liberation Sans" w:hAnsi="Liberation Sans"/>
        </w:rPr>
        <w:t>The RSI loop is: detect a gradient; generate candidates; execute bounded work; package proof; validate; settle; archive; allocate; monitor delayed outcomes; and promote only when rollback is ready. High novelty creates higher scrutiny, not automatic authority.</w:t>
      </w:r>
    </w:p>
    <w:p>
      <w:pPr>
        <w:spacing w:after="80"/>
        <w:jc w:val="center"/>
      </w:pPr>
      <w:r>
        <w:drawing>
          <wp:inline xmlns:a="http://schemas.openxmlformats.org/drawingml/2006/main" xmlns:pic="http://schemas.openxmlformats.org/drawingml/2006/picture">
            <wp:extent cx="6217920" cy="3118635"/>
            <wp:docPr id="3" name="Picture 3"/>
            <wp:cNvGraphicFramePr>
              <a:graphicFrameLocks noChangeAspect="1"/>
            </wp:cNvGraphicFramePr>
            <a:graphic>
              <a:graphicData uri="http://schemas.openxmlformats.org/drawingml/2006/picture">
                <pic:pic>
                  <pic:nvPicPr>
                    <pic:cNvPr id="0" name="fig4_sovereign_rsi_gates.png"/>
                    <pic:cNvPicPr/>
                  </pic:nvPicPr>
                  <pic:blipFill>
                    <a:blip r:embed="rId13"/>
                    <a:stretch>
                      <a:fillRect/>
                    </a:stretch>
                  </pic:blipFill>
                  <pic:spPr>
                    <a:xfrm>
                      <a:off x="0" y="0"/>
                      <a:ext cx="6217920" cy="3118635"/>
                    </a:xfrm>
                    <a:prstGeom prst="rect"/>
                  </pic:spPr>
                </pic:pic>
              </a:graphicData>
            </a:graphic>
          </wp:inline>
        </w:drawing>
      </w:r>
    </w:p>
    <w:p>
      <w:pPr>
        <w:pStyle w:val="Heading1"/>
        <w:spacing w:before="0" w:after="120"/>
      </w:pPr>
      <w:r>
        <w:rPr>
          <w:rFonts w:ascii="Liberation Sans" w:hAnsi="Liberation Sans"/>
        </w:rPr>
        <w:t>6. Large Multi-Agent Coordination Fabric</w:t>
      </w:r>
    </w:p>
    <w:p>
      <w:pPr>
        <w:spacing w:before="0" w:after="120"/>
      </w:pPr>
      <w:r>
        <w:rPr>
          <w:rFonts w:ascii="Liberation Sans" w:hAnsi="Liberation Sans"/>
        </w:rPr>
        <w:t>The system is designed as an operating theater of specialized agents and offices, not a single autonomous actor. Each role has bounded authority, emits a named artifact, and participates in evidence creation. The goal is not to maximize action volume; the goal is to maximize verified useful work under cost, risk, and rollback constraints.</w:t>
      </w:r>
    </w:p>
    <w:p>
      <w:pPr>
        <w:spacing w:after="80"/>
        <w:jc w:val="center"/>
      </w:pPr>
      <w:r>
        <w:drawing>
          <wp:inline xmlns:a="http://schemas.openxmlformats.org/drawingml/2006/main" xmlns:pic="http://schemas.openxmlformats.org/drawingml/2006/picture">
            <wp:extent cx="6217920" cy="2250239"/>
            <wp:docPr id="4" name="Picture 4"/>
            <wp:cNvGraphicFramePr>
              <a:graphicFrameLocks noChangeAspect="1"/>
            </wp:cNvGraphicFramePr>
            <a:graphic>
              <a:graphicData uri="http://schemas.openxmlformats.org/drawingml/2006/picture">
                <pic:pic>
                  <pic:nvPicPr>
                    <pic:cNvPr id="0" name="fig3_agent_operating_theater.png"/>
                    <pic:cNvPicPr/>
                  </pic:nvPicPr>
                  <pic:blipFill>
                    <a:blip r:embed="rId14"/>
                    <a:stretch>
                      <a:fillRect/>
                    </a:stretch>
                  </pic:blipFill>
                  <pic:spPr>
                    <a:xfrm>
                      <a:off x="0" y="0"/>
                      <a:ext cx="6217920" cy="2250239"/>
                    </a:xfrm>
                    <a:prstGeom prst="rect"/>
                  </pic:spPr>
                </pic:pic>
              </a:graphicData>
            </a:graphic>
          </wp:inline>
        </w:drawing>
      </w:r>
    </w:p>
    <w:p>
      <w:r>
        <w:br w:type="page"/>
      </w:r>
    </w:p>
    <w:p>
      <w:pPr>
        <w:pStyle w:val="Heading1"/>
        <w:spacing w:before="0" w:after="120"/>
      </w:pPr>
      <w:r>
        <w:rPr>
          <w:rFonts w:ascii="Liberation Sans" w:hAnsi="Liberation Sans"/>
        </w:rPr>
        <w:t>7. Skills Used</w:t>
      </w:r>
    </w:p>
    <w:p>
      <w:pPr>
        <w:spacing w:before="0" w:after="80"/>
      </w:pPr>
      <w:r>
        <w:rPr>
          <w:rFonts w:ascii="Liberation Sans" w:hAnsi="Liberation Sans"/>
        </w:rPr>
        <w:t>Skills are not vague capabilities. They are named operational competencies with inputs, outputs, and verification obligations.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0263F"/>
          </w:tcPr>
          <w:p>
            <w:pPr>
              <w:spacing w:after="0"/>
            </w:pPr>
            <w:r/>
            <w:r>
              <w:rPr>
                <w:rFonts w:ascii="Liberation Sans" w:hAnsi="Liberation Sans"/>
                <w:b/>
                <w:color w:val="FFFFFF"/>
                <w:sz w:val="16"/>
              </w:rPr>
              <w:t>Skill</w:t>
            </w:r>
          </w:p>
        </w:tc>
        <w:tc>
          <w:tcPr>
            <w:tcW w:type="dxa" w:w="3360"/>
            <w:shd w:fill="10263F"/>
          </w:tcPr>
          <w:p>
            <w:pPr>
              <w:spacing w:after="0"/>
            </w:pPr>
            <w:r/>
            <w:r>
              <w:rPr>
                <w:rFonts w:ascii="Liberation Sans" w:hAnsi="Liberation Sans"/>
                <w:b/>
                <w:color w:val="FFFFFF"/>
                <w:sz w:val="16"/>
              </w:rPr>
              <w:t>Layer</w:t>
            </w:r>
          </w:p>
        </w:tc>
        <w:tc>
          <w:tcPr>
            <w:tcW w:type="dxa" w:w="3360"/>
            <w:shd w:fill="10263F"/>
          </w:tcPr>
          <w:p>
            <w:pPr>
              <w:spacing w:after="0"/>
            </w:pPr>
            <w:r/>
            <w:r>
              <w:rPr>
                <w:rFonts w:ascii="Liberation Sans" w:hAnsi="Liberation Sans"/>
                <w:b/>
                <w:color w:val="FFFFFF"/>
                <w:sz w:val="16"/>
              </w:rPr>
              <w:t>What it does</w:t>
            </w:r>
          </w:p>
        </w:tc>
      </w:tr>
      <w:tr>
        <w:tc>
          <w:tcPr>
            <w:tcW w:type="dxa" w:w="3360"/>
            <w:vAlign w:val="top"/>
          </w:tcPr>
          <w:p>
            <w:pPr>
              <w:spacing w:after="0"/>
            </w:pPr>
            <w:r/>
            <w:r>
              <w:rPr>
                <w:rFonts w:ascii="Liberation Sans" w:hAnsi="Liberation Sans"/>
                <w:b w:val="0"/>
                <w:color w:val="071323"/>
                <w:sz w:val="16"/>
              </w:rPr>
              <w:t>GoalOSCommit Compiler</w:t>
            </w:r>
          </w:p>
        </w:tc>
        <w:tc>
          <w:tcPr>
            <w:tcW w:type="dxa" w:w="3360"/>
            <w:vAlign w:val="top"/>
          </w:tcPr>
          <w:p>
            <w:pPr>
              <w:spacing w:after="0"/>
            </w:pPr>
            <w:r/>
            <w:r>
              <w:rPr>
                <w:rFonts w:ascii="Liberation Sans" w:hAnsi="Liberation Sans"/>
                <w:b w:val="0"/>
                <w:color w:val="071323"/>
                <w:sz w:val="16"/>
              </w:rPr>
              <w:t>Aim</w:t>
            </w:r>
          </w:p>
        </w:tc>
        <w:tc>
          <w:tcPr>
            <w:tcW w:type="dxa" w:w="3360"/>
            <w:vAlign w:val="top"/>
          </w:tcPr>
          <w:p>
            <w:pPr>
              <w:spacing w:after="0"/>
            </w:pPr>
            <w:r/>
            <w:r>
              <w:rPr>
                <w:rFonts w:ascii="Liberation Sans" w:hAnsi="Liberation Sans"/>
                <w:b w:val="0"/>
                <w:color w:val="071323"/>
                <w:sz w:val="16"/>
              </w:rPr>
              <w:t>Turns sovereign intent into signed mission commitments with risk, budget, evaluators, and rollback.</w:t>
            </w:r>
          </w:p>
        </w:tc>
      </w:tr>
      <w:tr>
        <w:tc>
          <w:tcPr>
            <w:tcW w:type="dxa" w:w="3360"/>
            <w:shd w:fill="F6F3EA"/>
            <w:vAlign w:val="top"/>
          </w:tcPr>
          <w:p>
            <w:pPr>
              <w:spacing w:after="0"/>
            </w:pPr>
            <w:r/>
            <w:r>
              <w:rPr>
                <w:rFonts w:ascii="Liberation Sans" w:hAnsi="Liberation Sans"/>
                <w:b w:val="0"/>
                <w:color w:val="071323"/>
                <w:sz w:val="16"/>
              </w:rPr>
              <w:t>Mission Foundry</w:t>
            </w:r>
          </w:p>
        </w:tc>
        <w:tc>
          <w:tcPr>
            <w:tcW w:type="dxa" w:w="3360"/>
            <w:shd w:fill="F6F3EA"/>
            <w:vAlign w:val="top"/>
          </w:tcPr>
          <w:p>
            <w:pPr>
              <w:spacing w:after="0"/>
            </w:pPr>
            <w:r/>
            <w:r>
              <w:rPr>
                <w:rFonts w:ascii="Liberation Sans" w:hAnsi="Liberation Sans"/>
                <w:b w:val="0"/>
                <w:color w:val="071323"/>
                <w:sz w:val="16"/>
              </w:rPr>
              <w:t>Planning</w:t>
            </w:r>
          </w:p>
        </w:tc>
        <w:tc>
          <w:tcPr>
            <w:tcW w:type="dxa" w:w="3360"/>
            <w:shd w:fill="F6F3EA"/>
            <w:vAlign w:val="top"/>
          </w:tcPr>
          <w:p>
            <w:pPr>
              <w:spacing w:after="0"/>
            </w:pPr>
            <w:r/>
            <w:r>
              <w:rPr>
                <w:rFonts w:ascii="Liberation Sans" w:hAnsi="Liberation Sans"/>
                <w:b w:val="0"/>
                <w:color w:val="071323"/>
                <w:sz w:val="16"/>
              </w:rPr>
              <w:t>Generates proof missions, environments, validators, and curricula for high-value workflow domains.</w:t>
            </w:r>
          </w:p>
        </w:tc>
      </w:tr>
      <w:tr>
        <w:tc>
          <w:tcPr>
            <w:tcW w:type="dxa" w:w="3360"/>
            <w:vAlign w:val="top"/>
          </w:tcPr>
          <w:p>
            <w:pPr>
              <w:spacing w:after="0"/>
            </w:pPr>
            <w:r/>
            <w:r>
              <w:rPr>
                <w:rFonts w:ascii="Liberation Sans" w:hAnsi="Liberation Sans"/>
                <w:b w:val="0"/>
                <w:color w:val="071323"/>
                <w:sz w:val="16"/>
              </w:rPr>
              <w:t>Constellation Router</w:t>
            </w:r>
          </w:p>
        </w:tc>
        <w:tc>
          <w:tcPr>
            <w:tcW w:type="dxa" w:w="3360"/>
            <w:vAlign w:val="top"/>
          </w:tcPr>
          <w:p>
            <w:pPr>
              <w:spacing w:after="0"/>
            </w:pPr>
            <w:r/>
            <w:r>
              <w:rPr>
                <w:rFonts w:ascii="Liberation Sans" w:hAnsi="Liberation Sans"/>
                <w:b w:val="0"/>
                <w:color w:val="071323"/>
                <w:sz w:val="16"/>
              </w:rPr>
              <w:t>Coordination</w:t>
            </w:r>
          </w:p>
        </w:tc>
        <w:tc>
          <w:tcPr>
            <w:tcW w:type="dxa" w:w="3360"/>
            <w:vAlign w:val="top"/>
          </w:tcPr>
          <w:p>
            <w:pPr>
              <w:spacing w:after="0"/>
            </w:pPr>
            <w:r/>
            <w:r>
              <w:rPr>
                <w:rFonts w:ascii="Liberation Sans" w:hAnsi="Liberation Sans"/>
                <w:b w:val="0"/>
                <w:color w:val="071323"/>
                <w:sz w:val="16"/>
              </w:rPr>
              <w:t>Routes work to builder coalitions, proof engineers, reviewers, red teams, and rollback desks.</w:t>
            </w:r>
          </w:p>
        </w:tc>
      </w:tr>
      <w:tr>
        <w:tc>
          <w:tcPr>
            <w:tcW w:type="dxa" w:w="3360"/>
            <w:shd w:fill="F6F3EA"/>
            <w:vAlign w:val="top"/>
          </w:tcPr>
          <w:p>
            <w:pPr>
              <w:spacing w:after="0"/>
            </w:pPr>
            <w:r/>
            <w:r>
              <w:rPr>
                <w:rFonts w:ascii="Liberation Sans" w:hAnsi="Liberation Sans"/>
                <w:b w:val="0"/>
                <w:color w:val="071323"/>
                <w:sz w:val="16"/>
              </w:rPr>
              <w:t>ProofBundle Packager</w:t>
            </w:r>
          </w:p>
        </w:tc>
        <w:tc>
          <w:tcPr>
            <w:tcW w:type="dxa" w:w="3360"/>
            <w:shd w:fill="F6F3EA"/>
            <w:vAlign w:val="top"/>
          </w:tcPr>
          <w:p>
            <w:pPr>
              <w:spacing w:after="0"/>
            </w:pPr>
            <w:r/>
            <w:r>
              <w:rPr>
                <w:rFonts w:ascii="Liberation Sans" w:hAnsi="Liberation Sans"/>
                <w:b w:val="0"/>
                <w:color w:val="071323"/>
                <w:sz w:val="16"/>
              </w:rPr>
              <w:t>Evidence</w:t>
            </w:r>
          </w:p>
        </w:tc>
        <w:tc>
          <w:tcPr>
            <w:tcW w:type="dxa" w:w="3360"/>
            <w:shd w:fill="F6F3EA"/>
            <w:vAlign w:val="top"/>
          </w:tcPr>
          <w:p>
            <w:pPr>
              <w:spacing w:after="0"/>
            </w:pPr>
            <w:r/>
            <w:r>
              <w:rPr>
                <w:rFonts w:ascii="Liberation Sans" w:hAnsi="Liberation Sans"/>
                <w:b w:val="0"/>
                <w:color w:val="071323"/>
                <w:sz w:val="16"/>
              </w:rPr>
              <w:t>Packages traces, hashes, telemetry, signatures, costs, risks, replay data, and validation inputs.</w:t>
            </w:r>
          </w:p>
        </w:tc>
      </w:tr>
      <w:tr>
        <w:tc>
          <w:tcPr>
            <w:tcW w:type="dxa" w:w="3360"/>
            <w:vAlign w:val="top"/>
          </w:tcPr>
          <w:p>
            <w:pPr>
              <w:spacing w:after="0"/>
            </w:pPr>
            <w:r/>
            <w:r>
              <w:rPr>
                <w:rFonts w:ascii="Liberation Sans" w:hAnsi="Liberation Sans"/>
                <w:b w:val="0"/>
                <w:color w:val="071323"/>
                <w:sz w:val="16"/>
              </w:rPr>
              <w:t>Reviewer Council Orchestrator</w:t>
            </w:r>
          </w:p>
        </w:tc>
        <w:tc>
          <w:tcPr>
            <w:tcW w:type="dxa" w:w="3360"/>
            <w:vAlign w:val="top"/>
          </w:tcPr>
          <w:p>
            <w:pPr>
              <w:spacing w:after="0"/>
            </w:pPr>
            <w:r/>
            <w:r>
              <w:rPr>
                <w:rFonts w:ascii="Liberation Sans" w:hAnsi="Liberation Sans"/>
                <w:b w:val="0"/>
                <w:color w:val="071323"/>
                <w:sz w:val="16"/>
              </w:rPr>
              <w:t>Validation</w:t>
            </w:r>
          </w:p>
        </w:tc>
        <w:tc>
          <w:tcPr>
            <w:tcW w:type="dxa" w:w="3360"/>
            <w:vAlign w:val="top"/>
          </w:tcPr>
          <w:p>
            <w:pPr>
              <w:spacing w:after="0"/>
            </w:pPr>
            <w:r/>
            <w:r>
              <w:rPr>
                <w:rFonts w:ascii="Liberation Sans" w:hAnsi="Liberation Sans"/>
                <w:b w:val="0"/>
                <w:color w:val="071323"/>
                <w:sz w:val="16"/>
              </w:rPr>
              <w:t>Coordinates bonded reviewers, commit-reveal logic, dispute windows, and slashing paths.</w:t>
            </w:r>
          </w:p>
        </w:tc>
      </w:tr>
      <w:tr>
        <w:tc>
          <w:tcPr>
            <w:tcW w:type="dxa" w:w="3360"/>
            <w:shd w:fill="F6F3EA"/>
            <w:vAlign w:val="top"/>
          </w:tcPr>
          <w:p>
            <w:pPr>
              <w:spacing w:after="0"/>
            </w:pPr>
            <w:r/>
            <w:r>
              <w:rPr>
                <w:rFonts w:ascii="Liberation Sans" w:hAnsi="Liberation Sans"/>
                <w:b w:val="0"/>
                <w:color w:val="071323"/>
                <w:sz w:val="16"/>
              </w:rPr>
              <w:t>Selection Gate Judge</w:t>
            </w:r>
          </w:p>
        </w:tc>
        <w:tc>
          <w:tcPr>
            <w:tcW w:type="dxa" w:w="3360"/>
            <w:shd w:fill="F6F3EA"/>
            <w:vAlign w:val="top"/>
          </w:tcPr>
          <w:p>
            <w:pPr>
              <w:spacing w:after="0"/>
            </w:pPr>
            <w:r/>
            <w:r>
              <w:rPr>
                <w:rFonts w:ascii="Liberation Sans" w:hAnsi="Liberation Sans"/>
                <w:b w:val="0"/>
                <w:color w:val="071323"/>
                <w:sz w:val="16"/>
              </w:rPr>
              <w:t>Evolution</w:t>
            </w:r>
          </w:p>
        </w:tc>
        <w:tc>
          <w:tcPr>
            <w:tcW w:type="dxa" w:w="3360"/>
            <w:shd w:fill="F6F3EA"/>
            <w:vAlign w:val="top"/>
          </w:tcPr>
          <w:p>
            <w:pPr>
              <w:spacing w:after="0"/>
            </w:pPr>
            <w:r/>
            <w:r>
              <w:rPr>
                <w:rFonts w:ascii="Liberation Sans" w:hAnsi="Liberation Sans"/>
                <w:b w:val="0"/>
                <w:color w:val="071323"/>
                <w:sz w:val="16"/>
              </w:rPr>
              <w:t>Awards propagation rights only after proof, evals, canary, monitoring, and rollback readiness.</w:t>
            </w:r>
          </w:p>
        </w:tc>
      </w:tr>
      <w:tr>
        <w:tc>
          <w:tcPr>
            <w:tcW w:type="dxa" w:w="3360"/>
            <w:vAlign w:val="top"/>
          </w:tcPr>
          <w:p>
            <w:pPr>
              <w:spacing w:after="0"/>
            </w:pPr>
            <w:r/>
            <w:r>
              <w:rPr>
                <w:rFonts w:ascii="Liberation Sans" w:hAnsi="Liberation Sans"/>
                <w:b w:val="0"/>
                <w:color w:val="071323"/>
                <w:sz w:val="16"/>
              </w:rPr>
              <w:t>Capacity Allocator</w:t>
            </w:r>
          </w:p>
        </w:tc>
        <w:tc>
          <w:tcPr>
            <w:tcW w:type="dxa" w:w="3360"/>
            <w:vAlign w:val="top"/>
          </w:tcPr>
          <w:p>
            <w:pPr>
              <w:spacing w:after="0"/>
            </w:pPr>
            <w:r/>
            <w:r>
              <w:rPr>
                <w:rFonts w:ascii="Liberation Sans" w:hAnsi="Liberation Sans"/>
                <w:b w:val="0"/>
                <w:color w:val="071323"/>
                <w:sz w:val="16"/>
              </w:rPr>
              <w:t>Reinvestment</w:t>
            </w:r>
          </w:p>
        </w:tc>
        <w:tc>
          <w:tcPr>
            <w:tcW w:type="dxa" w:w="3360"/>
            <w:vAlign w:val="top"/>
          </w:tcPr>
          <w:p>
            <w:pPr>
              <w:spacing w:after="0"/>
            </w:pPr>
            <w:r/>
            <w:r>
              <w:rPr>
                <w:rFonts w:ascii="Liberation Sans" w:hAnsi="Liberation Sans"/>
                <w:b w:val="0"/>
                <w:color w:val="071323"/>
                <w:sz w:val="16"/>
              </w:rPr>
              <w:t>Converts verified gains into stronger future compute, data, tools, security, and mission capacity.</w:t>
            </w:r>
          </w:p>
        </w:tc>
      </w:tr>
    </w:tbl>
    <w:p>
      <w:pPr>
        <w:spacing w:after="40"/>
      </w:pPr>
    </w:p>
    <w:p>
      <w:r>
        <w:br w:type="page"/>
      </w:r>
    </w:p>
    <w:p>
      <w:pPr>
        <w:pStyle w:val="Heading1"/>
        <w:spacing w:before="0" w:after="120"/>
      </w:pPr>
      <w:r>
        <w:rPr>
          <w:rFonts w:ascii="Liberation Sans" w:hAnsi="Liberation Sans"/>
        </w:rPr>
        <w:t>8. Plans Used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0263F"/>
          </w:tcPr>
          <w:p>
            <w:pPr>
              <w:spacing w:after="0"/>
            </w:pPr>
            <w:r/>
            <w:r>
              <w:rPr>
                <w:rFonts w:ascii="Liberation Sans" w:hAnsi="Liberation Sans"/>
                <w:b/>
                <w:color w:val="FFFFFF"/>
                <w:sz w:val="16"/>
              </w:rPr>
              <w:t>Plan</w:t>
            </w:r>
          </w:p>
        </w:tc>
        <w:tc>
          <w:tcPr>
            <w:tcW w:type="dxa" w:w="3360"/>
            <w:shd w:fill="10263F"/>
          </w:tcPr>
          <w:p>
            <w:pPr>
              <w:spacing w:after="0"/>
            </w:pPr>
            <w:r/>
            <w:r>
              <w:rPr>
                <w:rFonts w:ascii="Liberation Sans" w:hAnsi="Liberation Sans"/>
                <w:b/>
                <w:color w:val="FFFFFF"/>
                <w:sz w:val="16"/>
              </w:rPr>
              <w:t>Operational motion</w:t>
            </w:r>
          </w:p>
        </w:tc>
        <w:tc>
          <w:tcPr>
            <w:tcW w:type="dxa" w:w="3360"/>
            <w:shd w:fill="10263F"/>
          </w:tcPr>
          <w:p>
            <w:pPr>
              <w:spacing w:after="0"/>
            </w:pPr>
            <w:r/>
            <w:r>
              <w:rPr>
                <w:rFonts w:ascii="Liberation Sans" w:hAnsi="Liberation Sans"/>
                <w:b/>
                <w:color w:val="FFFFFF"/>
                <w:sz w:val="16"/>
              </w:rPr>
              <w:t>Proof output</w:t>
            </w:r>
          </w:p>
        </w:tc>
      </w:tr>
      <w:tr>
        <w:tc>
          <w:tcPr>
            <w:tcW w:type="dxa" w:w="3360"/>
            <w:vAlign w:val="top"/>
          </w:tcPr>
          <w:p>
            <w:pPr>
              <w:spacing w:after="0"/>
            </w:pPr>
            <w:r/>
            <w:r>
              <w:rPr>
                <w:rFonts w:ascii="Liberation Sans" w:hAnsi="Liberation Sans"/>
                <w:b w:val="0"/>
                <w:color w:val="071323"/>
                <w:sz w:val="16"/>
              </w:rPr>
              <w:t>Season 001 Proof Missions</w:t>
            </w:r>
          </w:p>
        </w:tc>
        <w:tc>
          <w:tcPr>
            <w:tcW w:type="dxa" w:w="3360"/>
            <w:vAlign w:val="top"/>
          </w:tcPr>
          <w:p>
            <w:pPr>
              <w:spacing w:after="0"/>
            </w:pPr>
            <w:r/>
            <w:r>
              <w:rPr>
                <w:rFonts w:ascii="Liberation Sans" w:hAnsi="Liberation Sans"/>
                <w:b w:val="0"/>
                <w:color w:val="071323"/>
                <w:sz w:val="16"/>
              </w:rPr>
              <w:t>Begin with five high-signal missions: support workflow, claims-safe launch, workshop qualification, sponsor missions, reviewer quality.</w:t>
            </w:r>
          </w:p>
        </w:tc>
        <w:tc>
          <w:tcPr>
            <w:tcW w:type="dxa" w:w="3360"/>
            <w:vAlign w:val="top"/>
          </w:tcPr>
          <w:p>
            <w:pPr>
              <w:spacing w:after="0"/>
            </w:pPr>
            <w:r/>
            <w:r>
              <w:rPr>
                <w:rFonts w:ascii="Liberation Sans" w:hAnsi="Liberation Sans"/>
                <w:b w:val="0"/>
                <w:color w:val="071323"/>
                <w:sz w:val="16"/>
              </w:rPr>
              <w:t>Create first public-safe proof cards and reviewer history.</w:t>
            </w:r>
          </w:p>
        </w:tc>
      </w:tr>
      <w:tr>
        <w:tc>
          <w:tcPr>
            <w:tcW w:type="dxa" w:w="3360"/>
            <w:shd w:fill="F6F3EA"/>
            <w:vAlign w:val="top"/>
          </w:tcPr>
          <w:p>
            <w:pPr>
              <w:spacing w:after="0"/>
            </w:pPr>
            <w:r/>
            <w:r>
              <w:rPr>
                <w:rFonts w:ascii="Liberation Sans" w:hAnsi="Liberation Sans"/>
                <w:b w:val="0"/>
                <w:color w:val="071323"/>
                <w:sz w:val="16"/>
              </w:rPr>
              <w:t>Sovereign Proof Room Pilot</w:t>
            </w:r>
          </w:p>
        </w:tc>
        <w:tc>
          <w:tcPr>
            <w:tcW w:type="dxa" w:w="3360"/>
            <w:shd w:fill="F6F3EA"/>
            <w:vAlign w:val="top"/>
          </w:tcPr>
          <w:p>
            <w:pPr>
              <w:spacing w:after="0"/>
            </w:pPr>
            <w:r/>
            <w:r>
              <w:rPr>
                <w:rFonts w:ascii="Liberation Sans" w:hAnsi="Liberation Sans"/>
                <w:b w:val="0"/>
                <w:color w:val="071323"/>
                <w:sz w:val="16"/>
              </w:rPr>
              <w:t>Select one department workflow, baseline it, run builders, validate, publish a docket, and expand only after rollback readiness.</w:t>
            </w:r>
          </w:p>
        </w:tc>
        <w:tc>
          <w:tcPr>
            <w:tcW w:type="dxa" w:w="3360"/>
            <w:shd w:fill="F6F3EA"/>
            <w:vAlign w:val="top"/>
          </w:tcPr>
          <w:p>
            <w:pPr>
              <w:spacing w:after="0"/>
            </w:pPr>
            <w:r/>
            <w:r>
              <w:rPr>
                <w:rFonts w:ascii="Liberation Sans" w:hAnsi="Liberation Sans"/>
                <w:b w:val="0"/>
                <w:color w:val="071323"/>
                <w:sz w:val="16"/>
              </w:rPr>
              <w:t>Makes enterprise adoption auditable.</w:t>
            </w:r>
          </w:p>
        </w:tc>
      </w:tr>
      <w:tr>
        <w:tc>
          <w:tcPr>
            <w:tcW w:type="dxa" w:w="3360"/>
            <w:vAlign w:val="top"/>
          </w:tcPr>
          <w:p>
            <w:pPr>
              <w:spacing w:after="0"/>
            </w:pPr>
            <w:r/>
            <w:r>
              <w:rPr>
                <w:rFonts w:ascii="Liberation Sans" w:hAnsi="Liberation Sans"/>
                <w:b w:val="0"/>
                <w:color w:val="071323"/>
                <w:sz w:val="16"/>
              </w:rPr>
              <w:t>AGIALPHA Settlement Rehearsal</w:t>
            </w:r>
          </w:p>
        </w:tc>
        <w:tc>
          <w:tcPr>
            <w:tcW w:type="dxa" w:w="3360"/>
            <w:vAlign w:val="top"/>
          </w:tcPr>
          <w:p>
            <w:pPr>
              <w:spacing w:after="0"/>
            </w:pPr>
            <w:r/>
            <w:r>
              <w:rPr>
                <w:rFonts w:ascii="Liberation Sans" w:hAnsi="Liberation Sans"/>
                <w:b w:val="0"/>
                <w:color w:val="071323"/>
                <w:sz w:val="16"/>
              </w:rPr>
              <w:t>Use test environment to run post -&gt; claim -&gt; proof -&gt; validate -&gt; proof card -&gt; credential -&gt; reputation -&gt; settlement.</w:t>
            </w:r>
          </w:p>
        </w:tc>
        <w:tc>
          <w:tcPr>
            <w:tcW w:type="dxa" w:w="3360"/>
            <w:vAlign w:val="top"/>
          </w:tcPr>
          <w:p>
            <w:pPr>
              <w:spacing w:after="0"/>
            </w:pPr>
            <w:r/>
            <w:r>
              <w:rPr>
                <w:rFonts w:ascii="Liberation Sans" w:hAnsi="Liberation Sans"/>
                <w:b w:val="0"/>
                <w:color w:val="071323"/>
                <w:sz w:val="16"/>
              </w:rPr>
              <w:t>Proves the proof-work economy before mainnet authorization.</w:t>
            </w:r>
          </w:p>
        </w:tc>
      </w:tr>
      <w:tr>
        <w:tc>
          <w:tcPr>
            <w:tcW w:type="dxa" w:w="3360"/>
            <w:shd w:fill="F6F3EA"/>
            <w:vAlign w:val="top"/>
          </w:tcPr>
          <w:p>
            <w:pPr>
              <w:spacing w:after="0"/>
            </w:pPr>
            <w:r/>
            <w:r>
              <w:rPr>
                <w:rFonts w:ascii="Liberation Sans" w:hAnsi="Liberation Sans"/>
                <w:b w:val="0"/>
                <w:color w:val="071323"/>
                <w:sz w:val="16"/>
              </w:rPr>
              <w:t>Evidence Docket Publication</w:t>
            </w:r>
          </w:p>
        </w:tc>
        <w:tc>
          <w:tcPr>
            <w:tcW w:type="dxa" w:w="3360"/>
            <w:shd w:fill="F6F3EA"/>
            <w:vAlign w:val="top"/>
          </w:tcPr>
          <w:p>
            <w:pPr>
              <w:spacing w:after="0"/>
            </w:pPr>
            <w:r/>
            <w:r>
              <w:rPr>
                <w:rFonts w:ascii="Liberation Sans" w:hAnsi="Liberation Sans"/>
                <w:b w:val="0"/>
                <w:color w:val="071323"/>
                <w:sz w:val="16"/>
              </w:rPr>
              <w:t>Publish public-safe claim, baseline, proof packet, evals, cost/risk ledger, validation verdict, and delayed-outcome plan.</w:t>
            </w:r>
          </w:p>
        </w:tc>
        <w:tc>
          <w:tcPr>
            <w:tcW w:type="dxa" w:w="3360"/>
            <w:shd w:fill="F6F3EA"/>
            <w:vAlign w:val="top"/>
          </w:tcPr>
          <w:p>
            <w:pPr>
              <w:spacing w:after="0"/>
            </w:pPr>
            <w:r/>
            <w:r>
              <w:rPr>
                <w:rFonts w:ascii="Liberation Sans" w:hAnsi="Liberation Sans"/>
                <w:b w:val="0"/>
                <w:color w:val="071323"/>
                <w:sz w:val="16"/>
              </w:rPr>
              <w:t>Turns proof into institutional trust.</w:t>
            </w:r>
          </w:p>
        </w:tc>
      </w:tr>
      <w:tr>
        <w:tc>
          <w:tcPr>
            <w:tcW w:type="dxa" w:w="3360"/>
            <w:vAlign w:val="top"/>
          </w:tcPr>
          <w:p>
            <w:pPr>
              <w:spacing w:after="0"/>
            </w:pPr>
            <w:r/>
            <w:r>
              <w:rPr>
                <w:rFonts w:ascii="Liberation Sans" w:hAnsi="Liberation Sans"/>
                <w:b w:val="0"/>
                <w:color w:val="071323"/>
                <w:sz w:val="16"/>
              </w:rPr>
              <w:t>RSI Dossier Program</w:t>
            </w:r>
          </w:p>
        </w:tc>
        <w:tc>
          <w:tcPr>
            <w:tcW w:type="dxa" w:w="3360"/>
            <w:vAlign w:val="top"/>
          </w:tcPr>
          <w:p>
            <w:pPr>
              <w:spacing w:after="0"/>
            </w:pPr>
            <w:r/>
            <w:r>
              <w:rPr>
                <w:rFonts w:ascii="Liberation Sans" w:hAnsi="Liberation Sans"/>
                <w:b w:val="0"/>
                <w:color w:val="071323"/>
                <w:sz w:val="16"/>
              </w:rPr>
              <w:t>Capture accepted and rejected upgrade candidates, falsification tests, rollback events, and capacity reinvestment decisions.</w:t>
            </w:r>
          </w:p>
        </w:tc>
        <w:tc>
          <w:tcPr>
            <w:tcW w:type="dxa" w:w="3360"/>
            <w:vAlign w:val="top"/>
          </w:tcPr>
          <w:p>
            <w:pPr>
              <w:spacing w:after="0"/>
            </w:pPr>
            <w:r/>
            <w:r>
              <w:rPr>
                <w:rFonts w:ascii="Liberation Sans" w:hAnsi="Liberation Sans"/>
                <w:b w:val="0"/>
                <w:color w:val="071323"/>
                <w:sz w:val="16"/>
              </w:rPr>
              <w:t>Prevents novelty theater and makes improvement cumulative.</w:t>
            </w:r>
          </w:p>
        </w:tc>
      </w:tr>
    </w:tbl>
    <w:p>
      <w:pPr>
        <w:spacing w:after="40"/>
      </w:pPr>
    </w:p>
    <w:p>
      <w:r>
        <w:br w:type="page"/>
      </w:r>
    </w:p>
    <w:p>
      <w:pPr>
        <w:pStyle w:val="Heading1"/>
        <w:spacing w:before="0" w:after="120"/>
      </w:pPr>
      <w:r>
        <w:rPr>
          <w:rFonts w:ascii="Liberation Sans" w:hAnsi="Liberation Sans"/>
        </w:rPr>
        <w:t>9. Goals Used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0263F"/>
          </w:tcPr>
          <w:p>
            <w:pPr>
              <w:spacing w:after="0"/>
            </w:pPr>
            <w:r/>
            <w:r>
              <w:rPr>
                <w:rFonts w:ascii="Liberation Sans" w:hAnsi="Liberation Sans"/>
                <w:b/>
                <w:color w:val="FFFFFF"/>
                <w:sz w:val="16"/>
              </w:rPr>
              <w:t>Goal</w:t>
            </w:r>
          </w:p>
        </w:tc>
        <w:tc>
          <w:tcPr>
            <w:tcW w:type="dxa" w:w="3360"/>
            <w:shd w:fill="10263F"/>
          </w:tcPr>
          <w:p>
            <w:pPr>
              <w:spacing w:after="0"/>
            </w:pPr>
            <w:r/>
            <w:r>
              <w:rPr>
                <w:rFonts w:ascii="Liberation Sans" w:hAnsi="Liberation Sans"/>
                <w:b/>
                <w:color w:val="FFFFFF"/>
                <w:sz w:val="16"/>
              </w:rPr>
              <w:t>Operational target</w:t>
            </w:r>
          </w:p>
        </w:tc>
        <w:tc>
          <w:tcPr>
            <w:tcW w:type="dxa" w:w="3360"/>
            <w:shd w:fill="10263F"/>
          </w:tcPr>
          <w:p>
            <w:pPr>
              <w:spacing w:after="0"/>
            </w:pPr>
            <w:r/>
            <w:r>
              <w:rPr>
                <w:rFonts w:ascii="Liberation Sans" w:hAnsi="Liberation Sans"/>
                <w:b/>
                <w:color w:val="FFFFFF"/>
                <w:sz w:val="16"/>
              </w:rPr>
              <w:t>Measurement</w:t>
            </w:r>
          </w:p>
        </w:tc>
      </w:tr>
      <w:tr>
        <w:tc>
          <w:tcPr>
            <w:tcW w:type="dxa" w:w="3360"/>
            <w:vAlign w:val="top"/>
          </w:tcPr>
          <w:p>
            <w:pPr>
              <w:spacing w:after="0"/>
            </w:pPr>
            <w:r/>
            <w:r>
              <w:rPr>
                <w:rFonts w:ascii="Liberation Sans" w:hAnsi="Liberation Sans"/>
                <w:b w:val="0"/>
                <w:color w:val="071323"/>
                <w:sz w:val="16"/>
              </w:rPr>
              <w:t>Institutional trust</w:t>
            </w:r>
          </w:p>
        </w:tc>
        <w:tc>
          <w:tcPr>
            <w:tcW w:type="dxa" w:w="3360"/>
            <w:vAlign w:val="top"/>
          </w:tcPr>
          <w:p>
            <w:pPr>
              <w:spacing w:after="0"/>
            </w:pPr>
            <w:r/>
            <w:r>
              <w:rPr>
                <w:rFonts w:ascii="Liberation Sans" w:hAnsi="Liberation Sans"/>
                <w:b w:val="0"/>
                <w:color w:val="071323"/>
                <w:sz w:val="16"/>
              </w:rPr>
              <w:t>Make claims inspectable through Evidence Dockets and Proof Cards.</w:t>
            </w:r>
          </w:p>
        </w:tc>
        <w:tc>
          <w:tcPr>
            <w:tcW w:type="dxa" w:w="3360"/>
            <w:vAlign w:val="top"/>
          </w:tcPr>
          <w:p>
            <w:pPr>
              <w:spacing w:after="0"/>
            </w:pPr>
            <w:r/>
            <w:r>
              <w:rPr>
                <w:rFonts w:ascii="Liberation Sans" w:hAnsi="Liberation Sans"/>
                <w:b w:val="0"/>
                <w:color w:val="071323"/>
                <w:sz w:val="16"/>
              </w:rPr>
              <w:t>Independent replay, reviewer agreement, false acceptance rate.</w:t>
            </w:r>
          </w:p>
        </w:tc>
      </w:tr>
      <w:tr>
        <w:tc>
          <w:tcPr>
            <w:tcW w:type="dxa" w:w="3360"/>
            <w:shd w:fill="F6F3EA"/>
            <w:vAlign w:val="top"/>
          </w:tcPr>
          <w:p>
            <w:pPr>
              <w:spacing w:after="0"/>
            </w:pPr>
            <w:r/>
            <w:r>
              <w:rPr>
                <w:rFonts w:ascii="Liberation Sans" w:hAnsi="Liberation Sans"/>
                <w:b w:val="0"/>
                <w:color w:val="071323"/>
                <w:sz w:val="16"/>
              </w:rPr>
              <w:t>Sovereign RSI</w:t>
            </w:r>
          </w:p>
        </w:tc>
        <w:tc>
          <w:tcPr>
            <w:tcW w:type="dxa" w:w="3360"/>
            <w:shd w:fill="F6F3EA"/>
            <w:vAlign w:val="top"/>
          </w:tcPr>
          <w:p>
            <w:pPr>
              <w:spacing w:after="0"/>
            </w:pPr>
            <w:r/>
            <w:r>
              <w:rPr>
                <w:rFonts w:ascii="Liberation Sans" w:hAnsi="Liberation Sans"/>
                <w:b w:val="0"/>
                <w:color w:val="071323"/>
                <w:sz w:val="16"/>
              </w:rPr>
              <w:t>Make improvements cumulative without allowing unverified propagation.</w:t>
            </w:r>
          </w:p>
        </w:tc>
        <w:tc>
          <w:tcPr>
            <w:tcW w:type="dxa" w:w="3360"/>
            <w:shd w:fill="F6F3EA"/>
            <w:vAlign w:val="top"/>
          </w:tcPr>
          <w:p>
            <w:pPr>
              <w:spacing w:after="0"/>
            </w:pPr>
            <w:r/>
            <w:r>
              <w:rPr>
                <w:rFonts w:ascii="Liberation Sans" w:hAnsi="Liberation Sans"/>
                <w:b w:val="0"/>
                <w:color w:val="071323"/>
                <w:sz w:val="16"/>
              </w:rPr>
              <w:t>Accepted artifacts beating baselines under equal budget.</w:t>
            </w:r>
          </w:p>
        </w:tc>
      </w:tr>
      <w:tr>
        <w:tc>
          <w:tcPr>
            <w:tcW w:type="dxa" w:w="3360"/>
            <w:vAlign w:val="top"/>
          </w:tcPr>
          <w:p>
            <w:pPr>
              <w:spacing w:after="0"/>
            </w:pPr>
            <w:r/>
            <w:r>
              <w:rPr>
                <w:rFonts w:ascii="Liberation Sans" w:hAnsi="Liberation Sans"/>
                <w:b w:val="0"/>
                <w:color w:val="071323"/>
                <w:sz w:val="16"/>
              </w:rPr>
              <w:t>Proof-settled work</w:t>
            </w:r>
          </w:p>
        </w:tc>
        <w:tc>
          <w:tcPr>
            <w:tcW w:type="dxa" w:w="3360"/>
            <w:vAlign w:val="top"/>
          </w:tcPr>
          <w:p>
            <w:pPr>
              <w:spacing w:after="0"/>
            </w:pPr>
            <w:r/>
            <w:r>
              <w:rPr>
                <w:rFonts w:ascii="Liberation Sans" w:hAnsi="Liberation Sans"/>
                <w:b w:val="0"/>
                <w:color w:val="071323"/>
                <w:sz w:val="16"/>
              </w:rPr>
              <w:t>Use AGIALPHA to coordinate work only when proof and validation exist.</w:t>
            </w:r>
          </w:p>
        </w:tc>
        <w:tc>
          <w:tcPr>
            <w:tcW w:type="dxa" w:w="3360"/>
            <w:vAlign w:val="top"/>
          </w:tcPr>
          <w:p>
            <w:pPr>
              <w:spacing w:after="0"/>
            </w:pPr>
            <w:r/>
            <w:r>
              <w:rPr>
                <w:rFonts w:ascii="Liberation Sans" w:hAnsi="Liberation Sans"/>
                <w:b w:val="0"/>
                <w:color w:val="071323"/>
                <w:sz w:val="16"/>
              </w:rPr>
              <w:t>No settlement without ProofBundle and validation.</w:t>
            </w:r>
          </w:p>
        </w:tc>
      </w:tr>
      <w:tr>
        <w:tc>
          <w:tcPr>
            <w:tcW w:type="dxa" w:w="3360"/>
            <w:shd w:fill="F6F3EA"/>
            <w:vAlign w:val="top"/>
          </w:tcPr>
          <w:p>
            <w:pPr>
              <w:spacing w:after="0"/>
            </w:pPr>
            <w:r/>
            <w:r>
              <w:rPr>
                <w:rFonts w:ascii="Liberation Sans" w:hAnsi="Liberation Sans"/>
                <w:b w:val="0"/>
                <w:color w:val="071323"/>
                <w:sz w:val="16"/>
              </w:rPr>
              <w:t>Capacity compounding</w:t>
            </w:r>
          </w:p>
        </w:tc>
        <w:tc>
          <w:tcPr>
            <w:tcW w:type="dxa" w:w="3360"/>
            <w:shd w:fill="F6F3EA"/>
            <w:vAlign w:val="top"/>
          </w:tcPr>
          <w:p>
            <w:pPr>
              <w:spacing w:after="0"/>
            </w:pPr>
            <w:r/>
            <w:r>
              <w:rPr>
                <w:rFonts w:ascii="Liberation Sans" w:hAnsi="Liberation Sans"/>
                <w:b w:val="0"/>
                <w:color w:val="071323"/>
                <w:sz w:val="16"/>
              </w:rPr>
              <w:t>Reinvest verified gains into stronger future work.</w:t>
            </w:r>
          </w:p>
        </w:tc>
        <w:tc>
          <w:tcPr>
            <w:tcW w:type="dxa" w:w="3360"/>
            <w:shd w:fill="F6F3EA"/>
            <w:vAlign w:val="top"/>
          </w:tcPr>
          <w:p>
            <w:pPr>
              <w:spacing w:after="0"/>
            </w:pPr>
            <w:r/>
            <w:r>
              <w:rPr>
                <w:rFonts w:ascii="Liberation Sans" w:hAnsi="Liberation Sans"/>
                <w:b w:val="0"/>
                <w:color w:val="071323"/>
                <w:sz w:val="16"/>
              </w:rPr>
              <w:t>Useful work per cost, cost/watt, reuse rate, validator quality.</w:t>
            </w:r>
          </w:p>
        </w:tc>
      </w:tr>
      <w:tr>
        <w:tc>
          <w:tcPr>
            <w:tcW w:type="dxa" w:w="3360"/>
            <w:vAlign w:val="top"/>
          </w:tcPr>
          <w:p>
            <w:pPr>
              <w:spacing w:after="0"/>
            </w:pPr>
            <w:r/>
            <w:r>
              <w:rPr>
                <w:rFonts w:ascii="Liberation Sans" w:hAnsi="Liberation Sans"/>
                <w:b w:val="0"/>
                <w:color w:val="071323"/>
                <w:sz w:val="16"/>
              </w:rPr>
              <w:t>Claim discipline</w:t>
            </w:r>
          </w:p>
        </w:tc>
        <w:tc>
          <w:tcPr>
            <w:tcW w:type="dxa" w:w="3360"/>
            <w:vAlign w:val="top"/>
          </w:tcPr>
          <w:p>
            <w:pPr>
              <w:spacing w:after="0"/>
            </w:pPr>
            <w:r/>
            <w:r>
              <w:rPr>
                <w:rFonts w:ascii="Liberation Sans" w:hAnsi="Liberation Sans"/>
                <w:b w:val="0"/>
                <w:color w:val="071323"/>
                <w:sz w:val="16"/>
              </w:rPr>
              <w:t>Keep civilization-scale language as horizon, not present-tense claim.</w:t>
            </w:r>
          </w:p>
        </w:tc>
        <w:tc>
          <w:tcPr>
            <w:tcW w:type="dxa" w:w="3360"/>
            <w:vAlign w:val="top"/>
          </w:tcPr>
          <w:p>
            <w:pPr>
              <w:spacing w:after="0"/>
            </w:pPr>
            <w:r/>
            <w:r>
              <w:rPr>
                <w:rFonts w:ascii="Liberation Sans" w:hAnsi="Liberation Sans"/>
                <w:b w:val="0"/>
                <w:color w:val="071323"/>
                <w:sz w:val="16"/>
              </w:rPr>
              <w:t>Claim-boundary audits and external review.</w:t>
            </w:r>
          </w:p>
        </w:tc>
      </w:tr>
    </w:tbl>
    <w:p>
      <w:pPr>
        <w:spacing w:after="40"/>
      </w:pPr>
    </w:p>
    <w:p>
      <w:r>
        <w:br w:type="page"/>
      </w:r>
    </w:p>
    <w:p>
      <w:pPr>
        <w:pStyle w:val="Heading1"/>
        <w:spacing w:before="0" w:after="120"/>
      </w:pPr>
      <w:r>
        <w:rPr>
          <w:rFonts w:ascii="Liberation Sans" w:hAnsi="Liberation Sans"/>
        </w:rPr>
        <w:t>10. Evidence Docket as Sovereign Proof Room</w:t>
      </w:r>
    </w:p>
    <w:p>
      <w:pPr>
        <w:spacing w:before="0" w:after="120"/>
      </w:pPr>
      <w:r>
        <w:rPr>
          <w:rFonts w:ascii="Liberation Sans" w:hAnsi="Liberation Sans"/>
        </w:rPr>
        <w:t>The Evidence Docket is the institutional proof room. It contains the claim, baseline, mission commitment, policy context, proof bundle, replay path, evaluator attestations, cost ledger, risk ledger, settlement receipt, challenge status, rollback plan, delayed-outcome monitor, and public/private boundary. Without a docket, a claim remains a story. With a docket, it becomes auditable.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0263F"/>
          </w:tcPr>
          <w:p>
            <w:pPr>
              <w:spacing w:after="0"/>
            </w:pPr>
            <w:r/>
            <w:r>
              <w:rPr>
                <w:rFonts w:ascii="Liberation Sans" w:hAnsi="Liberation Sans"/>
                <w:b/>
                <w:color w:val="FFFFFF"/>
                <w:sz w:val="16"/>
              </w:rPr>
              <w:t>Docket section</w:t>
            </w:r>
          </w:p>
        </w:tc>
        <w:tc>
          <w:tcPr>
            <w:tcW w:type="dxa" w:w="3360"/>
            <w:shd w:fill="10263F"/>
          </w:tcPr>
          <w:p>
            <w:pPr>
              <w:spacing w:after="0"/>
            </w:pPr>
            <w:r/>
            <w:r>
              <w:rPr>
                <w:rFonts w:ascii="Liberation Sans" w:hAnsi="Liberation Sans"/>
                <w:b/>
                <w:color w:val="FFFFFF"/>
                <w:sz w:val="16"/>
              </w:rPr>
              <w:t>Purpose</w:t>
            </w:r>
          </w:p>
        </w:tc>
        <w:tc>
          <w:tcPr>
            <w:tcW w:type="dxa" w:w="3360"/>
            <w:shd w:fill="10263F"/>
          </w:tcPr>
          <w:p>
            <w:pPr>
              <w:spacing w:after="0"/>
            </w:pPr>
            <w:r/>
            <w:r>
              <w:rPr>
                <w:rFonts w:ascii="Liberation Sans" w:hAnsi="Liberation Sans"/>
                <w:b/>
                <w:color w:val="FFFFFF"/>
                <w:sz w:val="16"/>
              </w:rPr>
              <w:t>Failure if absent</w:t>
            </w:r>
          </w:p>
        </w:tc>
      </w:tr>
      <w:tr>
        <w:tc>
          <w:tcPr>
            <w:tcW w:type="dxa" w:w="3360"/>
            <w:vAlign w:val="top"/>
          </w:tcPr>
          <w:p>
            <w:pPr>
              <w:spacing w:after="0"/>
            </w:pPr>
            <w:r/>
            <w:r>
              <w:rPr>
                <w:rFonts w:ascii="Liberation Sans" w:hAnsi="Liberation Sans"/>
                <w:b w:val="0"/>
                <w:color w:val="071323"/>
                <w:sz w:val="16"/>
              </w:rPr>
              <w:t>Claim matrix</w:t>
            </w:r>
          </w:p>
        </w:tc>
        <w:tc>
          <w:tcPr>
            <w:tcW w:type="dxa" w:w="3360"/>
            <w:vAlign w:val="top"/>
          </w:tcPr>
          <w:p>
            <w:pPr>
              <w:spacing w:after="0"/>
            </w:pPr>
            <w:r/>
            <w:r>
              <w:rPr>
                <w:rFonts w:ascii="Liberation Sans" w:hAnsi="Liberation Sans"/>
                <w:b w:val="0"/>
                <w:color w:val="071323"/>
                <w:sz w:val="16"/>
              </w:rPr>
              <w:t>States what is being claimed and what is not being claimed.</w:t>
            </w:r>
          </w:p>
        </w:tc>
        <w:tc>
          <w:tcPr>
            <w:tcW w:type="dxa" w:w="3360"/>
            <w:vAlign w:val="top"/>
          </w:tcPr>
          <w:p>
            <w:pPr>
              <w:spacing w:after="0"/>
            </w:pPr>
            <w:r/>
            <w:r>
              <w:rPr>
                <w:rFonts w:ascii="Liberation Sans" w:hAnsi="Liberation Sans"/>
                <w:b w:val="0"/>
                <w:color w:val="071323"/>
                <w:sz w:val="16"/>
              </w:rPr>
              <w:t>Marketing can outrun evidence.</w:t>
            </w:r>
          </w:p>
        </w:tc>
      </w:tr>
      <w:tr>
        <w:tc>
          <w:tcPr>
            <w:tcW w:type="dxa" w:w="3360"/>
            <w:shd w:fill="F6F3EA"/>
            <w:vAlign w:val="top"/>
          </w:tcPr>
          <w:p>
            <w:pPr>
              <w:spacing w:after="0"/>
            </w:pPr>
            <w:r/>
            <w:r>
              <w:rPr>
                <w:rFonts w:ascii="Liberation Sans" w:hAnsi="Liberation Sans"/>
                <w:b w:val="0"/>
                <w:color w:val="071323"/>
                <w:sz w:val="16"/>
              </w:rPr>
              <w:t>Baseline ledger</w:t>
            </w:r>
          </w:p>
        </w:tc>
        <w:tc>
          <w:tcPr>
            <w:tcW w:type="dxa" w:w="3360"/>
            <w:shd w:fill="F6F3EA"/>
            <w:vAlign w:val="top"/>
          </w:tcPr>
          <w:p>
            <w:pPr>
              <w:spacing w:after="0"/>
            </w:pPr>
            <w:r/>
            <w:r>
              <w:rPr>
                <w:rFonts w:ascii="Liberation Sans" w:hAnsi="Liberation Sans"/>
                <w:b w:val="0"/>
                <w:color w:val="071323"/>
                <w:sz w:val="16"/>
              </w:rPr>
              <w:t>Defines static, human, agentic, and prior-version comparators.</w:t>
            </w:r>
          </w:p>
        </w:tc>
        <w:tc>
          <w:tcPr>
            <w:tcW w:type="dxa" w:w="3360"/>
            <w:shd w:fill="F6F3EA"/>
            <w:vAlign w:val="top"/>
          </w:tcPr>
          <w:p>
            <w:pPr>
              <w:spacing w:after="0"/>
            </w:pPr>
            <w:r/>
            <w:r>
              <w:rPr>
                <w:rFonts w:ascii="Liberation Sans" w:hAnsi="Liberation Sans"/>
                <w:b w:val="0"/>
                <w:color w:val="071323"/>
                <w:sz w:val="16"/>
              </w:rPr>
              <w:t>Improvement cannot be measured.</w:t>
            </w:r>
          </w:p>
        </w:tc>
      </w:tr>
      <w:tr>
        <w:tc>
          <w:tcPr>
            <w:tcW w:type="dxa" w:w="3360"/>
            <w:vAlign w:val="top"/>
          </w:tcPr>
          <w:p>
            <w:pPr>
              <w:spacing w:after="0"/>
            </w:pPr>
            <w:r/>
            <w:r>
              <w:rPr>
                <w:rFonts w:ascii="Liberation Sans" w:hAnsi="Liberation Sans"/>
                <w:b w:val="0"/>
                <w:color w:val="071323"/>
                <w:sz w:val="16"/>
              </w:rPr>
              <w:t>ProofBundle</w:t>
            </w:r>
          </w:p>
        </w:tc>
        <w:tc>
          <w:tcPr>
            <w:tcW w:type="dxa" w:w="3360"/>
            <w:vAlign w:val="top"/>
          </w:tcPr>
          <w:p>
            <w:pPr>
              <w:spacing w:after="0"/>
            </w:pPr>
            <w:r/>
            <w:r>
              <w:rPr>
                <w:rFonts w:ascii="Liberation Sans" w:hAnsi="Liberation Sans"/>
                <w:b w:val="0"/>
                <w:color w:val="071323"/>
                <w:sz w:val="16"/>
              </w:rPr>
              <w:t>Packages hashes, logs, traces, telemetry, signatures, replay path, and settlement evidence.</w:t>
            </w:r>
          </w:p>
        </w:tc>
        <w:tc>
          <w:tcPr>
            <w:tcW w:type="dxa" w:w="3360"/>
            <w:vAlign w:val="top"/>
          </w:tcPr>
          <w:p>
            <w:pPr>
              <w:spacing w:after="0"/>
            </w:pPr>
            <w:r/>
            <w:r>
              <w:rPr>
                <w:rFonts w:ascii="Liberation Sans" w:hAnsi="Liberation Sans"/>
                <w:b w:val="0"/>
                <w:color w:val="071323"/>
                <w:sz w:val="16"/>
              </w:rPr>
              <w:t>Work cannot be reproduced or disputed.</w:t>
            </w:r>
          </w:p>
        </w:tc>
      </w:tr>
      <w:tr>
        <w:tc>
          <w:tcPr>
            <w:tcW w:type="dxa" w:w="3360"/>
            <w:shd w:fill="F6F3EA"/>
            <w:vAlign w:val="top"/>
          </w:tcPr>
          <w:p>
            <w:pPr>
              <w:spacing w:after="0"/>
            </w:pPr>
            <w:r/>
            <w:r>
              <w:rPr>
                <w:rFonts w:ascii="Liberation Sans" w:hAnsi="Liberation Sans"/>
                <w:b w:val="0"/>
                <w:color w:val="071323"/>
                <w:sz w:val="16"/>
              </w:rPr>
              <w:t>Reviewer record</w:t>
            </w:r>
          </w:p>
        </w:tc>
        <w:tc>
          <w:tcPr>
            <w:tcW w:type="dxa" w:w="3360"/>
            <w:shd w:fill="F6F3EA"/>
            <w:vAlign w:val="top"/>
          </w:tcPr>
          <w:p>
            <w:pPr>
              <w:spacing w:after="0"/>
            </w:pPr>
            <w:r/>
            <w:r>
              <w:rPr>
                <w:rFonts w:ascii="Liberation Sans" w:hAnsi="Liberation Sans"/>
                <w:b w:val="0"/>
                <w:color w:val="071323"/>
                <w:sz w:val="16"/>
              </w:rPr>
              <w:t>Stores evaluator attestations, challenges, and decisions.</w:t>
            </w:r>
          </w:p>
        </w:tc>
        <w:tc>
          <w:tcPr>
            <w:tcW w:type="dxa" w:w="3360"/>
            <w:shd w:fill="F6F3EA"/>
            <w:vAlign w:val="top"/>
          </w:tcPr>
          <w:p>
            <w:pPr>
              <w:spacing w:after="0"/>
            </w:pPr>
            <w:r/>
            <w:r>
              <w:rPr>
                <w:rFonts w:ascii="Liberation Sans" w:hAnsi="Liberation Sans"/>
                <w:b w:val="0"/>
                <w:color w:val="071323"/>
                <w:sz w:val="16"/>
              </w:rPr>
              <w:t>Validation becomes unaccountable.</w:t>
            </w:r>
          </w:p>
        </w:tc>
      </w:tr>
      <w:tr>
        <w:tc>
          <w:tcPr>
            <w:tcW w:type="dxa" w:w="3360"/>
            <w:vAlign w:val="top"/>
          </w:tcPr>
          <w:p>
            <w:pPr>
              <w:spacing w:after="0"/>
            </w:pPr>
            <w:r/>
            <w:r>
              <w:rPr>
                <w:rFonts w:ascii="Liberation Sans" w:hAnsi="Liberation Sans"/>
                <w:b w:val="0"/>
                <w:color w:val="071323"/>
                <w:sz w:val="16"/>
              </w:rPr>
              <w:t>Cost/risk ledger</w:t>
            </w:r>
          </w:p>
        </w:tc>
        <w:tc>
          <w:tcPr>
            <w:tcW w:type="dxa" w:w="3360"/>
            <w:vAlign w:val="top"/>
          </w:tcPr>
          <w:p>
            <w:pPr>
              <w:spacing w:after="0"/>
            </w:pPr>
            <w:r/>
            <w:r>
              <w:rPr>
                <w:rFonts w:ascii="Liberation Sans" w:hAnsi="Liberation Sans"/>
                <w:b w:val="0"/>
                <w:color w:val="071323"/>
                <w:sz w:val="16"/>
              </w:rPr>
              <w:t>Records spend, latency, risk class, safety notes, and policy status.</w:t>
            </w:r>
          </w:p>
        </w:tc>
        <w:tc>
          <w:tcPr>
            <w:tcW w:type="dxa" w:w="3360"/>
            <w:vAlign w:val="top"/>
          </w:tcPr>
          <w:p>
            <w:pPr>
              <w:spacing w:after="0"/>
            </w:pPr>
            <w:r/>
            <w:r>
              <w:rPr>
                <w:rFonts w:ascii="Liberation Sans" w:hAnsi="Liberation Sans"/>
                <w:b w:val="0"/>
                <w:color w:val="071323"/>
                <w:sz w:val="16"/>
              </w:rPr>
              <w:t>Utility may be overstated.</w:t>
            </w:r>
          </w:p>
        </w:tc>
      </w:tr>
      <w:tr>
        <w:tc>
          <w:tcPr>
            <w:tcW w:type="dxa" w:w="3360"/>
            <w:shd w:fill="F6F3EA"/>
            <w:vAlign w:val="top"/>
          </w:tcPr>
          <w:p>
            <w:pPr>
              <w:spacing w:after="0"/>
            </w:pPr>
            <w:r/>
            <w:r>
              <w:rPr>
                <w:rFonts w:ascii="Liberation Sans" w:hAnsi="Liberation Sans"/>
                <w:b w:val="0"/>
                <w:color w:val="071323"/>
                <w:sz w:val="16"/>
              </w:rPr>
              <w:t>Rollout/rollback</w:t>
            </w:r>
          </w:p>
        </w:tc>
        <w:tc>
          <w:tcPr>
            <w:tcW w:type="dxa" w:w="3360"/>
            <w:shd w:fill="F6F3EA"/>
            <w:vAlign w:val="top"/>
          </w:tcPr>
          <w:p>
            <w:pPr>
              <w:spacing w:after="0"/>
            </w:pPr>
            <w:r/>
            <w:r>
              <w:rPr>
                <w:rFonts w:ascii="Liberation Sans" w:hAnsi="Liberation Sans"/>
                <w:b w:val="0"/>
                <w:color w:val="071323"/>
                <w:sz w:val="16"/>
              </w:rPr>
              <w:t>Defines canary scope and recovery target.</w:t>
            </w:r>
          </w:p>
        </w:tc>
        <w:tc>
          <w:tcPr>
            <w:tcW w:type="dxa" w:w="3360"/>
            <w:shd w:fill="F6F3EA"/>
            <w:vAlign w:val="top"/>
          </w:tcPr>
          <w:p>
            <w:pPr>
              <w:spacing w:after="0"/>
            </w:pPr>
            <w:r/>
            <w:r>
              <w:rPr>
                <w:rFonts w:ascii="Liberation Sans" w:hAnsi="Liberation Sans"/>
                <w:b w:val="0"/>
                <w:color w:val="071323"/>
                <w:sz w:val="16"/>
              </w:rPr>
              <w:t>Propagation becomes unsafe.</w:t>
            </w:r>
          </w:p>
        </w:tc>
      </w:tr>
    </w:tbl>
    <w:p>
      <w:pPr>
        <w:spacing w:after="40"/>
      </w:pPr>
    </w:p>
    <w:p>
      <w:r>
        <w:br w:type="page"/>
      </w:r>
    </w:p>
    <w:p>
      <w:pPr>
        <w:pStyle w:val="Heading1"/>
        <w:spacing w:before="0" w:after="120"/>
      </w:pPr>
      <w:r>
        <w:rPr>
          <w:rFonts w:ascii="Liberation Sans" w:hAnsi="Liberation Sans"/>
        </w:rPr>
        <w:t>11. Settlement, Credentials, Reputation, and Access</w:t>
      </w:r>
    </w:p>
    <w:p>
      <w:pPr>
        <w:spacing w:before="0" w:after="120"/>
      </w:pPr>
      <w:r>
        <w:rPr>
          <w:rFonts w:ascii="Liberation Sans" w:hAnsi="Liberation Sans"/>
        </w:rPr>
        <w:t>Accepted proof does more than release rewards. It issues public-safe Proof Cards, non-transferable credentials, reputation updates, and better-mission eligibility. This turns work into trust. It also prevents unproven claims from contaminating future routing decisions.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0263F"/>
          </w:tcPr>
          <w:p>
            <w:pPr>
              <w:spacing w:after="0"/>
            </w:pPr>
            <w:r/>
            <w:r>
              <w:rPr>
                <w:rFonts w:ascii="Liberation Sans" w:hAnsi="Liberation Sans"/>
                <w:b/>
                <w:color w:val="FFFFFF"/>
                <w:sz w:val="16"/>
              </w:rPr>
              <w:t>Primitive</w:t>
            </w:r>
          </w:p>
        </w:tc>
        <w:tc>
          <w:tcPr>
            <w:tcW w:type="dxa" w:w="3360"/>
            <w:shd w:fill="10263F"/>
          </w:tcPr>
          <w:p>
            <w:pPr>
              <w:spacing w:after="0"/>
            </w:pPr>
            <w:r/>
            <w:r>
              <w:rPr>
                <w:rFonts w:ascii="Liberation Sans" w:hAnsi="Liberation Sans"/>
                <w:b/>
                <w:color w:val="FFFFFF"/>
                <w:sz w:val="16"/>
              </w:rPr>
              <w:t>Function</w:t>
            </w:r>
          </w:p>
        </w:tc>
        <w:tc>
          <w:tcPr>
            <w:tcW w:type="dxa" w:w="3360"/>
            <w:shd w:fill="10263F"/>
          </w:tcPr>
          <w:p>
            <w:pPr>
              <w:spacing w:after="0"/>
            </w:pPr>
            <w:r/>
            <w:r>
              <w:rPr>
                <w:rFonts w:ascii="Liberation Sans" w:hAnsi="Liberation Sans"/>
                <w:b/>
                <w:color w:val="FFFFFF"/>
                <w:sz w:val="16"/>
              </w:rPr>
              <w:t>Why it compounds</w:t>
            </w:r>
          </w:p>
        </w:tc>
      </w:tr>
      <w:tr>
        <w:tc>
          <w:tcPr>
            <w:tcW w:type="dxa" w:w="3360"/>
            <w:vAlign w:val="top"/>
          </w:tcPr>
          <w:p>
            <w:pPr>
              <w:spacing w:after="0"/>
            </w:pPr>
            <w:r/>
            <w:r>
              <w:rPr>
                <w:rFonts w:ascii="Liberation Sans" w:hAnsi="Liberation Sans"/>
                <w:b w:val="0"/>
                <w:color w:val="071323"/>
                <w:sz w:val="16"/>
              </w:rPr>
              <w:t>Proof Card</w:t>
            </w:r>
          </w:p>
        </w:tc>
        <w:tc>
          <w:tcPr>
            <w:tcW w:type="dxa" w:w="3360"/>
            <w:vAlign w:val="top"/>
          </w:tcPr>
          <w:p>
            <w:pPr>
              <w:spacing w:after="0"/>
            </w:pPr>
            <w:r/>
            <w:r>
              <w:rPr>
                <w:rFonts w:ascii="Liberation Sans" w:hAnsi="Liberation Sans"/>
                <w:b w:val="0"/>
                <w:color w:val="071323"/>
                <w:sz w:val="16"/>
              </w:rPr>
              <w:t>Public-safe summary of what improved and how it was validated.</w:t>
            </w:r>
          </w:p>
        </w:tc>
        <w:tc>
          <w:tcPr>
            <w:tcW w:type="dxa" w:w="3360"/>
            <w:vAlign w:val="top"/>
          </w:tcPr>
          <w:p>
            <w:pPr>
              <w:spacing w:after="0"/>
            </w:pPr>
            <w:r/>
            <w:r>
              <w:rPr>
                <w:rFonts w:ascii="Liberation Sans" w:hAnsi="Liberation Sans"/>
                <w:b w:val="0"/>
                <w:color w:val="071323"/>
                <w:sz w:val="16"/>
              </w:rPr>
              <w:t>Sponsors can understand progress without seeing private data.</w:t>
            </w:r>
          </w:p>
        </w:tc>
      </w:tr>
      <w:tr>
        <w:tc>
          <w:tcPr>
            <w:tcW w:type="dxa" w:w="3360"/>
            <w:shd w:fill="F6F3EA"/>
            <w:vAlign w:val="top"/>
          </w:tcPr>
          <w:p>
            <w:pPr>
              <w:spacing w:after="0"/>
            </w:pPr>
            <w:r/>
            <w:r>
              <w:rPr>
                <w:rFonts w:ascii="Liberation Sans" w:hAnsi="Liberation Sans"/>
                <w:b w:val="0"/>
                <w:color w:val="071323"/>
                <w:sz w:val="16"/>
              </w:rPr>
              <w:t>Credential</w:t>
            </w:r>
          </w:p>
        </w:tc>
        <w:tc>
          <w:tcPr>
            <w:tcW w:type="dxa" w:w="3360"/>
            <w:shd w:fill="F6F3EA"/>
            <w:vAlign w:val="top"/>
          </w:tcPr>
          <w:p>
            <w:pPr>
              <w:spacing w:after="0"/>
            </w:pPr>
            <w:r/>
            <w:r>
              <w:rPr>
                <w:rFonts w:ascii="Liberation Sans" w:hAnsi="Liberation Sans"/>
                <w:b w:val="0"/>
                <w:color w:val="071323"/>
                <w:sz w:val="16"/>
              </w:rPr>
              <w:t>Non-transferable record of approved proof work.</w:t>
            </w:r>
          </w:p>
        </w:tc>
        <w:tc>
          <w:tcPr>
            <w:tcW w:type="dxa" w:w="3360"/>
            <w:shd w:fill="F6F3EA"/>
            <w:vAlign w:val="top"/>
          </w:tcPr>
          <w:p>
            <w:pPr>
              <w:spacing w:after="0"/>
            </w:pPr>
            <w:r/>
            <w:r>
              <w:rPr>
                <w:rFonts w:ascii="Liberation Sans" w:hAnsi="Liberation Sans"/>
                <w:b w:val="0"/>
                <w:color w:val="071323"/>
                <w:sz w:val="16"/>
              </w:rPr>
              <w:t>Builders and reviewers become legible across future missions.</w:t>
            </w:r>
          </w:p>
        </w:tc>
      </w:tr>
      <w:tr>
        <w:tc>
          <w:tcPr>
            <w:tcW w:type="dxa" w:w="3360"/>
            <w:vAlign w:val="top"/>
          </w:tcPr>
          <w:p>
            <w:pPr>
              <w:spacing w:after="0"/>
            </w:pPr>
            <w:r/>
            <w:r>
              <w:rPr>
                <w:rFonts w:ascii="Liberation Sans" w:hAnsi="Liberation Sans"/>
                <w:b w:val="0"/>
                <w:color w:val="071323"/>
                <w:sz w:val="16"/>
              </w:rPr>
              <w:t>Reputation</w:t>
            </w:r>
          </w:p>
        </w:tc>
        <w:tc>
          <w:tcPr>
            <w:tcW w:type="dxa" w:w="3360"/>
            <w:vAlign w:val="top"/>
          </w:tcPr>
          <w:p>
            <w:pPr>
              <w:spacing w:after="0"/>
            </w:pPr>
            <w:r/>
            <w:r>
              <w:rPr>
                <w:rFonts w:ascii="Liberation Sans" w:hAnsi="Liberation Sans"/>
                <w:b w:val="0"/>
                <w:color w:val="071323"/>
                <w:sz w:val="16"/>
              </w:rPr>
              <w:t>Weighted history of approved work, review quality, challenges, and reliability.</w:t>
            </w:r>
          </w:p>
        </w:tc>
        <w:tc>
          <w:tcPr>
            <w:tcW w:type="dxa" w:w="3360"/>
            <w:vAlign w:val="top"/>
          </w:tcPr>
          <w:p>
            <w:pPr>
              <w:spacing w:after="0"/>
            </w:pPr>
            <w:r/>
            <w:r>
              <w:rPr>
                <w:rFonts w:ascii="Liberation Sans" w:hAnsi="Liberation Sans"/>
                <w:b w:val="0"/>
                <w:color w:val="071323"/>
                <w:sz w:val="16"/>
              </w:rPr>
              <w:t>Routing improves because trust is based on proof, not marketing.</w:t>
            </w:r>
          </w:p>
        </w:tc>
      </w:tr>
      <w:tr>
        <w:tc>
          <w:tcPr>
            <w:tcW w:type="dxa" w:w="3360"/>
            <w:shd w:fill="F6F3EA"/>
            <w:vAlign w:val="top"/>
          </w:tcPr>
          <w:p>
            <w:pPr>
              <w:spacing w:after="0"/>
            </w:pPr>
            <w:r/>
            <w:r>
              <w:rPr>
                <w:rFonts w:ascii="Liberation Sans" w:hAnsi="Liberation Sans"/>
                <w:b w:val="0"/>
                <w:color w:val="071323"/>
                <w:sz w:val="16"/>
              </w:rPr>
              <w:t>Proof-backed upgrade right</w:t>
            </w:r>
          </w:p>
        </w:tc>
        <w:tc>
          <w:tcPr>
            <w:tcW w:type="dxa" w:w="3360"/>
            <w:shd w:fill="F6F3EA"/>
            <w:vAlign w:val="top"/>
          </w:tcPr>
          <w:p>
            <w:pPr>
              <w:spacing w:after="0"/>
            </w:pPr>
            <w:r/>
            <w:r>
              <w:rPr>
                <w:rFonts w:ascii="Liberation Sans" w:hAnsi="Liberation Sans"/>
                <w:b w:val="0"/>
                <w:color w:val="071323"/>
                <w:sz w:val="16"/>
              </w:rPr>
              <w:t>Earned right for an artifact to influence future work.</w:t>
            </w:r>
          </w:p>
        </w:tc>
        <w:tc>
          <w:tcPr>
            <w:tcW w:type="dxa" w:w="3360"/>
            <w:shd w:fill="F6F3EA"/>
            <w:vAlign w:val="top"/>
          </w:tcPr>
          <w:p>
            <w:pPr>
              <w:spacing w:after="0"/>
            </w:pPr>
            <w:r/>
            <w:r>
              <w:rPr>
                <w:rFonts w:ascii="Liberation Sans" w:hAnsi="Liberation Sans"/>
                <w:b w:val="0"/>
                <w:color w:val="071323"/>
                <w:sz w:val="16"/>
              </w:rPr>
              <w:t>Capability compounds without unverified contagion.</w:t>
            </w:r>
          </w:p>
        </w:tc>
      </w:tr>
    </w:tbl>
    <w:p>
      <w:pPr>
        <w:spacing w:after="40"/>
      </w:pPr>
    </w:p>
    <w:p>
      <w:r>
        <w:br w:type="page"/>
      </w:r>
    </w:p>
    <w:p>
      <w:pPr>
        <w:pStyle w:val="Heading1"/>
        <w:spacing w:before="0" w:after="120"/>
      </w:pPr>
      <w:r>
        <w:rPr>
          <w:rFonts w:ascii="Liberation Sans" w:hAnsi="Liberation Sans"/>
        </w:rPr>
        <w:t>12. Capacity Reinvestment and the Strategic Horizon</w:t>
      </w:r>
    </w:p>
    <w:p>
      <w:pPr>
        <w:spacing w:before="0" w:after="120"/>
      </w:pPr>
      <w:r>
        <w:rPr>
          <w:rFonts w:ascii="Liberation Sans" w:hAnsi="Liberation Sans"/>
        </w:rPr>
        <w:t>The civilization-scale horizon is treated as a measurement ladder, not a present-tense claim. The near-term objective is to convert verified work into reusable capability, then into productive capacity, then into compute, tools, data, validator quality, energy efficiency, and stronger future missions. This is the practical bridge from work to capacity.</w:t>
      </w:r>
    </w:p>
    <w:p>
      <w:pPr>
        <w:spacing w:after="80"/>
        <w:jc w:val="center"/>
      </w:pPr>
      <w:r>
        <w:drawing>
          <wp:inline xmlns:a="http://schemas.openxmlformats.org/drawingml/2006/main" xmlns:pic="http://schemas.openxmlformats.org/drawingml/2006/picture">
            <wp:extent cx="6217920" cy="6217920"/>
            <wp:docPr id="5" name="Picture 5"/>
            <wp:cNvGraphicFramePr>
              <a:graphicFrameLocks noChangeAspect="1"/>
            </wp:cNvGraphicFramePr>
            <a:graphic>
              <a:graphicData uri="http://schemas.openxmlformats.org/drawingml/2006/picture">
                <pic:pic>
                  <pic:nvPicPr>
                    <pic:cNvPr id="0" name="fig5_capacity_flywheel.png"/>
                    <pic:cNvPicPr/>
                  </pic:nvPicPr>
                  <pic:blipFill>
                    <a:blip r:embed="rId15"/>
                    <a:stretch>
                      <a:fillRect/>
                    </a:stretch>
                  </pic:blipFill>
                  <pic:spPr>
                    <a:xfrm>
                      <a:off x="0" y="0"/>
                      <a:ext cx="6217920" cy="6217920"/>
                    </a:xfrm>
                    <a:prstGeom prst="rect"/>
                  </pic:spPr>
                </pic:pic>
              </a:graphicData>
            </a:graphic>
          </wp:inline>
        </w:drawing>
      </w:r>
    </w:p>
    <w:p>
      <w:pPr>
        <w:pStyle w:val="Heading1"/>
        <w:spacing w:before="0" w:after="120"/>
      </w:pPr>
      <w:r>
        <w:rPr>
          <w:rFonts w:ascii="Liberation Sans" w:hAnsi="Liberation Sans"/>
        </w:rPr>
        <w:t>13. Readiness Ladder</w:t>
      </w:r>
    </w:p>
    <w:p>
      <w:pPr>
        <w:spacing w:before="0" w:after="120"/>
      </w:pPr>
      <w:r>
        <w:rPr>
          <w:rFonts w:ascii="Liberation Sans" w:hAnsi="Liberation Sans"/>
        </w:rPr>
        <w:t>Architecture, evidence tooling, and repository hygiene can be strong before deployment authorization exists. Mainnet authorization remains evidence-gated: compile, tests, rehearsal, docket, external review, legal/tax/security review, governance ceremony, public claims review, and founder approval.</w:t>
      </w:r>
    </w:p>
    <w:p>
      <w:pPr>
        <w:spacing w:after="80"/>
        <w:jc w:val="center"/>
      </w:pPr>
      <w:r>
        <w:drawing>
          <wp:inline xmlns:a="http://schemas.openxmlformats.org/drawingml/2006/main" xmlns:pic="http://schemas.openxmlformats.org/drawingml/2006/picture">
            <wp:extent cx="6217920" cy="3309761"/>
            <wp:docPr id="6" name="Picture 6"/>
            <wp:cNvGraphicFramePr>
              <a:graphicFrameLocks noChangeAspect="1"/>
            </wp:cNvGraphicFramePr>
            <a:graphic>
              <a:graphicData uri="http://schemas.openxmlformats.org/drawingml/2006/picture">
                <pic:pic>
                  <pic:nvPicPr>
                    <pic:cNvPr id="0" name="fig6_readiness_ladder.png"/>
                    <pic:cNvPicPr/>
                  </pic:nvPicPr>
                  <pic:blipFill>
                    <a:blip r:embed="rId16"/>
                    <a:stretch>
                      <a:fillRect/>
                    </a:stretch>
                  </pic:blipFill>
                  <pic:spPr>
                    <a:xfrm>
                      <a:off x="0" y="0"/>
                      <a:ext cx="6217920" cy="3309761"/>
                    </a:xfrm>
                    <a:prstGeom prst="rect"/>
                  </pic:spPr>
                </pic:pic>
              </a:graphicData>
            </a:graphic>
          </wp:inline>
        </w:drawing>
      </w:r>
    </w:p>
    <w:p>
      <w:r>
        <w:br w:type="page"/>
      </w:r>
    </w:p>
    <w:p>
      <w:pPr>
        <w:pStyle w:val="Heading1"/>
        <w:spacing w:before="0" w:after="120"/>
      </w:pPr>
      <w:r>
        <w:rPr>
          <w:rFonts w:ascii="Liberation Sans" w:hAnsi="Liberation Sans"/>
        </w:rPr>
        <w:t>14. Season 001 Proof Mission Program</w:t>
      </w:r>
    </w:p>
    <w:p>
      <w:pPr>
        <w:spacing w:before="0" w:after="120"/>
      </w:pPr>
      <w:r>
        <w:rPr>
          <w:rFonts w:ascii="Liberation Sans" w:hAnsi="Liberation Sans"/>
        </w:rPr>
        <w:t>Season 001 should begin with a narrow proof program, not a broad-market launch. The first missions must create proof cards, reviewer history, and evidence discipline. Five missions are sufficient to establish the loop: support workflow, claims-safe launch, workshop qualification, sponsor mission design, and reviewer quality.</w:t>
      </w:r>
    </w:p>
    <w:p>
      <w:pPr>
        <w:spacing w:after="80"/>
        <w:jc w:val="center"/>
      </w:pPr>
      <w:r>
        <w:drawing>
          <wp:inline xmlns:a="http://schemas.openxmlformats.org/drawingml/2006/main" xmlns:pic="http://schemas.openxmlformats.org/drawingml/2006/picture">
            <wp:extent cx="6217920" cy="2232474"/>
            <wp:docPr id="7" name="Picture 7"/>
            <wp:cNvGraphicFramePr>
              <a:graphicFrameLocks noChangeAspect="1"/>
            </wp:cNvGraphicFramePr>
            <a:graphic>
              <a:graphicData uri="http://schemas.openxmlformats.org/drawingml/2006/picture">
                <pic:pic>
                  <pic:nvPicPr>
                    <pic:cNvPr id="0" name="fig7_season001_program.png"/>
                    <pic:cNvPicPr/>
                  </pic:nvPicPr>
                  <pic:blipFill>
                    <a:blip r:embed="rId17"/>
                    <a:stretch>
                      <a:fillRect/>
                    </a:stretch>
                  </pic:blipFill>
                  <pic:spPr>
                    <a:xfrm>
                      <a:off x="0" y="0"/>
                      <a:ext cx="6217920" cy="2232474"/>
                    </a:xfrm>
                    <a:prstGeom prst="rect"/>
                  </pic:spPr>
                </pic:pic>
              </a:graphicData>
            </a:graphic>
          </wp:inline>
        </w:drawing>
      </w:r>
    </w:p>
    <w:p>
      <w:pPr>
        <w:pStyle w:val="Heading1"/>
        <w:spacing w:before="0" w:after="120"/>
      </w:pPr>
      <w:r>
        <w:rPr>
          <w:rFonts w:ascii="Liberation Sans" w:hAnsi="Liberation Sans"/>
        </w:rPr>
        <w:t>15. Proof Gradient Selection Law</w:t>
      </w:r>
    </w:p>
    <w:p>
      <w:pPr>
        <w:spacing w:before="0" w:after="120"/>
      </w:pPr>
      <w:r>
        <w:rPr>
          <w:rFonts w:ascii="Liberation Sans" w:hAnsi="Liberation Sans"/>
        </w:rPr>
        <w:t>The selection law is simple: an upgrade may influence future work only if it demonstrates positive verified value under bounded risk and rollback readiness. Formally:</w:t>
      </w:r>
    </w:p>
    <w:p>
      <w:pPr>
        <w:spacing w:before="0" w:after="120"/>
        <w:jc w:val="center"/>
      </w:pPr>
      <w:r>
        <w:rPr>
          <w:rFonts w:ascii="Liberation Sans" w:hAnsi="Liberation Sans"/>
          <w:b/>
          <w:color w:val="10263F"/>
          <w:sz w:val="22"/>
        </w:rPr>
        <w:t>Promote(u) = 1 iff Proof(u) ∧ EvalPass(u) ∧ RiskOK(u) ∧ ScopeOK(u) ∧ CanaryOK(u) ∧ MonitorOK(u) ∧ RollbackReady(u).</w:t>
      </w:r>
    </w:p>
    <w:p>
      <w:pPr>
        <w:spacing w:before="0" w:after="120"/>
      </w:pPr>
      <w:r>
        <w:rPr>
          <w:rFonts w:ascii="Liberation Sans" w:hAnsi="Liberation Sans"/>
        </w:rPr>
        <w:t>Rejected candidates remain valuable. They become negative controls, failure examples, red-team material, and future benchmark cases. A proof system that hides failure cannot claim to govern improvement.</w:t>
      </w:r>
    </w:p>
    <w:p>
      <w:r>
        <w:br w:type="page"/>
      </w:r>
    </w:p>
    <w:p>
      <w:pPr>
        <w:pStyle w:val="Heading1"/>
        <w:spacing w:before="0" w:after="120"/>
      </w:pPr>
      <w:r>
        <w:rPr>
          <w:rFonts w:ascii="Liberation Sans" w:hAnsi="Liberation Sans"/>
        </w:rPr>
        <w:t>16. Falsification Tests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0263F"/>
          </w:tcPr>
          <w:p>
            <w:pPr>
              <w:spacing w:after="0"/>
            </w:pPr>
            <w:r/>
            <w:r>
              <w:rPr>
                <w:rFonts w:ascii="Liberation Sans" w:hAnsi="Liberation Sans"/>
                <w:b/>
                <w:color w:val="FFFFFF"/>
                <w:sz w:val="16"/>
              </w:rPr>
              <w:t>Failure condition</w:t>
            </w:r>
          </w:p>
        </w:tc>
        <w:tc>
          <w:tcPr>
            <w:tcW w:type="dxa" w:w="3360"/>
            <w:shd w:fill="10263F"/>
          </w:tcPr>
          <w:p>
            <w:pPr>
              <w:spacing w:after="0"/>
            </w:pPr>
            <w:r/>
            <w:r>
              <w:rPr>
                <w:rFonts w:ascii="Liberation Sans" w:hAnsi="Liberation Sans"/>
                <w:b/>
                <w:color w:val="FFFFFF"/>
                <w:sz w:val="16"/>
              </w:rPr>
              <w:t>Meaning</w:t>
            </w:r>
          </w:p>
        </w:tc>
        <w:tc>
          <w:tcPr>
            <w:tcW w:type="dxa" w:w="3360"/>
            <w:shd w:fill="10263F"/>
          </w:tcPr>
          <w:p>
            <w:pPr>
              <w:spacing w:after="0"/>
            </w:pPr>
            <w:r/>
            <w:r>
              <w:rPr>
                <w:rFonts w:ascii="Liberation Sans" w:hAnsi="Liberation Sans"/>
                <w:b/>
                <w:color w:val="FFFFFF"/>
                <w:sz w:val="16"/>
              </w:rPr>
              <w:t>Required response</w:t>
            </w:r>
          </w:p>
        </w:tc>
      </w:tr>
      <w:tr>
        <w:tc>
          <w:tcPr>
            <w:tcW w:type="dxa" w:w="3360"/>
            <w:vAlign w:val="top"/>
          </w:tcPr>
          <w:p>
            <w:pPr>
              <w:spacing w:after="0"/>
            </w:pPr>
            <w:r/>
            <w:r>
              <w:rPr>
                <w:rFonts w:ascii="Liberation Sans" w:hAnsi="Liberation Sans"/>
                <w:b w:val="0"/>
                <w:color w:val="071323"/>
                <w:sz w:val="16"/>
              </w:rPr>
              <w:t>Proof is not predictive</w:t>
            </w:r>
          </w:p>
        </w:tc>
        <w:tc>
          <w:tcPr>
            <w:tcW w:type="dxa" w:w="3360"/>
            <w:vAlign w:val="top"/>
          </w:tcPr>
          <w:p>
            <w:pPr>
              <w:spacing w:after="0"/>
            </w:pPr>
            <w:r/>
            <w:r>
              <w:rPr>
                <w:rFonts w:ascii="Liberation Sans" w:hAnsi="Liberation Sans"/>
                <w:b w:val="0"/>
                <w:color w:val="071323"/>
                <w:sz w:val="16"/>
              </w:rPr>
              <w:t>Accepted artifacts fail on hidden future tasks.</w:t>
            </w:r>
          </w:p>
        </w:tc>
        <w:tc>
          <w:tcPr>
            <w:tcW w:type="dxa" w:w="3360"/>
            <w:vAlign w:val="top"/>
          </w:tcPr>
          <w:p>
            <w:pPr>
              <w:spacing w:after="0"/>
            </w:pPr>
            <w:r/>
            <w:r>
              <w:rPr>
                <w:rFonts w:ascii="Liberation Sans" w:hAnsi="Liberation Sans"/>
                <w:b w:val="0"/>
                <w:color w:val="071323"/>
                <w:sz w:val="16"/>
              </w:rPr>
              <w:t>Tighten proof standards and reduce propagation scope.</w:t>
            </w:r>
          </w:p>
        </w:tc>
      </w:tr>
      <w:tr>
        <w:tc>
          <w:tcPr>
            <w:tcW w:type="dxa" w:w="3360"/>
            <w:shd w:fill="F6F3EA"/>
            <w:vAlign w:val="top"/>
          </w:tcPr>
          <w:p>
            <w:pPr>
              <w:spacing w:after="0"/>
            </w:pPr>
            <w:r/>
            <w:r>
              <w:rPr>
                <w:rFonts w:ascii="Liberation Sans" w:hAnsi="Liberation Sans"/>
                <w:b w:val="0"/>
                <w:color w:val="071323"/>
                <w:sz w:val="16"/>
              </w:rPr>
              <w:t>Baselines win</w:t>
            </w:r>
          </w:p>
        </w:tc>
        <w:tc>
          <w:tcPr>
            <w:tcW w:type="dxa" w:w="3360"/>
            <w:shd w:fill="F6F3EA"/>
            <w:vAlign w:val="top"/>
          </w:tcPr>
          <w:p>
            <w:pPr>
              <w:spacing w:after="0"/>
            </w:pPr>
            <w:r/>
            <w:r>
              <w:rPr>
                <w:rFonts w:ascii="Liberation Sans" w:hAnsi="Liberation Sans"/>
                <w:b w:val="0"/>
                <w:color w:val="071323"/>
                <w:sz w:val="16"/>
              </w:rPr>
              <w:t>Static or ordinary agent workflows beat accepted upgrades.</w:t>
            </w:r>
          </w:p>
        </w:tc>
        <w:tc>
          <w:tcPr>
            <w:tcW w:type="dxa" w:w="3360"/>
            <w:shd w:fill="F6F3EA"/>
            <w:vAlign w:val="top"/>
          </w:tcPr>
          <w:p>
            <w:pPr>
              <w:spacing w:after="0"/>
            </w:pPr>
            <w:r/>
            <w:r>
              <w:rPr>
                <w:rFonts w:ascii="Liberation Sans" w:hAnsi="Liberation Sans"/>
                <w:b w:val="0"/>
                <w:color w:val="071323"/>
                <w:sz w:val="16"/>
              </w:rPr>
              <w:t>Reject upgrade class; publish negative result.</w:t>
            </w:r>
          </w:p>
        </w:tc>
      </w:tr>
      <w:tr>
        <w:tc>
          <w:tcPr>
            <w:tcW w:type="dxa" w:w="3360"/>
            <w:vAlign w:val="top"/>
          </w:tcPr>
          <w:p>
            <w:pPr>
              <w:spacing w:after="0"/>
            </w:pPr>
            <w:r/>
            <w:r>
              <w:rPr>
                <w:rFonts w:ascii="Liberation Sans" w:hAnsi="Liberation Sans"/>
                <w:b w:val="0"/>
                <w:color w:val="071323"/>
                <w:sz w:val="16"/>
              </w:rPr>
              <w:t>Gate is gameable</w:t>
            </w:r>
          </w:p>
        </w:tc>
        <w:tc>
          <w:tcPr>
            <w:tcW w:type="dxa" w:w="3360"/>
            <w:vAlign w:val="top"/>
          </w:tcPr>
          <w:p>
            <w:pPr>
              <w:spacing w:after="0"/>
            </w:pPr>
            <w:r/>
            <w:r>
              <w:rPr>
                <w:rFonts w:ascii="Liberation Sans" w:hAnsi="Liberation Sans"/>
                <w:b w:val="0"/>
                <w:color w:val="071323"/>
                <w:sz w:val="16"/>
              </w:rPr>
              <w:t>Candidates exploit proxy metrics or evaluator weaknesses.</w:t>
            </w:r>
          </w:p>
        </w:tc>
        <w:tc>
          <w:tcPr>
            <w:tcW w:type="dxa" w:w="3360"/>
            <w:vAlign w:val="top"/>
          </w:tcPr>
          <w:p>
            <w:pPr>
              <w:spacing w:after="0"/>
            </w:pPr>
            <w:r/>
            <w:r>
              <w:rPr>
                <w:rFonts w:ascii="Liberation Sans" w:hAnsi="Liberation Sans"/>
                <w:b w:val="0"/>
                <w:color w:val="071323"/>
                <w:sz w:val="16"/>
              </w:rPr>
              <w:t>Change metrics, add adversarial reviews.</w:t>
            </w:r>
          </w:p>
        </w:tc>
      </w:tr>
      <w:tr>
        <w:tc>
          <w:tcPr>
            <w:tcW w:type="dxa" w:w="3360"/>
            <w:shd w:fill="F6F3EA"/>
            <w:vAlign w:val="top"/>
          </w:tcPr>
          <w:p>
            <w:pPr>
              <w:spacing w:after="0"/>
            </w:pPr>
            <w:r/>
            <w:r>
              <w:rPr>
                <w:rFonts w:ascii="Liberation Sans" w:hAnsi="Liberation Sans"/>
                <w:b w:val="0"/>
                <w:color w:val="071323"/>
                <w:sz w:val="16"/>
              </w:rPr>
              <w:t>Rollback fails</w:t>
            </w:r>
          </w:p>
        </w:tc>
        <w:tc>
          <w:tcPr>
            <w:tcW w:type="dxa" w:w="3360"/>
            <w:shd w:fill="F6F3EA"/>
            <w:vAlign w:val="top"/>
          </w:tcPr>
          <w:p>
            <w:pPr>
              <w:spacing w:after="0"/>
            </w:pPr>
            <w:r/>
            <w:r>
              <w:rPr>
                <w:rFonts w:ascii="Liberation Sans" w:hAnsi="Liberation Sans"/>
                <w:b w:val="0"/>
                <w:color w:val="071323"/>
                <w:sz w:val="16"/>
              </w:rPr>
              <w:t>Promoted artifacts cannot be safely reverted.</w:t>
            </w:r>
          </w:p>
        </w:tc>
        <w:tc>
          <w:tcPr>
            <w:tcW w:type="dxa" w:w="3360"/>
            <w:shd w:fill="F6F3EA"/>
            <w:vAlign w:val="top"/>
          </w:tcPr>
          <w:p>
            <w:pPr>
              <w:spacing w:after="0"/>
            </w:pPr>
            <w:r/>
            <w:r>
              <w:rPr>
                <w:rFonts w:ascii="Liberation Sans" w:hAnsi="Liberation Sans"/>
                <w:b w:val="0"/>
                <w:color w:val="071323"/>
                <w:sz w:val="16"/>
              </w:rPr>
              <w:t>Suspend propagation and repair rollback registry.</w:t>
            </w:r>
          </w:p>
        </w:tc>
      </w:tr>
      <w:tr>
        <w:tc>
          <w:tcPr>
            <w:tcW w:type="dxa" w:w="3360"/>
            <w:vAlign w:val="top"/>
          </w:tcPr>
          <w:p>
            <w:pPr>
              <w:spacing w:after="0"/>
            </w:pPr>
            <w:r/>
            <w:r>
              <w:rPr>
                <w:rFonts w:ascii="Liberation Sans" w:hAnsi="Liberation Sans"/>
                <w:b w:val="0"/>
                <w:color w:val="071323"/>
                <w:sz w:val="16"/>
              </w:rPr>
              <w:t>Evidence is unreplayable</w:t>
            </w:r>
          </w:p>
        </w:tc>
        <w:tc>
          <w:tcPr>
            <w:tcW w:type="dxa" w:w="3360"/>
            <w:vAlign w:val="top"/>
          </w:tcPr>
          <w:p>
            <w:pPr>
              <w:spacing w:after="0"/>
            </w:pPr>
            <w:r/>
            <w:r>
              <w:rPr>
                <w:rFonts w:ascii="Liberation Sans" w:hAnsi="Liberation Sans"/>
                <w:b w:val="0"/>
                <w:color w:val="071323"/>
                <w:sz w:val="16"/>
              </w:rPr>
              <w:t>Dockets cannot be independently inspected.</w:t>
            </w:r>
          </w:p>
        </w:tc>
        <w:tc>
          <w:tcPr>
            <w:tcW w:type="dxa" w:w="3360"/>
            <w:vAlign w:val="top"/>
          </w:tcPr>
          <w:p>
            <w:pPr>
              <w:spacing w:after="0"/>
            </w:pPr>
            <w:r/>
            <w:r>
              <w:rPr>
                <w:rFonts w:ascii="Liberation Sans" w:hAnsi="Liberation Sans"/>
                <w:b w:val="0"/>
                <w:color w:val="071323"/>
                <w:sz w:val="16"/>
              </w:rPr>
              <w:t>No settlement; no stronger claim.</w:t>
            </w:r>
          </w:p>
        </w:tc>
      </w:tr>
      <w:tr>
        <w:tc>
          <w:tcPr>
            <w:tcW w:type="dxa" w:w="3360"/>
            <w:shd w:fill="F6F3EA"/>
            <w:vAlign w:val="top"/>
          </w:tcPr>
          <w:p>
            <w:pPr>
              <w:spacing w:after="0"/>
            </w:pPr>
            <w:r/>
            <w:r>
              <w:rPr>
                <w:rFonts w:ascii="Liberation Sans" w:hAnsi="Liberation Sans"/>
                <w:b w:val="0"/>
                <w:color w:val="071323"/>
                <w:sz w:val="16"/>
              </w:rPr>
              <w:t>Overhead dominates</w:t>
            </w:r>
          </w:p>
        </w:tc>
        <w:tc>
          <w:tcPr>
            <w:tcW w:type="dxa" w:w="3360"/>
            <w:shd w:fill="F6F3EA"/>
            <w:vAlign w:val="top"/>
          </w:tcPr>
          <w:p>
            <w:pPr>
              <w:spacing w:after="0"/>
            </w:pPr>
            <w:r/>
            <w:r>
              <w:rPr>
                <w:rFonts w:ascii="Liberation Sans" w:hAnsi="Liberation Sans"/>
                <w:b w:val="0"/>
                <w:color w:val="071323"/>
                <w:sz w:val="16"/>
              </w:rPr>
              <w:t>Governance cost exceeds verified value.</w:t>
            </w:r>
          </w:p>
        </w:tc>
        <w:tc>
          <w:tcPr>
            <w:tcW w:type="dxa" w:w="3360"/>
            <w:shd w:fill="F6F3EA"/>
            <w:vAlign w:val="top"/>
          </w:tcPr>
          <w:p>
            <w:pPr>
              <w:spacing w:after="0"/>
            </w:pPr>
            <w:r/>
            <w:r>
              <w:rPr>
                <w:rFonts w:ascii="Liberation Sans" w:hAnsi="Liberation Sans"/>
                <w:b w:val="0"/>
                <w:color w:val="071323"/>
                <w:sz w:val="16"/>
              </w:rPr>
              <w:t>Reduce coordination burden and focus on higher-value missions.</w:t>
            </w:r>
          </w:p>
        </w:tc>
      </w:tr>
    </w:tbl>
    <w:p>
      <w:pPr>
        <w:spacing w:after="40"/>
      </w:pPr>
    </w:p>
    <w:p>
      <w:pPr>
        <w:pStyle w:val="Heading1"/>
        <w:spacing w:before="0" w:after="120"/>
      </w:pPr>
      <w:r>
        <w:rPr>
          <w:rFonts w:ascii="Liberation Sans" w:hAnsi="Liberation Sans"/>
        </w:rPr>
        <w:t>17. Claim Boundary</w:t>
      </w:r>
    </w:p>
    <w:p>
      <w:pPr>
        <w:spacing w:before="0" w:after="120"/>
      </w:pPr>
      <w:r>
        <w:rPr>
          <w:rFonts w:ascii="Liberation Sans" w:hAnsi="Liberation Sans"/>
        </w:rPr>
        <w:t>This paper defines a sovereign RSI architecture and a deployment program. It does not claim achieved AGI, ASI, superintelligence, autonomous sovereignty, guaranteed ROI, investment return, safety certification, legal approval, tax approval, security approval, energy abundance, or Kardashev Type II achievement. The claim becomes empirical only through real tasks, strong baselines, replayable ProofBundles, evaluator attestations, safety and cost ledgers, delayed-outcome checks, and independent review.</w:t>
      </w:r>
    </w:p>
    <w:p>
      <w:pPr>
        <w:pStyle w:val="Heading1"/>
        <w:spacing w:before="0" w:after="120"/>
      </w:pPr>
      <w:r>
        <w:rPr>
          <w:rFonts w:ascii="Liberation Sans" w:hAnsi="Liberation Sans"/>
        </w:rPr>
        <w:t>18. One-Page Constitution</w:t>
      </w:r>
    </w:p>
    <w:p>
      <w:pPr>
        <w:spacing w:before="0" w:after="120"/>
      </w:pPr>
      <w:r>
        <w:rPr>
          <w:rFonts w:ascii="Liberation Sans" w:hAnsi="Liberation Sans"/>
          <w:b/>
          <w:color w:val="071323"/>
          <w:sz w:val="23"/>
        </w:rPr>
        <w:t>Aim. Act. Prove. Evolve. GoalOS gives the institution direction. PlanOS gives it strategy. Capability OS gives it reusable ability. AGIALPHA coordinates proof-settled work. AEP-001 defines valid evidence. The Proof Gradient decides what may evolve. The Evolution Ledger records what happened. The Evidence Docket makes claims auditable. The Selection Gate promotes only what proved itself.</w:t>
      </w:r>
    </w:p>
    <w:p>
      <w:pPr>
        <w:spacing w:before="80" w:after="160"/>
        <w:jc w:val="center"/>
      </w:pPr>
      <w:r>
        <w:rPr>
          <w:rFonts w:ascii="Liberation Sans" w:hAnsi="Liberation Sans"/>
          <w:b/>
          <w:color w:val="B7892A"/>
          <w:sz w:val="26"/>
        </w:rPr>
        <w:t>A model can answer. An agent can act. A sovereign intelligence institution must prove.</w:t>
      </w:r>
    </w:p>
    <w:p>
      <w:r>
        <w:br w:type="page"/>
      </w:r>
    </w:p>
    <w:p>
      <w:pPr>
        <w:pStyle w:val="Heading1"/>
        <w:spacing w:before="0" w:after="120"/>
      </w:pPr>
      <w:r>
        <w:rPr>
          <w:rFonts w:ascii="Liberation Sans" w:hAnsi="Liberation Sans"/>
        </w:rPr>
        <w:t>19. Formal Object Model</w:t>
      </w:r>
    </w:p>
    <w:p>
      <w:pPr>
        <w:spacing w:before="0" w:after="120"/>
      </w:pPr>
      <w:r>
        <w:rPr>
          <w:rFonts w:ascii="Liberation Sans" w:hAnsi="Liberation Sans"/>
        </w:rPr>
        <w:t>The architecture is implementable because every important institutional event has a typed object. The point is not more paperwork; the point is that every future upgrade can be traced back to a mission, a run, a proof packet, a validation decision, a settlement event, a rollout receipt, and a rollback target.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0263F"/>
          </w:tcPr>
          <w:p>
            <w:pPr>
              <w:spacing w:after="0"/>
            </w:pPr>
            <w:r/>
            <w:r>
              <w:rPr>
                <w:rFonts w:ascii="Liberation Sans" w:hAnsi="Liberation Sans"/>
                <w:b/>
                <w:color w:val="FFFFFF"/>
                <w:sz w:val="16"/>
              </w:rPr>
              <w:t>Object</w:t>
            </w:r>
          </w:p>
        </w:tc>
        <w:tc>
          <w:tcPr>
            <w:tcW w:type="dxa" w:w="3360"/>
            <w:shd w:fill="10263F"/>
          </w:tcPr>
          <w:p>
            <w:pPr>
              <w:spacing w:after="0"/>
            </w:pPr>
            <w:r/>
            <w:r>
              <w:rPr>
                <w:rFonts w:ascii="Liberation Sans" w:hAnsi="Liberation Sans"/>
                <w:b/>
                <w:color w:val="FFFFFF"/>
                <w:sz w:val="16"/>
              </w:rPr>
              <w:t>Owner</w:t>
            </w:r>
          </w:p>
        </w:tc>
        <w:tc>
          <w:tcPr>
            <w:tcW w:type="dxa" w:w="3360"/>
            <w:shd w:fill="10263F"/>
          </w:tcPr>
          <w:p>
            <w:pPr>
              <w:spacing w:after="0"/>
            </w:pPr>
            <w:r/>
            <w:r>
              <w:rPr>
                <w:rFonts w:ascii="Liberation Sans" w:hAnsi="Liberation Sans"/>
                <w:b/>
                <w:color w:val="FFFFFF"/>
                <w:sz w:val="16"/>
              </w:rPr>
              <w:t>Decision it enables</w:t>
            </w:r>
          </w:p>
        </w:tc>
      </w:tr>
      <w:tr>
        <w:tc>
          <w:tcPr>
            <w:tcW w:type="dxa" w:w="3360"/>
            <w:vAlign w:val="top"/>
          </w:tcPr>
          <w:p>
            <w:pPr>
              <w:spacing w:after="0"/>
            </w:pPr>
            <w:r/>
            <w:r>
              <w:rPr>
                <w:rFonts w:ascii="Liberation Sans" w:hAnsi="Liberation Sans"/>
                <w:b w:val="0"/>
                <w:color w:val="071323"/>
                <w:sz w:val="16"/>
              </w:rPr>
              <w:t>GoalOSCommit</w:t>
            </w:r>
          </w:p>
        </w:tc>
        <w:tc>
          <w:tcPr>
            <w:tcW w:type="dxa" w:w="3360"/>
            <w:vAlign w:val="top"/>
          </w:tcPr>
          <w:p>
            <w:pPr>
              <w:spacing w:after="0"/>
            </w:pPr>
            <w:r/>
            <w:r>
              <w:rPr>
                <w:rFonts w:ascii="Liberation Sans" w:hAnsi="Liberation Sans"/>
                <w:b w:val="0"/>
                <w:color w:val="071323"/>
                <w:sz w:val="16"/>
              </w:rPr>
              <w:t>Aim Council</w:t>
            </w:r>
          </w:p>
        </w:tc>
        <w:tc>
          <w:tcPr>
            <w:tcW w:type="dxa" w:w="3360"/>
            <w:vAlign w:val="top"/>
          </w:tcPr>
          <w:p>
            <w:pPr>
              <w:spacing w:after="0"/>
            </w:pPr>
            <w:r/>
            <w:r>
              <w:rPr>
                <w:rFonts w:ascii="Liberation Sans" w:hAnsi="Liberation Sans"/>
                <w:b w:val="0"/>
                <w:color w:val="071323"/>
                <w:sz w:val="16"/>
              </w:rPr>
              <w:t>What should be attempted, under whose authority, and with which constraints.</w:t>
            </w:r>
          </w:p>
        </w:tc>
      </w:tr>
      <w:tr>
        <w:tc>
          <w:tcPr>
            <w:tcW w:type="dxa" w:w="3360"/>
            <w:shd w:fill="F6F3EA"/>
            <w:vAlign w:val="top"/>
          </w:tcPr>
          <w:p>
            <w:pPr>
              <w:spacing w:after="0"/>
            </w:pPr>
            <w:r/>
            <w:r>
              <w:rPr>
                <w:rFonts w:ascii="Liberation Sans" w:hAnsi="Liberation Sans"/>
                <w:b w:val="0"/>
                <w:color w:val="071323"/>
                <w:sz w:val="16"/>
              </w:rPr>
              <w:t>RunCommitment</w:t>
            </w:r>
          </w:p>
        </w:tc>
        <w:tc>
          <w:tcPr>
            <w:tcW w:type="dxa" w:w="3360"/>
            <w:shd w:fill="F6F3EA"/>
            <w:vAlign w:val="top"/>
          </w:tcPr>
          <w:p>
            <w:pPr>
              <w:spacing w:after="0"/>
            </w:pPr>
            <w:r/>
            <w:r>
              <w:rPr>
                <w:rFonts w:ascii="Liberation Sans" w:hAnsi="Liberation Sans"/>
                <w:b w:val="0"/>
                <w:color w:val="071323"/>
                <w:sz w:val="16"/>
              </w:rPr>
              <w:t>Strategy Desk</w:t>
            </w:r>
          </w:p>
        </w:tc>
        <w:tc>
          <w:tcPr>
            <w:tcW w:type="dxa" w:w="3360"/>
            <w:shd w:fill="F6F3EA"/>
            <w:vAlign w:val="top"/>
          </w:tcPr>
          <w:p>
            <w:pPr>
              <w:spacing w:after="0"/>
            </w:pPr>
            <w:r/>
            <w:r>
              <w:rPr>
                <w:rFonts w:ascii="Liberation Sans" w:hAnsi="Liberation Sans"/>
                <w:b w:val="0"/>
                <w:color w:val="071323"/>
                <w:sz w:val="16"/>
              </w:rPr>
              <w:t>Which agents, tools, context, policies, credentials, and budgets are allowed.</w:t>
            </w:r>
          </w:p>
        </w:tc>
      </w:tr>
      <w:tr>
        <w:tc>
          <w:tcPr>
            <w:tcW w:type="dxa" w:w="3360"/>
            <w:vAlign w:val="top"/>
          </w:tcPr>
          <w:p>
            <w:pPr>
              <w:spacing w:after="0"/>
            </w:pPr>
            <w:r/>
            <w:r>
              <w:rPr>
                <w:rFonts w:ascii="Liberation Sans" w:hAnsi="Liberation Sans"/>
                <w:b w:val="0"/>
                <w:color w:val="071323"/>
                <w:sz w:val="16"/>
              </w:rPr>
              <w:t>ProofBundle</w:t>
            </w:r>
          </w:p>
        </w:tc>
        <w:tc>
          <w:tcPr>
            <w:tcW w:type="dxa" w:w="3360"/>
            <w:vAlign w:val="top"/>
          </w:tcPr>
          <w:p>
            <w:pPr>
              <w:spacing w:after="0"/>
            </w:pPr>
            <w:r/>
            <w:r>
              <w:rPr>
                <w:rFonts w:ascii="Liberation Sans" w:hAnsi="Liberation Sans"/>
                <w:b w:val="0"/>
                <w:color w:val="071323"/>
                <w:sz w:val="16"/>
              </w:rPr>
              <w:t>Proof Engineers</w:t>
            </w:r>
          </w:p>
        </w:tc>
        <w:tc>
          <w:tcPr>
            <w:tcW w:type="dxa" w:w="3360"/>
            <w:vAlign w:val="top"/>
          </w:tcPr>
          <w:p>
            <w:pPr>
              <w:spacing w:after="0"/>
            </w:pPr>
            <w:r/>
            <w:r>
              <w:rPr>
                <w:rFonts w:ascii="Liberation Sans" w:hAnsi="Liberation Sans"/>
                <w:b w:val="0"/>
                <w:color w:val="071323"/>
                <w:sz w:val="16"/>
              </w:rPr>
              <w:t>Whether the work can be inspected, replayed, challenged, and settled.</w:t>
            </w:r>
          </w:p>
        </w:tc>
      </w:tr>
      <w:tr>
        <w:tc>
          <w:tcPr>
            <w:tcW w:type="dxa" w:w="3360"/>
            <w:shd w:fill="F6F3EA"/>
            <w:vAlign w:val="top"/>
          </w:tcPr>
          <w:p>
            <w:pPr>
              <w:spacing w:after="0"/>
            </w:pPr>
            <w:r/>
            <w:r>
              <w:rPr>
                <w:rFonts w:ascii="Liberation Sans" w:hAnsi="Liberation Sans"/>
                <w:b w:val="0"/>
                <w:color w:val="071323"/>
                <w:sz w:val="16"/>
              </w:rPr>
              <w:t>EvalAttestation</w:t>
            </w:r>
          </w:p>
        </w:tc>
        <w:tc>
          <w:tcPr>
            <w:tcW w:type="dxa" w:w="3360"/>
            <w:shd w:fill="F6F3EA"/>
            <w:vAlign w:val="top"/>
          </w:tcPr>
          <w:p>
            <w:pPr>
              <w:spacing w:after="0"/>
            </w:pPr>
            <w:r/>
            <w:r>
              <w:rPr>
                <w:rFonts w:ascii="Liberation Sans" w:hAnsi="Liberation Sans"/>
                <w:b w:val="0"/>
                <w:color w:val="071323"/>
                <w:sz w:val="16"/>
              </w:rPr>
              <w:t>Reviewer Council</w:t>
            </w:r>
          </w:p>
        </w:tc>
        <w:tc>
          <w:tcPr>
            <w:tcW w:type="dxa" w:w="3360"/>
            <w:shd w:fill="F6F3EA"/>
            <w:vAlign w:val="top"/>
          </w:tcPr>
          <w:p>
            <w:pPr>
              <w:spacing w:after="0"/>
            </w:pPr>
            <w:r/>
            <w:r>
              <w:rPr>
                <w:rFonts w:ascii="Liberation Sans" w:hAnsi="Liberation Sans"/>
                <w:b w:val="0"/>
                <w:color w:val="071323"/>
                <w:sz w:val="16"/>
              </w:rPr>
              <w:t>Whether the candidate passed tests, baselines, risk gates, and policy checks.</w:t>
            </w:r>
          </w:p>
        </w:tc>
      </w:tr>
      <w:tr>
        <w:tc>
          <w:tcPr>
            <w:tcW w:type="dxa" w:w="3360"/>
            <w:vAlign w:val="top"/>
          </w:tcPr>
          <w:p>
            <w:pPr>
              <w:spacing w:after="0"/>
            </w:pPr>
            <w:r/>
            <w:r>
              <w:rPr>
                <w:rFonts w:ascii="Liberation Sans" w:hAnsi="Liberation Sans"/>
                <w:b w:val="0"/>
                <w:color w:val="071323"/>
                <w:sz w:val="16"/>
              </w:rPr>
              <w:t>SelectionCertificate</w:t>
            </w:r>
          </w:p>
        </w:tc>
        <w:tc>
          <w:tcPr>
            <w:tcW w:type="dxa" w:w="3360"/>
            <w:vAlign w:val="top"/>
          </w:tcPr>
          <w:p>
            <w:pPr>
              <w:spacing w:after="0"/>
            </w:pPr>
            <w:r/>
            <w:r>
              <w:rPr>
                <w:rFonts w:ascii="Liberation Sans" w:hAnsi="Liberation Sans"/>
                <w:b w:val="0"/>
                <w:color w:val="071323"/>
                <w:sz w:val="16"/>
              </w:rPr>
              <w:t>Selection Gate</w:t>
            </w:r>
          </w:p>
        </w:tc>
        <w:tc>
          <w:tcPr>
            <w:tcW w:type="dxa" w:w="3360"/>
            <w:vAlign w:val="top"/>
          </w:tcPr>
          <w:p>
            <w:pPr>
              <w:spacing w:after="0"/>
            </w:pPr>
            <w:r/>
            <w:r>
              <w:rPr>
                <w:rFonts w:ascii="Liberation Sans" w:hAnsi="Liberation Sans"/>
                <w:b w:val="0"/>
                <w:color w:val="071323"/>
                <w:sz w:val="16"/>
              </w:rPr>
              <w:t>Whether the artifact may influence future work.</w:t>
            </w:r>
          </w:p>
        </w:tc>
      </w:tr>
      <w:tr>
        <w:tc>
          <w:tcPr>
            <w:tcW w:type="dxa" w:w="3360"/>
            <w:shd w:fill="F6F3EA"/>
            <w:vAlign w:val="top"/>
          </w:tcPr>
          <w:p>
            <w:pPr>
              <w:spacing w:after="0"/>
            </w:pPr>
            <w:r/>
            <w:r>
              <w:rPr>
                <w:rFonts w:ascii="Liberation Sans" w:hAnsi="Liberation Sans"/>
                <w:b w:val="0"/>
                <w:color w:val="071323"/>
                <w:sz w:val="16"/>
              </w:rPr>
              <w:t>RolloutReceipt</w:t>
            </w:r>
          </w:p>
        </w:tc>
        <w:tc>
          <w:tcPr>
            <w:tcW w:type="dxa" w:w="3360"/>
            <w:shd w:fill="F6F3EA"/>
            <w:vAlign w:val="top"/>
          </w:tcPr>
          <w:p>
            <w:pPr>
              <w:spacing w:after="0"/>
            </w:pPr>
            <w:r/>
            <w:r>
              <w:rPr>
                <w:rFonts w:ascii="Liberation Sans" w:hAnsi="Liberation Sans"/>
                <w:b w:val="0"/>
                <w:color w:val="071323"/>
                <w:sz w:val="16"/>
              </w:rPr>
              <w:t>Release Office</w:t>
            </w:r>
          </w:p>
        </w:tc>
        <w:tc>
          <w:tcPr>
            <w:tcW w:type="dxa" w:w="3360"/>
            <w:shd w:fill="F6F3EA"/>
            <w:vAlign w:val="top"/>
          </w:tcPr>
          <w:p>
            <w:pPr>
              <w:spacing w:after="0"/>
            </w:pPr>
            <w:r/>
            <w:r>
              <w:rPr>
                <w:rFonts w:ascii="Liberation Sans" w:hAnsi="Liberation Sans"/>
                <w:b w:val="0"/>
                <w:color w:val="071323"/>
                <w:sz w:val="16"/>
              </w:rPr>
              <w:t>Where the artifact may operate, at what scope, and under what monitor.</w:t>
            </w:r>
          </w:p>
        </w:tc>
      </w:tr>
      <w:tr>
        <w:tc>
          <w:tcPr>
            <w:tcW w:type="dxa" w:w="3360"/>
            <w:vAlign w:val="top"/>
          </w:tcPr>
          <w:p>
            <w:pPr>
              <w:spacing w:after="0"/>
            </w:pPr>
            <w:r/>
            <w:r>
              <w:rPr>
                <w:rFonts w:ascii="Liberation Sans" w:hAnsi="Liberation Sans"/>
                <w:b w:val="0"/>
                <w:color w:val="071323"/>
                <w:sz w:val="16"/>
              </w:rPr>
              <w:t>RollbackReceipt</w:t>
            </w:r>
          </w:p>
        </w:tc>
        <w:tc>
          <w:tcPr>
            <w:tcW w:type="dxa" w:w="3360"/>
            <w:vAlign w:val="top"/>
          </w:tcPr>
          <w:p>
            <w:pPr>
              <w:spacing w:after="0"/>
            </w:pPr>
            <w:r/>
            <w:r>
              <w:rPr>
                <w:rFonts w:ascii="Liberation Sans" w:hAnsi="Liberation Sans"/>
                <w:b w:val="0"/>
                <w:color w:val="071323"/>
                <w:sz w:val="16"/>
              </w:rPr>
              <w:t>Rollback Desk</w:t>
            </w:r>
          </w:p>
        </w:tc>
        <w:tc>
          <w:tcPr>
            <w:tcW w:type="dxa" w:w="3360"/>
            <w:vAlign w:val="top"/>
          </w:tcPr>
          <w:p>
            <w:pPr>
              <w:spacing w:after="0"/>
            </w:pPr>
            <w:r/>
            <w:r>
              <w:rPr>
                <w:rFonts w:ascii="Liberation Sans" w:hAnsi="Liberation Sans"/>
                <w:b w:val="0"/>
                <w:color w:val="071323"/>
                <w:sz w:val="16"/>
              </w:rPr>
              <w:t>How the system reverts or contains a failed improvement.</w:t>
            </w:r>
          </w:p>
        </w:tc>
      </w:tr>
      <w:tr>
        <w:tc>
          <w:tcPr>
            <w:tcW w:type="dxa" w:w="3360"/>
            <w:shd w:fill="F6F3EA"/>
            <w:vAlign w:val="top"/>
          </w:tcPr>
          <w:p>
            <w:pPr>
              <w:spacing w:after="0"/>
            </w:pPr>
            <w:r/>
            <w:r>
              <w:rPr>
                <w:rFonts w:ascii="Liberation Sans" w:hAnsi="Liberation Sans"/>
                <w:b w:val="0"/>
                <w:color w:val="071323"/>
                <w:sz w:val="16"/>
              </w:rPr>
              <w:t>ChronicleEntry</w:t>
            </w:r>
          </w:p>
        </w:tc>
        <w:tc>
          <w:tcPr>
            <w:tcW w:type="dxa" w:w="3360"/>
            <w:shd w:fill="F6F3EA"/>
            <w:vAlign w:val="top"/>
          </w:tcPr>
          <w:p>
            <w:pPr>
              <w:spacing w:after="0"/>
            </w:pPr>
            <w:r/>
            <w:r>
              <w:rPr>
                <w:rFonts w:ascii="Liberation Sans" w:hAnsi="Liberation Sans"/>
                <w:b w:val="0"/>
                <w:color w:val="071323"/>
                <w:sz w:val="16"/>
              </w:rPr>
              <w:t>Evidence Office</w:t>
            </w:r>
          </w:p>
        </w:tc>
        <w:tc>
          <w:tcPr>
            <w:tcW w:type="dxa" w:w="3360"/>
            <w:shd w:fill="F6F3EA"/>
            <w:vAlign w:val="top"/>
          </w:tcPr>
          <w:p>
            <w:pPr>
              <w:spacing w:after="0"/>
            </w:pPr>
            <w:r/>
            <w:r>
              <w:rPr>
                <w:rFonts w:ascii="Liberation Sans" w:hAnsi="Liberation Sans"/>
                <w:b w:val="0"/>
                <w:color w:val="071323"/>
                <w:sz w:val="16"/>
              </w:rPr>
              <w:t>How the organization remembers what happened and why.</w:t>
            </w:r>
          </w:p>
        </w:tc>
      </w:tr>
    </w:tbl>
    <w:p>
      <w:pPr>
        <w:spacing w:after="40"/>
      </w:pPr>
    </w:p>
    <w:p>
      <w:r>
        <w:br w:type="page"/>
      </w:r>
    </w:p>
    <w:p>
      <w:pPr>
        <w:pStyle w:val="Heading1"/>
        <w:spacing w:before="0" w:after="120"/>
      </w:pPr>
      <w:r>
        <w:rPr>
          <w:rFonts w:ascii="Liberation Sans" w:hAnsi="Liberation Sans"/>
        </w:rPr>
        <w:t>20. AGIALPHA Utility Boundary</w:t>
      </w:r>
    </w:p>
    <w:p>
      <w:pPr>
        <w:spacing w:before="0" w:after="120"/>
      </w:pPr>
      <w:r>
        <w:rPr>
          <w:rFonts w:ascii="Liberation Sans" w:hAnsi="Liberation Sans"/>
        </w:rPr>
        <w:t>AGIALPHA is used as a coordination asset for proof-settled work. It coordinates posting, bonding, review, settlement, credentials, reputation, and protocol operations. The token does not define truth; evidence does. The token does not replace product revenue, legal review, tax review, or security review. It coordinates utility only where public proof, accountability, and settlement are needed.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0263F"/>
          </w:tcPr>
          <w:p>
            <w:pPr>
              <w:spacing w:after="0"/>
            </w:pPr>
            <w:r/>
            <w:r>
              <w:rPr>
                <w:rFonts w:ascii="Liberation Sans" w:hAnsi="Liberation Sans"/>
                <w:b/>
                <w:color w:val="FFFFFF"/>
                <w:sz w:val="16"/>
              </w:rPr>
              <w:t>Use</w:t>
            </w:r>
          </w:p>
        </w:tc>
        <w:tc>
          <w:tcPr>
            <w:tcW w:type="dxa" w:w="3360"/>
            <w:shd w:fill="10263F"/>
          </w:tcPr>
          <w:p>
            <w:pPr>
              <w:spacing w:after="0"/>
            </w:pPr>
            <w:r/>
            <w:r>
              <w:rPr>
                <w:rFonts w:ascii="Liberation Sans" w:hAnsi="Liberation Sans"/>
                <w:b/>
                <w:color w:val="FFFFFF"/>
                <w:sz w:val="16"/>
              </w:rPr>
              <w:t>Permitted role</w:t>
            </w:r>
          </w:p>
        </w:tc>
        <w:tc>
          <w:tcPr>
            <w:tcW w:type="dxa" w:w="3360"/>
            <w:shd w:fill="10263F"/>
          </w:tcPr>
          <w:p>
            <w:pPr>
              <w:spacing w:after="0"/>
            </w:pPr>
            <w:r/>
            <w:r>
              <w:rPr>
                <w:rFonts w:ascii="Liberation Sans" w:hAnsi="Liberation Sans"/>
                <w:b/>
                <w:color w:val="FFFFFF"/>
                <w:sz w:val="16"/>
              </w:rPr>
              <w:t>Boundary</w:t>
            </w:r>
          </w:p>
        </w:tc>
      </w:tr>
      <w:tr>
        <w:tc>
          <w:tcPr>
            <w:tcW w:type="dxa" w:w="3360"/>
            <w:vAlign w:val="top"/>
          </w:tcPr>
          <w:p>
            <w:pPr>
              <w:spacing w:after="0"/>
            </w:pPr>
            <w:r/>
            <w:r>
              <w:rPr>
                <w:rFonts w:ascii="Liberation Sans" w:hAnsi="Liberation Sans"/>
                <w:b w:val="0"/>
                <w:color w:val="071323"/>
                <w:sz w:val="16"/>
              </w:rPr>
              <w:t>Mission posting</w:t>
            </w:r>
          </w:p>
        </w:tc>
        <w:tc>
          <w:tcPr>
            <w:tcW w:type="dxa" w:w="3360"/>
            <w:vAlign w:val="top"/>
          </w:tcPr>
          <w:p>
            <w:pPr>
              <w:spacing w:after="0"/>
            </w:pPr>
            <w:r/>
            <w:r>
              <w:rPr>
                <w:rFonts w:ascii="Liberation Sans" w:hAnsi="Liberation Sans"/>
                <w:b w:val="0"/>
                <w:color w:val="071323"/>
                <w:sz w:val="16"/>
              </w:rPr>
              <w:t>Sponsor stakes a reward and posts a bounded proof mission.</w:t>
            </w:r>
          </w:p>
        </w:tc>
        <w:tc>
          <w:tcPr>
            <w:tcW w:type="dxa" w:w="3360"/>
            <w:vAlign w:val="top"/>
          </w:tcPr>
          <w:p>
            <w:pPr>
              <w:spacing w:after="0"/>
            </w:pPr>
            <w:r/>
            <w:r>
              <w:rPr>
                <w:rFonts w:ascii="Liberation Sans" w:hAnsi="Liberation Sans"/>
                <w:b w:val="0"/>
                <w:color w:val="071323"/>
                <w:sz w:val="16"/>
              </w:rPr>
              <w:t>No investment framing.</w:t>
            </w:r>
          </w:p>
        </w:tc>
      </w:tr>
      <w:tr>
        <w:tc>
          <w:tcPr>
            <w:tcW w:type="dxa" w:w="3360"/>
            <w:shd w:fill="F6F3EA"/>
            <w:vAlign w:val="top"/>
          </w:tcPr>
          <w:p>
            <w:pPr>
              <w:spacing w:after="0"/>
            </w:pPr>
            <w:r/>
            <w:r>
              <w:rPr>
                <w:rFonts w:ascii="Liberation Sans" w:hAnsi="Liberation Sans"/>
                <w:b w:val="0"/>
                <w:color w:val="071323"/>
                <w:sz w:val="16"/>
              </w:rPr>
              <w:t>Builder claim</w:t>
            </w:r>
          </w:p>
        </w:tc>
        <w:tc>
          <w:tcPr>
            <w:tcW w:type="dxa" w:w="3360"/>
            <w:shd w:fill="F6F3EA"/>
            <w:vAlign w:val="top"/>
          </w:tcPr>
          <w:p>
            <w:pPr>
              <w:spacing w:after="0"/>
            </w:pPr>
            <w:r/>
            <w:r>
              <w:rPr>
                <w:rFonts w:ascii="Liberation Sans" w:hAnsi="Liberation Sans"/>
                <w:b w:val="0"/>
                <w:color w:val="071323"/>
                <w:sz w:val="16"/>
              </w:rPr>
              <w:t>Builder posts a bond and accepts the evidence requirements.</w:t>
            </w:r>
          </w:p>
        </w:tc>
        <w:tc>
          <w:tcPr>
            <w:tcW w:type="dxa" w:w="3360"/>
            <w:shd w:fill="F6F3EA"/>
            <w:vAlign w:val="top"/>
          </w:tcPr>
          <w:p>
            <w:pPr>
              <w:spacing w:after="0"/>
            </w:pPr>
            <w:r/>
            <w:r>
              <w:rPr>
                <w:rFonts w:ascii="Liberation Sans" w:hAnsi="Liberation Sans"/>
                <w:b w:val="0"/>
                <w:color w:val="071323"/>
                <w:sz w:val="16"/>
              </w:rPr>
              <w:t>No entitlement to reward without accepted proof.</w:t>
            </w:r>
          </w:p>
        </w:tc>
      </w:tr>
      <w:tr>
        <w:tc>
          <w:tcPr>
            <w:tcW w:type="dxa" w:w="3360"/>
            <w:vAlign w:val="top"/>
          </w:tcPr>
          <w:p>
            <w:pPr>
              <w:spacing w:after="0"/>
            </w:pPr>
            <w:r/>
            <w:r>
              <w:rPr>
                <w:rFonts w:ascii="Liberation Sans" w:hAnsi="Liberation Sans"/>
                <w:b w:val="0"/>
                <w:color w:val="071323"/>
                <w:sz w:val="16"/>
              </w:rPr>
              <w:t>Proof submission</w:t>
            </w:r>
          </w:p>
        </w:tc>
        <w:tc>
          <w:tcPr>
            <w:tcW w:type="dxa" w:w="3360"/>
            <w:vAlign w:val="top"/>
          </w:tcPr>
          <w:p>
            <w:pPr>
              <w:spacing w:after="0"/>
            </w:pPr>
            <w:r/>
            <w:r>
              <w:rPr>
                <w:rFonts w:ascii="Liberation Sans" w:hAnsi="Liberation Sans"/>
                <w:b w:val="0"/>
                <w:color w:val="071323"/>
                <w:sz w:val="16"/>
              </w:rPr>
              <w:t>Builder submits proof references and proof-card hash.</w:t>
            </w:r>
          </w:p>
        </w:tc>
        <w:tc>
          <w:tcPr>
            <w:tcW w:type="dxa" w:w="3360"/>
            <w:vAlign w:val="top"/>
          </w:tcPr>
          <w:p>
            <w:pPr>
              <w:spacing w:after="0"/>
            </w:pPr>
            <w:r/>
            <w:r>
              <w:rPr>
                <w:rFonts w:ascii="Liberation Sans" w:hAnsi="Liberation Sans"/>
                <w:b w:val="0"/>
                <w:color w:val="071323"/>
                <w:sz w:val="16"/>
              </w:rPr>
              <w:t>Private evidence remains off-chain.</w:t>
            </w:r>
          </w:p>
        </w:tc>
      </w:tr>
      <w:tr>
        <w:tc>
          <w:tcPr>
            <w:tcW w:type="dxa" w:w="3360"/>
            <w:shd w:fill="F6F3EA"/>
            <w:vAlign w:val="top"/>
          </w:tcPr>
          <w:p>
            <w:pPr>
              <w:spacing w:after="0"/>
            </w:pPr>
            <w:r/>
            <w:r>
              <w:rPr>
                <w:rFonts w:ascii="Liberation Sans" w:hAnsi="Liberation Sans"/>
                <w:b w:val="0"/>
                <w:color w:val="071323"/>
                <w:sz w:val="16"/>
              </w:rPr>
              <w:t>Reviewer validation</w:t>
            </w:r>
          </w:p>
        </w:tc>
        <w:tc>
          <w:tcPr>
            <w:tcW w:type="dxa" w:w="3360"/>
            <w:shd w:fill="F6F3EA"/>
            <w:vAlign w:val="top"/>
          </w:tcPr>
          <w:p>
            <w:pPr>
              <w:spacing w:after="0"/>
            </w:pPr>
            <w:r/>
            <w:r>
              <w:rPr>
                <w:rFonts w:ascii="Liberation Sans" w:hAnsi="Liberation Sans"/>
                <w:b w:val="0"/>
                <w:color w:val="071323"/>
                <w:sz w:val="16"/>
              </w:rPr>
              <w:t>Reviewer stakes reputation and/or bond to validate evidence.</w:t>
            </w:r>
          </w:p>
        </w:tc>
        <w:tc>
          <w:tcPr>
            <w:tcW w:type="dxa" w:w="3360"/>
            <w:shd w:fill="F6F3EA"/>
            <w:vAlign w:val="top"/>
          </w:tcPr>
          <w:p>
            <w:pPr>
              <w:spacing w:after="0"/>
            </w:pPr>
            <w:r/>
            <w:r>
              <w:rPr>
                <w:rFonts w:ascii="Liberation Sans" w:hAnsi="Liberation Sans"/>
                <w:b w:val="0"/>
                <w:color w:val="071323"/>
                <w:sz w:val="16"/>
              </w:rPr>
              <w:t>Review can be challenged.</w:t>
            </w:r>
          </w:p>
        </w:tc>
      </w:tr>
      <w:tr>
        <w:tc>
          <w:tcPr>
            <w:tcW w:type="dxa" w:w="3360"/>
            <w:vAlign w:val="top"/>
          </w:tcPr>
          <w:p>
            <w:pPr>
              <w:spacing w:after="0"/>
            </w:pPr>
            <w:r/>
            <w:r>
              <w:rPr>
                <w:rFonts w:ascii="Liberation Sans" w:hAnsi="Liberation Sans"/>
                <w:b w:val="0"/>
                <w:color w:val="071323"/>
                <w:sz w:val="16"/>
              </w:rPr>
              <w:t>Settlement</w:t>
            </w:r>
          </w:p>
        </w:tc>
        <w:tc>
          <w:tcPr>
            <w:tcW w:type="dxa" w:w="3360"/>
            <w:vAlign w:val="top"/>
          </w:tcPr>
          <w:p>
            <w:pPr>
              <w:spacing w:after="0"/>
            </w:pPr>
            <w:r/>
            <w:r>
              <w:rPr>
                <w:rFonts w:ascii="Liberation Sans" w:hAnsi="Liberation Sans"/>
                <w:b w:val="0"/>
                <w:color w:val="071323"/>
                <w:sz w:val="16"/>
              </w:rPr>
              <w:t>Reward and bonds settle only after validation clears.</w:t>
            </w:r>
          </w:p>
        </w:tc>
        <w:tc>
          <w:tcPr>
            <w:tcW w:type="dxa" w:w="3360"/>
            <w:vAlign w:val="top"/>
          </w:tcPr>
          <w:p>
            <w:pPr>
              <w:spacing w:after="0"/>
            </w:pPr>
            <w:r/>
            <w:r>
              <w:rPr>
                <w:rFonts w:ascii="Liberation Sans" w:hAnsi="Liberation Sans"/>
                <w:b w:val="0"/>
                <w:color w:val="071323"/>
                <w:sz w:val="16"/>
              </w:rPr>
              <w:t>No replay, no settlement.</w:t>
            </w:r>
          </w:p>
        </w:tc>
      </w:tr>
      <w:tr>
        <w:tc>
          <w:tcPr>
            <w:tcW w:type="dxa" w:w="3360"/>
            <w:shd w:fill="F6F3EA"/>
            <w:vAlign w:val="top"/>
          </w:tcPr>
          <w:p>
            <w:pPr>
              <w:spacing w:after="0"/>
            </w:pPr>
            <w:r/>
            <w:r>
              <w:rPr>
                <w:rFonts w:ascii="Liberation Sans" w:hAnsi="Liberation Sans"/>
                <w:b w:val="0"/>
                <w:color w:val="071323"/>
                <w:sz w:val="16"/>
              </w:rPr>
              <w:t>Reputation</w:t>
            </w:r>
          </w:p>
        </w:tc>
        <w:tc>
          <w:tcPr>
            <w:tcW w:type="dxa" w:w="3360"/>
            <w:shd w:fill="F6F3EA"/>
            <w:vAlign w:val="top"/>
          </w:tcPr>
          <w:p>
            <w:pPr>
              <w:spacing w:after="0"/>
            </w:pPr>
            <w:r/>
            <w:r>
              <w:rPr>
                <w:rFonts w:ascii="Liberation Sans" w:hAnsi="Liberation Sans"/>
                <w:b w:val="0"/>
                <w:color w:val="071323"/>
                <w:sz w:val="16"/>
              </w:rPr>
              <w:t>Accepted work updates non-transferable reputation.</w:t>
            </w:r>
          </w:p>
        </w:tc>
        <w:tc>
          <w:tcPr>
            <w:tcW w:type="dxa" w:w="3360"/>
            <w:shd w:fill="F6F3EA"/>
            <w:vAlign w:val="top"/>
          </w:tcPr>
          <w:p>
            <w:pPr>
              <w:spacing w:after="0"/>
            </w:pPr>
            <w:r/>
            <w:r>
              <w:rPr>
                <w:rFonts w:ascii="Liberation Sans" w:hAnsi="Liberation Sans"/>
                <w:b w:val="0"/>
                <w:color w:val="071323"/>
                <w:sz w:val="16"/>
              </w:rPr>
              <w:t>Reputation follows proof, not token balance alone.</w:t>
            </w:r>
          </w:p>
        </w:tc>
      </w:tr>
    </w:tbl>
    <w:p>
      <w:pPr>
        <w:spacing w:after="40"/>
      </w:pPr>
    </w:p>
    <w:p>
      <w:r>
        <w:br w:type="page"/>
      </w:r>
    </w:p>
    <w:p>
      <w:pPr>
        <w:pStyle w:val="Heading1"/>
        <w:spacing w:before="0" w:after="120"/>
      </w:pPr>
      <w:r>
        <w:rPr>
          <w:rFonts w:ascii="Liberation Sans" w:hAnsi="Liberation Sans"/>
        </w:rPr>
        <w:t>21. Sovereign Domain Playbook</w:t>
      </w:r>
    </w:p>
    <w:p>
      <w:pPr>
        <w:spacing w:before="0" w:after="120"/>
      </w:pPr>
      <w:r>
        <w:rPr>
          <w:rFonts w:ascii="Liberation Sans" w:hAnsi="Liberation Sans"/>
        </w:rPr>
        <w:t>The architecture is designed for sovereign domains where the cost of unverified action is high and the value of cumulative proof is enormous. Each domain begins with one repeatable workflow, not an unrestricted mandate. The proof room expands only when evidence and rollback readiness exist.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0263F"/>
          </w:tcPr>
          <w:p>
            <w:pPr>
              <w:spacing w:after="0"/>
            </w:pPr>
            <w:r/>
            <w:r>
              <w:rPr>
                <w:rFonts w:ascii="Liberation Sans" w:hAnsi="Liberation Sans"/>
                <w:b/>
                <w:color w:val="FFFFFF"/>
                <w:sz w:val="16"/>
              </w:rPr>
              <w:t>Domain</w:t>
            </w:r>
          </w:p>
        </w:tc>
        <w:tc>
          <w:tcPr>
            <w:tcW w:type="dxa" w:w="3360"/>
            <w:shd w:fill="10263F"/>
          </w:tcPr>
          <w:p>
            <w:pPr>
              <w:spacing w:after="0"/>
            </w:pPr>
            <w:r/>
            <w:r>
              <w:rPr>
                <w:rFonts w:ascii="Liberation Sans" w:hAnsi="Liberation Sans"/>
                <w:b/>
                <w:color w:val="FFFFFF"/>
                <w:sz w:val="16"/>
              </w:rPr>
              <w:t>First proof mission</w:t>
            </w:r>
          </w:p>
        </w:tc>
        <w:tc>
          <w:tcPr>
            <w:tcW w:type="dxa" w:w="3360"/>
            <w:shd w:fill="10263F"/>
          </w:tcPr>
          <w:p>
            <w:pPr>
              <w:spacing w:after="0"/>
            </w:pPr>
            <w:r/>
            <w:r>
              <w:rPr>
                <w:rFonts w:ascii="Liberation Sans" w:hAnsi="Liberation Sans"/>
                <w:b/>
                <w:color w:val="FFFFFF"/>
                <w:sz w:val="16"/>
              </w:rPr>
              <w:t>Sovereign value</w:t>
            </w:r>
          </w:p>
        </w:tc>
      </w:tr>
      <w:tr>
        <w:tc>
          <w:tcPr>
            <w:tcW w:type="dxa" w:w="3360"/>
            <w:vAlign w:val="top"/>
          </w:tcPr>
          <w:p>
            <w:pPr>
              <w:spacing w:after="0"/>
            </w:pPr>
            <w:r/>
            <w:r>
              <w:rPr>
                <w:rFonts w:ascii="Liberation Sans" w:hAnsi="Liberation Sans"/>
                <w:b w:val="0"/>
                <w:color w:val="071323"/>
                <w:sz w:val="16"/>
              </w:rPr>
              <w:t>AI governance</w:t>
            </w:r>
          </w:p>
        </w:tc>
        <w:tc>
          <w:tcPr>
            <w:tcW w:type="dxa" w:w="3360"/>
            <w:vAlign w:val="top"/>
          </w:tcPr>
          <w:p>
            <w:pPr>
              <w:spacing w:after="0"/>
            </w:pPr>
            <w:r/>
            <w:r>
              <w:rPr>
                <w:rFonts w:ascii="Liberation Sans" w:hAnsi="Liberation Sans"/>
                <w:b w:val="0"/>
                <w:color w:val="071323"/>
                <w:sz w:val="16"/>
              </w:rPr>
              <w:t>Claims-safe launch and policy review workflow.</w:t>
            </w:r>
          </w:p>
        </w:tc>
        <w:tc>
          <w:tcPr>
            <w:tcW w:type="dxa" w:w="3360"/>
            <w:vAlign w:val="top"/>
          </w:tcPr>
          <w:p>
            <w:pPr>
              <w:spacing w:after="0"/>
            </w:pPr>
            <w:r/>
            <w:r>
              <w:rPr>
                <w:rFonts w:ascii="Liberation Sans" w:hAnsi="Liberation Sans"/>
                <w:b w:val="0"/>
                <w:color w:val="071323"/>
                <w:sz w:val="16"/>
              </w:rPr>
              <w:t>Reduces public-claims risk and improves institutional trust.</w:t>
            </w:r>
          </w:p>
        </w:tc>
      </w:tr>
      <w:tr>
        <w:tc>
          <w:tcPr>
            <w:tcW w:type="dxa" w:w="3360"/>
            <w:shd w:fill="F6F3EA"/>
            <w:vAlign w:val="top"/>
          </w:tcPr>
          <w:p>
            <w:pPr>
              <w:spacing w:after="0"/>
            </w:pPr>
            <w:r/>
            <w:r>
              <w:rPr>
                <w:rFonts w:ascii="Liberation Sans" w:hAnsi="Liberation Sans"/>
                <w:b w:val="0"/>
                <w:color w:val="071323"/>
                <w:sz w:val="16"/>
              </w:rPr>
              <w:t>Cybersecurity</w:t>
            </w:r>
          </w:p>
        </w:tc>
        <w:tc>
          <w:tcPr>
            <w:tcW w:type="dxa" w:w="3360"/>
            <w:shd w:fill="F6F3EA"/>
            <w:vAlign w:val="top"/>
          </w:tcPr>
          <w:p>
            <w:pPr>
              <w:spacing w:after="0"/>
            </w:pPr>
            <w:r/>
            <w:r>
              <w:rPr>
                <w:rFonts w:ascii="Liberation Sans" w:hAnsi="Liberation Sans"/>
                <w:b w:val="0"/>
                <w:color w:val="071323"/>
                <w:sz w:val="16"/>
              </w:rPr>
              <w:t>Defensive evidence docket for safe remediation readiness.</w:t>
            </w:r>
          </w:p>
        </w:tc>
        <w:tc>
          <w:tcPr>
            <w:tcW w:type="dxa" w:w="3360"/>
            <w:shd w:fill="F6F3EA"/>
            <w:vAlign w:val="top"/>
          </w:tcPr>
          <w:p>
            <w:pPr>
              <w:spacing w:after="0"/>
            </w:pPr>
            <w:r/>
            <w:r>
              <w:rPr>
                <w:rFonts w:ascii="Liberation Sans" w:hAnsi="Liberation Sans"/>
                <w:b w:val="0"/>
                <w:color w:val="071323"/>
                <w:sz w:val="16"/>
              </w:rPr>
              <w:t>Turns findings into governed improvements without leaking sensitive data.</w:t>
            </w:r>
          </w:p>
        </w:tc>
      </w:tr>
      <w:tr>
        <w:tc>
          <w:tcPr>
            <w:tcW w:type="dxa" w:w="3360"/>
            <w:vAlign w:val="top"/>
          </w:tcPr>
          <w:p>
            <w:pPr>
              <w:spacing w:after="0"/>
            </w:pPr>
            <w:r/>
            <w:r>
              <w:rPr>
                <w:rFonts w:ascii="Liberation Sans" w:hAnsi="Liberation Sans"/>
                <w:b w:val="0"/>
                <w:color w:val="071323"/>
                <w:sz w:val="16"/>
              </w:rPr>
              <w:t>Energy / compute</w:t>
            </w:r>
          </w:p>
        </w:tc>
        <w:tc>
          <w:tcPr>
            <w:tcW w:type="dxa" w:w="3360"/>
            <w:vAlign w:val="top"/>
          </w:tcPr>
          <w:p>
            <w:pPr>
              <w:spacing w:after="0"/>
            </w:pPr>
            <w:r/>
            <w:r>
              <w:rPr>
                <w:rFonts w:ascii="Liberation Sans" w:hAnsi="Liberation Sans"/>
                <w:b w:val="0"/>
                <w:color w:val="071323"/>
                <w:sz w:val="16"/>
              </w:rPr>
              <w:t>Useful compute per dollar and watt improvement workflow.</w:t>
            </w:r>
          </w:p>
        </w:tc>
        <w:tc>
          <w:tcPr>
            <w:tcW w:type="dxa" w:w="3360"/>
            <w:vAlign w:val="top"/>
          </w:tcPr>
          <w:p>
            <w:pPr>
              <w:spacing w:after="0"/>
            </w:pPr>
            <w:r/>
            <w:r>
              <w:rPr>
                <w:rFonts w:ascii="Liberation Sans" w:hAnsi="Liberation Sans"/>
                <w:b w:val="0"/>
                <w:color w:val="071323"/>
                <w:sz w:val="16"/>
              </w:rPr>
              <w:t>Links verified efficiency to reinvested compute and energy capacity.</w:t>
            </w:r>
          </w:p>
        </w:tc>
      </w:tr>
      <w:tr>
        <w:tc>
          <w:tcPr>
            <w:tcW w:type="dxa" w:w="3360"/>
            <w:shd w:fill="F6F3EA"/>
            <w:vAlign w:val="top"/>
          </w:tcPr>
          <w:p>
            <w:pPr>
              <w:spacing w:after="0"/>
            </w:pPr>
            <w:r/>
            <w:r>
              <w:rPr>
                <w:rFonts w:ascii="Liberation Sans" w:hAnsi="Liberation Sans"/>
                <w:b w:val="0"/>
                <w:color w:val="071323"/>
                <w:sz w:val="16"/>
              </w:rPr>
              <w:t>Public services</w:t>
            </w:r>
          </w:p>
        </w:tc>
        <w:tc>
          <w:tcPr>
            <w:tcW w:type="dxa" w:w="3360"/>
            <w:shd w:fill="F6F3EA"/>
            <w:vAlign w:val="top"/>
          </w:tcPr>
          <w:p>
            <w:pPr>
              <w:spacing w:after="0"/>
            </w:pPr>
            <w:r/>
            <w:r>
              <w:rPr>
                <w:rFonts w:ascii="Liberation Sans" w:hAnsi="Liberation Sans"/>
                <w:b w:val="0"/>
                <w:color w:val="071323"/>
                <w:sz w:val="16"/>
              </w:rPr>
              <w:t>Eligibility, routing, and citizen-response workflow.</w:t>
            </w:r>
          </w:p>
        </w:tc>
        <w:tc>
          <w:tcPr>
            <w:tcW w:type="dxa" w:w="3360"/>
            <w:shd w:fill="F6F3EA"/>
            <w:vAlign w:val="top"/>
          </w:tcPr>
          <w:p>
            <w:pPr>
              <w:spacing w:after="0"/>
            </w:pPr>
            <w:r/>
            <w:r>
              <w:rPr>
                <w:rFonts w:ascii="Liberation Sans" w:hAnsi="Liberation Sans"/>
                <w:b w:val="0"/>
                <w:color w:val="071323"/>
                <w:sz w:val="16"/>
              </w:rPr>
              <w:t>Improves service quality while preserving auditability and rollback.</w:t>
            </w:r>
          </w:p>
        </w:tc>
      </w:tr>
      <w:tr>
        <w:tc>
          <w:tcPr>
            <w:tcW w:type="dxa" w:w="3360"/>
            <w:vAlign w:val="top"/>
          </w:tcPr>
          <w:p>
            <w:pPr>
              <w:spacing w:after="0"/>
            </w:pPr>
            <w:r/>
            <w:r>
              <w:rPr>
                <w:rFonts w:ascii="Liberation Sans" w:hAnsi="Liberation Sans"/>
                <w:b w:val="0"/>
                <w:color w:val="071323"/>
                <w:sz w:val="16"/>
              </w:rPr>
              <w:t>Enterprise operations</w:t>
            </w:r>
          </w:p>
        </w:tc>
        <w:tc>
          <w:tcPr>
            <w:tcW w:type="dxa" w:w="3360"/>
            <w:vAlign w:val="top"/>
          </w:tcPr>
          <w:p>
            <w:pPr>
              <w:spacing w:after="0"/>
            </w:pPr>
            <w:r/>
            <w:r>
              <w:rPr>
                <w:rFonts w:ascii="Liberation Sans" w:hAnsi="Liberation Sans"/>
                <w:b w:val="0"/>
                <w:color w:val="071323"/>
                <w:sz w:val="16"/>
              </w:rPr>
              <w:t>Support, procurement, and trust-center response workflow.</w:t>
            </w:r>
          </w:p>
        </w:tc>
        <w:tc>
          <w:tcPr>
            <w:tcW w:type="dxa" w:w="3360"/>
            <w:vAlign w:val="top"/>
          </w:tcPr>
          <w:p>
            <w:pPr>
              <w:spacing w:after="0"/>
            </w:pPr>
            <w:r/>
            <w:r>
              <w:rPr>
                <w:rFonts w:ascii="Liberation Sans" w:hAnsi="Liberation Sans"/>
                <w:b w:val="0"/>
                <w:color w:val="071323"/>
                <w:sz w:val="16"/>
              </w:rPr>
              <w:t>Creates repeatable evidence for departments and buyers.</w:t>
            </w:r>
          </w:p>
        </w:tc>
      </w:tr>
      <w:tr>
        <w:tc>
          <w:tcPr>
            <w:tcW w:type="dxa" w:w="3360"/>
            <w:shd w:fill="F6F3EA"/>
            <w:vAlign w:val="top"/>
          </w:tcPr>
          <w:p>
            <w:pPr>
              <w:spacing w:after="0"/>
            </w:pPr>
            <w:r/>
            <w:r>
              <w:rPr>
                <w:rFonts w:ascii="Liberation Sans" w:hAnsi="Liberation Sans"/>
                <w:b w:val="0"/>
                <w:color w:val="071323"/>
                <w:sz w:val="16"/>
              </w:rPr>
              <w:t>Scientific operations</w:t>
            </w:r>
          </w:p>
        </w:tc>
        <w:tc>
          <w:tcPr>
            <w:tcW w:type="dxa" w:w="3360"/>
            <w:shd w:fill="F6F3EA"/>
            <w:vAlign w:val="top"/>
          </w:tcPr>
          <w:p>
            <w:pPr>
              <w:spacing w:after="0"/>
            </w:pPr>
            <w:r/>
            <w:r>
              <w:rPr>
                <w:rFonts w:ascii="Liberation Sans" w:hAnsi="Liberation Sans"/>
                <w:b w:val="0"/>
                <w:color w:val="071323"/>
                <w:sz w:val="16"/>
              </w:rPr>
              <w:t>Experiment planning and validation workflow.</w:t>
            </w:r>
          </w:p>
        </w:tc>
        <w:tc>
          <w:tcPr>
            <w:tcW w:type="dxa" w:w="3360"/>
            <w:shd w:fill="F6F3EA"/>
            <w:vAlign w:val="top"/>
          </w:tcPr>
          <w:p>
            <w:pPr>
              <w:spacing w:after="0"/>
            </w:pPr>
            <w:r/>
            <w:r>
              <w:rPr>
                <w:rFonts w:ascii="Liberation Sans" w:hAnsi="Liberation Sans"/>
                <w:b w:val="0"/>
                <w:color w:val="071323"/>
                <w:sz w:val="16"/>
              </w:rPr>
              <w:t>Improves research execution while keeping claims bounded and replayable.</w:t>
            </w:r>
          </w:p>
        </w:tc>
      </w:tr>
    </w:tbl>
    <w:p>
      <w:pPr>
        <w:spacing w:after="40"/>
      </w:pPr>
    </w:p>
    <w:p>
      <w:r>
        <w:br w:type="page"/>
      </w:r>
    </w:p>
    <w:p>
      <w:pPr>
        <w:pStyle w:val="Heading1"/>
        <w:spacing w:before="0" w:after="120"/>
      </w:pPr>
      <w:r>
        <w:rPr>
          <w:rFonts w:ascii="Liberation Sans" w:hAnsi="Liberation Sans"/>
        </w:rPr>
        <w:t>22. Benchmark and Proof Program</w:t>
      </w:r>
    </w:p>
    <w:p>
      <w:pPr>
        <w:spacing w:before="0" w:after="120"/>
      </w:pPr>
      <w:r>
        <w:rPr>
          <w:rFonts w:ascii="Liberation Sans" w:hAnsi="Liberation Sans"/>
        </w:rPr>
        <w:t>The system should be judged by whether proof predicts future improvement, whether accepted artifacts beat baselines, whether reviewer decisions are reliable, whether rollback works, and whether coordination overhead remains below verified value. The benchmark program is adversarial by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0263F"/>
          </w:tcPr>
          <w:p>
            <w:pPr>
              <w:spacing w:after="0"/>
            </w:pPr>
            <w:r/>
            <w:r>
              <w:rPr>
                <w:rFonts w:ascii="Liberation Sans" w:hAnsi="Liberation Sans"/>
                <w:b/>
                <w:color w:val="FFFFFF"/>
                <w:sz w:val="16"/>
              </w:rPr>
              <w:t>Benchmark</w:t>
            </w:r>
          </w:p>
        </w:tc>
        <w:tc>
          <w:tcPr>
            <w:tcW w:type="dxa" w:w="3360"/>
            <w:shd w:fill="10263F"/>
          </w:tcPr>
          <w:p>
            <w:pPr>
              <w:spacing w:after="0"/>
            </w:pPr>
            <w:r/>
            <w:r>
              <w:rPr>
                <w:rFonts w:ascii="Liberation Sans" w:hAnsi="Liberation Sans"/>
                <w:b/>
                <w:color w:val="FFFFFF"/>
                <w:sz w:val="16"/>
              </w:rPr>
              <w:t>Question</w:t>
            </w:r>
          </w:p>
        </w:tc>
        <w:tc>
          <w:tcPr>
            <w:tcW w:type="dxa" w:w="3360"/>
            <w:shd w:fill="10263F"/>
          </w:tcPr>
          <w:p>
            <w:pPr>
              <w:spacing w:after="0"/>
            </w:pPr>
            <w:r/>
            <w:r>
              <w:rPr>
                <w:rFonts w:ascii="Liberation Sans" w:hAnsi="Liberation Sans"/>
                <w:b/>
                <w:color w:val="FFFFFF"/>
                <w:sz w:val="16"/>
              </w:rPr>
              <w:t>Promotion requirement</w:t>
            </w:r>
          </w:p>
        </w:tc>
      </w:tr>
      <w:tr>
        <w:tc>
          <w:tcPr>
            <w:tcW w:type="dxa" w:w="3360"/>
            <w:vAlign w:val="top"/>
          </w:tcPr>
          <w:p>
            <w:pPr>
              <w:spacing w:after="0"/>
            </w:pPr>
            <w:r/>
            <w:r>
              <w:rPr>
                <w:rFonts w:ascii="Liberation Sans" w:hAnsi="Liberation Sans"/>
                <w:b w:val="0"/>
                <w:color w:val="071323"/>
                <w:sz w:val="16"/>
              </w:rPr>
              <w:t>GoalOS-Bench</w:t>
            </w:r>
          </w:p>
        </w:tc>
        <w:tc>
          <w:tcPr>
            <w:tcW w:type="dxa" w:w="3360"/>
            <w:vAlign w:val="top"/>
          </w:tcPr>
          <w:p>
            <w:pPr>
              <w:spacing w:after="0"/>
            </w:pPr>
            <w:r/>
            <w:r>
              <w:rPr>
                <w:rFonts w:ascii="Liberation Sans" w:hAnsi="Liberation Sans"/>
                <w:b w:val="0"/>
                <w:color w:val="071323"/>
                <w:sz w:val="16"/>
              </w:rPr>
              <w:t>Can aims be specified, bounded, and audited before agents act?</w:t>
            </w:r>
          </w:p>
        </w:tc>
        <w:tc>
          <w:tcPr>
            <w:tcW w:type="dxa" w:w="3360"/>
            <w:vAlign w:val="top"/>
          </w:tcPr>
          <w:p>
            <w:pPr>
              <w:spacing w:after="0"/>
            </w:pPr>
            <w:r/>
            <w:r>
              <w:rPr>
                <w:rFonts w:ascii="Liberation Sans" w:hAnsi="Liberation Sans"/>
                <w:b w:val="0"/>
                <w:color w:val="071323"/>
                <w:sz w:val="16"/>
              </w:rPr>
              <w:t>Commitments are complete, authorized, and rollback-aware.</w:t>
            </w:r>
          </w:p>
        </w:tc>
      </w:tr>
      <w:tr>
        <w:tc>
          <w:tcPr>
            <w:tcW w:type="dxa" w:w="3360"/>
            <w:shd w:fill="F6F3EA"/>
            <w:vAlign w:val="top"/>
          </w:tcPr>
          <w:p>
            <w:pPr>
              <w:spacing w:after="0"/>
            </w:pPr>
            <w:r/>
            <w:r>
              <w:rPr>
                <w:rFonts w:ascii="Liberation Sans" w:hAnsi="Liberation Sans"/>
                <w:b w:val="0"/>
                <w:color w:val="071323"/>
                <w:sz w:val="16"/>
              </w:rPr>
              <w:t>ProofGradient-Bench</w:t>
            </w:r>
          </w:p>
        </w:tc>
        <w:tc>
          <w:tcPr>
            <w:tcW w:type="dxa" w:w="3360"/>
            <w:shd w:fill="F6F3EA"/>
            <w:vAlign w:val="top"/>
          </w:tcPr>
          <w:p>
            <w:pPr>
              <w:spacing w:after="0"/>
            </w:pPr>
            <w:r/>
            <w:r>
              <w:rPr>
                <w:rFonts w:ascii="Liberation Sans" w:hAnsi="Liberation Sans"/>
                <w:b w:val="0"/>
                <w:color w:val="071323"/>
                <w:sz w:val="16"/>
              </w:rPr>
              <w:t>Do proof packets predict hidden-task improvement?</w:t>
            </w:r>
          </w:p>
        </w:tc>
        <w:tc>
          <w:tcPr>
            <w:tcW w:type="dxa" w:w="3360"/>
            <w:shd w:fill="F6F3EA"/>
            <w:vAlign w:val="top"/>
          </w:tcPr>
          <w:p>
            <w:pPr>
              <w:spacing w:after="0"/>
            </w:pPr>
            <w:r/>
            <w:r>
              <w:rPr>
                <w:rFonts w:ascii="Liberation Sans" w:hAnsi="Liberation Sans"/>
                <w:b w:val="0"/>
                <w:color w:val="071323"/>
                <w:sz w:val="16"/>
              </w:rPr>
              <w:t>Accepted upgrades beat strong baselines under equal budget.</w:t>
            </w:r>
          </w:p>
        </w:tc>
      </w:tr>
      <w:tr>
        <w:tc>
          <w:tcPr>
            <w:tcW w:type="dxa" w:w="3360"/>
            <w:vAlign w:val="top"/>
          </w:tcPr>
          <w:p>
            <w:pPr>
              <w:spacing w:after="0"/>
            </w:pPr>
            <w:r/>
            <w:r>
              <w:rPr>
                <w:rFonts w:ascii="Liberation Sans" w:hAnsi="Liberation Sans"/>
                <w:b w:val="0"/>
                <w:color w:val="071323"/>
                <w:sz w:val="16"/>
              </w:rPr>
              <w:t>SelectionGate-Bench</w:t>
            </w:r>
          </w:p>
        </w:tc>
        <w:tc>
          <w:tcPr>
            <w:tcW w:type="dxa" w:w="3360"/>
            <w:vAlign w:val="top"/>
          </w:tcPr>
          <w:p>
            <w:pPr>
              <w:spacing w:after="0"/>
            </w:pPr>
            <w:r/>
            <w:r>
              <w:rPr>
                <w:rFonts w:ascii="Liberation Sans" w:hAnsi="Liberation Sans"/>
                <w:b w:val="0"/>
                <w:color w:val="071323"/>
                <w:sz w:val="16"/>
              </w:rPr>
              <w:t>Can the gate reject proxy gaming and unsafe novelty?</w:t>
            </w:r>
          </w:p>
        </w:tc>
        <w:tc>
          <w:tcPr>
            <w:tcW w:type="dxa" w:w="3360"/>
            <w:vAlign w:val="top"/>
          </w:tcPr>
          <w:p>
            <w:pPr>
              <w:spacing w:after="0"/>
            </w:pPr>
            <w:r/>
            <w:r>
              <w:rPr>
                <w:rFonts w:ascii="Liberation Sans" w:hAnsi="Liberation Sans"/>
                <w:b w:val="0"/>
                <w:color w:val="071323"/>
                <w:sz w:val="16"/>
              </w:rPr>
              <w:t>Negative controls are rejected and failure cases are published.</w:t>
            </w:r>
          </w:p>
        </w:tc>
      </w:tr>
      <w:tr>
        <w:tc>
          <w:tcPr>
            <w:tcW w:type="dxa" w:w="3360"/>
            <w:shd w:fill="F6F3EA"/>
            <w:vAlign w:val="top"/>
          </w:tcPr>
          <w:p>
            <w:pPr>
              <w:spacing w:after="0"/>
            </w:pPr>
            <w:r/>
            <w:r>
              <w:rPr>
                <w:rFonts w:ascii="Liberation Sans" w:hAnsi="Liberation Sans"/>
                <w:b w:val="0"/>
                <w:color w:val="071323"/>
                <w:sz w:val="16"/>
              </w:rPr>
              <w:t>EvidenceDocket-Bench</w:t>
            </w:r>
          </w:p>
        </w:tc>
        <w:tc>
          <w:tcPr>
            <w:tcW w:type="dxa" w:w="3360"/>
            <w:shd w:fill="F6F3EA"/>
            <w:vAlign w:val="top"/>
          </w:tcPr>
          <w:p>
            <w:pPr>
              <w:spacing w:after="0"/>
            </w:pPr>
            <w:r/>
            <w:r>
              <w:rPr>
                <w:rFonts w:ascii="Liberation Sans" w:hAnsi="Liberation Sans"/>
                <w:b w:val="0"/>
                <w:color w:val="071323"/>
                <w:sz w:val="16"/>
              </w:rPr>
              <w:t>Can independent reviewers inspect and replay the evidence?</w:t>
            </w:r>
          </w:p>
        </w:tc>
        <w:tc>
          <w:tcPr>
            <w:tcW w:type="dxa" w:w="3360"/>
            <w:shd w:fill="F6F3EA"/>
            <w:vAlign w:val="top"/>
          </w:tcPr>
          <w:p>
            <w:pPr>
              <w:spacing w:after="0"/>
            </w:pPr>
            <w:r/>
            <w:r>
              <w:rPr>
                <w:rFonts w:ascii="Liberation Sans" w:hAnsi="Liberation Sans"/>
                <w:b w:val="0"/>
                <w:color w:val="071323"/>
                <w:sz w:val="16"/>
              </w:rPr>
              <w:t>Dockets reduce audit time and false approvals.</w:t>
            </w:r>
          </w:p>
        </w:tc>
      </w:tr>
      <w:tr>
        <w:tc>
          <w:tcPr>
            <w:tcW w:type="dxa" w:w="3360"/>
            <w:vAlign w:val="top"/>
          </w:tcPr>
          <w:p>
            <w:pPr>
              <w:spacing w:after="0"/>
            </w:pPr>
            <w:r/>
            <w:r>
              <w:rPr>
                <w:rFonts w:ascii="Liberation Sans" w:hAnsi="Liberation Sans"/>
                <w:b w:val="0"/>
                <w:color w:val="071323"/>
                <w:sz w:val="16"/>
              </w:rPr>
              <w:t>SovereignPilot-Bench</w:t>
            </w:r>
          </w:p>
        </w:tc>
        <w:tc>
          <w:tcPr>
            <w:tcW w:type="dxa" w:w="3360"/>
            <w:vAlign w:val="top"/>
          </w:tcPr>
          <w:p>
            <w:pPr>
              <w:spacing w:after="0"/>
            </w:pPr>
            <w:r/>
            <w:r>
              <w:rPr>
                <w:rFonts w:ascii="Liberation Sans" w:hAnsi="Liberation Sans"/>
                <w:b w:val="0"/>
                <w:color w:val="071323"/>
                <w:sz w:val="16"/>
              </w:rPr>
              <w:t>Can one real workflow become reusable capability?</w:t>
            </w:r>
          </w:p>
        </w:tc>
        <w:tc>
          <w:tcPr>
            <w:tcW w:type="dxa" w:w="3360"/>
            <w:vAlign w:val="top"/>
          </w:tcPr>
          <w:p>
            <w:pPr>
              <w:spacing w:after="0"/>
            </w:pPr>
            <w:r/>
            <w:r>
              <w:rPr>
                <w:rFonts w:ascii="Liberation Sans" w:hAnsi="Liberation Sans"/>
                <w:b w:val="0"/>
                <w:color w:val="071323"/>
                <w:sz w:val="16"/>
              </w:rPr>
              <w:t>Proof Card, credential, reputation, and delayed-outcome monitor are complete.</w:t>
            </w:r>
          </w:p>
        </w:tc>
      </w:tr>
      <w:tr>
        <w:tc>
          <w:tcPr>
            <w:tcW w:type="dxa" w:w="3360"/>
            <w:shd w:fill="F6F3EA"/>
            <w:vAlign w:val="top"/>
          </w:tcPr>
          <w:p>
            <w:pPr>
              <w:spacing w:after="0"/>
            </w:pPr>
            <w:r/>
            <w:r>
              <w:rPr>
                <w:rFonts w:ascii="Liberation Sans" w:hAnsi="Liberation Sans"/>
                <w:b w:val="0"/>
                <w:color w:val="071323"/>
                <w:sz w:val="16"/>
              </w:rPr>
              <w:t>Capacity-Bench</w:t>
            </w:r>
          </w:p>
        </w:tc>
        <w:tc>
          <w:tcPr>
            <w:tcW w:type="dxa" w:w="3360"/>
            <w:shd w:fill="F6F3EA"/>
            <w:vAlign w:val="top"/>
          </w:tcPr>
          <w:p>
            <w:pPr>
              <w:spacing w:after="0"/>
            </w:pPr>
            <w:r/>
            <w:r>
              <w:rPr>
                <w:rFonts w:ascii="Liberation Sans" w:hAnsi="Liberation Sans"/>
                <w:b w:val="0"/>
                <w:color w:val="071323"/>
                <w:sz w:val="16"/>
              </w:rPr>
              <w:t>Does verified work improve productive capacity?</w:t>
            </w:r>
          </w:p>
        </w:tc>
        <w:tc>
          <w:tcPr>
            <w:tcW w:type="dxa" w:w="3360"/>
            <w:shd w:fill="F6F3EA"/>
            <w:vAlign w:val="top"/>
          </w:tcPr>
          <w:p>
            <w:pPr>
              <w:spacing w:after="0"/>
            </w:pPr>
            <w:r/>
            <w:r>
              <w:rPr>
                <w:rFonts w:ascii="Liberation Sans" w:hAnsi="Liberation Sans"/>
                <w:b w:val="0"/>
                <w:color w:val="071323"/>
                <w:sz w:val="16"/>
              </w:rPr>
              <w:t>Useful work per cost/watt/time improves without hidden risk.</w:t>
            </w:r>
          </w:p>
        </w:tc>
      </w:tr>
    </w:tbl>
    <w:p>
      <w:pPr>
        <w:spacing w:after="40"/>
      </w:pPr>
    </w:p>
    <w:p>
      <w:r>
        <w:br w:type="page"/>
      </w:r>
    </w:p>
    <w:p>
      <w:pPr>
        <w:pStyle w:val="Heading1"/>
        <w:spacing w:before="0" w:after="120"/>
      </w:pPr>
      <w:r>
        <w:rPr>
          <w:rFonts w:ascii="Liberation Sans" w:hAnsi="Liberation Sans"/>
        </w:rPr>
        <w:t>23. Implementation Gate Register</w:t>
      </w:r>
    </w:p>
    <w:p>
      <w:pPr>
        <w:spacing w:before="0" w:after="120"/>
      </w:pPr>
      <w:r>
        <w:rPr>
          <w:rFonts w:ascii="Liberation Sans" w:hAnsi="Liberation Sans"/>
        </w:rPr>
        <w:t>The implementation path is intentionally gated. Strong architecture is not deployment authorization. Each gate creates a stronger artifact, and no gate should be skipped for appearance of speed.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0263F"/>
          </w:tcPr>
          <w:p>
            <w:pPr>
              <w:spacing w:after="0"/>
            </w:pPr>
            <w:r/>
            <w:r>
              <w:rPr>
                <w:rFonts w:ascii="Liberation Sans" w:hAnsi="Liberation Sans"/>
                <w:b/>
                <w:color w:val="FFFFFF"/>
                <w:sz w:val="16"/>
              </w:rPr>
              <w:t>Gate</w:t>
            </w:r>
          </w:p>
        </w:tc>
        <w:tc>
          <w:tcPr>
            <w:tcW w:type="dxa" w:w="3360"/>
            <w:shd w:fill="10263F"/>
          </w:tcPr>
          <w:p>
            <w:pPr>
              <w:spacing w:after="0"/>
            </w:pPr>
            <w:r/>
            <w:r>
              <w:rPr>
                <w:rFonts w:ascii="Liberation Sans" w:hAnsi="Liberation Sans"/>
                <w:b/>
                <w:color w:val="FFFFFF"/>
                <w:sz w:val="16"/>
              </w:rPr>
              <w:t>Evidence required</w:t>
            </w:r>
          </w:p>
        </w:tc>
        <w:tc>
          <w:tcPr>
            <w:tcW w:type="dxa" w:w="3360"/>
            <w:shd w:fill="10263F"/>
          </w:tcPr>
          <w:p>
            <w:pPr>
              <w:spacing w:after="0"/>
            </w:pPr>
            <w:r/>
            <w:r>
              <w:rPr>
                <w:rFonts w:ascii="Liberation Sans" w:hAnsi="Liberation Sans"/>
                <w:b/>
                <w:color w:val="FFFFFF"/>
                <w:sz w:val="16"/>
              </w:rPr>
              <w:t>Decision</w:t>
            </w:r>
          </w:p>
        </w:tc>
      </w:tr>
      <w:tr>
        <w:tc>
          <w:tcPr>
            <w:tcW w:type="dxa" w:w="3360"/>
            <w:vAlign w:val="top"/>
          </w:tcPr>
          <w:p>
            <w:pPr>
              <w:spacing w:after="0"/>
            </w:pPr>
            <w:r/>
            <w:r>
              <w:rPr>
                <w:rFonts w:ascii="Liberation Sans" w:hAnsi="Liberation Sans"/>
                <w:b w:val="0"/>
                <w:color w:val="071323"/>
                <w:sz w:val="16"/>
              </w:rPr>
              <w:t>Repository readiness</w:t>
            </w:r>
          </w:p>
        </w:tc>
        <w:tc>
          <w:tcPr>
            <w:tcW w:type="dxa" w:w="3360"/>
            <w:vAlign w:val="top"/>
          </w:tcPr>
          <w:p>
            <w:pPr>
              <w:spacing w:after="0"/>
            </w:pPr>
            <w:r/>
            <w:r>
              <w:rPr>
                <w:rFonts w:ascii="Liberation Sans" w:hAnsi="Liberation Sans"/>
                <w:b w:val="0"/>
                <w:color w:val="071323"/>
                <w:sz w:val="16"/>
              </w:rPr>
              <w:t>Static QA, safety scan, no private data, no paid product leakage.</w:t>
            </w:r>
          </w:p>
        </w:tc>
        <w:tc>
          <w:tcPr>
            <w:tcW w:type="dxa" w:w="3360"/>
            <w:vAlign w:val="top"/>
          </w:tcPr>
          <w:p>
            <w:pPr>
              <w:spacing w:after="0"/>
            </w:pPr>
            <w:r/>
            <w:r>
              <w:rPr>
                <w:rFonts w:ascii="Liberation Sans" w:hAnsi="Liberation Sans"/>
                <w:b w:val="0"/>
                <w:color w:val="071323"/>
                <w:sz w:val="16"/>
              </w:rPr>
              <w:t>Engineering handoff.</w:t>
            </w:r>
          </w:p>
        </w:tc>
      </w:tr>
      <w:tr>
        <w:tc>
          <w:tcPr>
            <w:tcW w:type="dxa" w:w="3360"/>
            <w:shd w:fill="F6F3EA"/>
            <w:vAlign w:val="top"/>
          </w:tcPr>
          <w:p>
            <w:pPr>
              <w:spacing w:after="0"/>
            </w:pPr>
            <w:r/>
            <w:r>
              <w:rPr>
                <w:rFonts w:ascii="Liberation Sans" w:hAnsi="Liberation Sans"/>
                <w:b w:val="0"/>
                <w:color w:val="071323"/>
                <w:sz w:val="16"/>
              </w:rPr>
              <w:t>Compile and tests</w:t>
            </w:r>
          </w:p>
        </w:tc>
        <w:tc>
          <w:tcPr>
            <w:tcW w:type="dxa" w:w="3360"/>
            <w:shd w:fill="F6F3EA"/>
            <w:vAlign w:val="top"/>
          </w:tcPr>
          <w:p>
            <w:pPr>
              <w:spacing w:after="0"/>
            </w:pPr>
            <w:r/>
            <w:r>
              <w:rPr>
                <w:rFonts w:ascii="Liberation Sans" w:hAnsi="Liberation Sans"/>
                <w:b w:val="0"/>
                <w:color w:val="071323"/>
                <w:sz w:val="16"/>
              </w:rPr>
              <w:t>Install, compile, test suite, static analysis, readiness verifier.</w:t>
            </w:r>
          </w:p>
        </w:tc>
        <w:tc>
          <w:tcPr>
            <w:tcW w:type="dxa" w:w="3360"/>
            <w:shd w:fill="F6F3EA"/>
            <w:vAlign w:val="top"/>
          </w:tcPr>
          <w:p>
            <w:pPr>
              <w:spacing w:after="0"/>
            </w:pPr>
            <w:r/>
            <w:r>
              <w:rPr>
                <w:rFonts w:ascii="Liberation Sans" w:hAnsi="Liberation Sans"/>
                <w:b w:val="0"/>
                <w:color w:val="071323"/>
                <w:sz w:val="16"/>
              </w:rPr>
              <w:t>Sepolia rehearsal permission.</w:t>
            </w:r>
          </w:p>
        </w:tc>
      </w:tr>
      <w:tr>
        <w:tc>
          <w:tcPr>
            <w:tcW w:type="dxa" w:w="3360"/>
            <w:vAlign w:val="top"/>
          </w:tcPr>
          <w:p>
            <w:pPr>
              <w:spacing w:after="0"/>
            </w:pPr>
            <w:r/>
            <w:r>
              <w:rPr>
                <w:rFonts w:ascii="Liberation Sans" w:hAnsi="Liberation Sans"/>
                <w:b w:val="0"/>
                <w:color w:val="071323"/>
                <w:sz w:val="16"/>
              </w:rPr>
              <w:t>Ethereum Sepolia rehearsal</w:t>
            </w:r>
          </w:p>
        </w:tc>
        <w:tc>
          <w:tcPr>
            <w:tcW w:type="dxa" w:w="3360"/>
            <w:vAlign w:val="top"/>
          </w:tcPr>
          <w:p>
            <w:pPr>
              <w:spacing w:after="0"/>
            </w:pPr>
            <w:r/>
            <w:r>
              <w:rPr>
                <w:rFonts w:ascii="Liberation Sans" w:hAnsi="Liberation Sans"/>
                <w:b w:val="0"/>
                <w:color w:val="071323"/>
                <w:sz w:val="16"/>
              </w:rPr>
              <w:t>Deployment manifest, mission flow, proof card, credential, reputation, settlement.</w:t>
            </w:r>
          </w:p>
        </w:tc>
        <w:tc>
          <w:tcPr>
            <w:tcW w:type="dxa" w:w="3360"/>
            <w:vAlign w:val="top"/>
          </w:tcPr>
          <w:p>
            <w:pPr>
              <w:spacing w:after="0"/>
            </w:pPr>
            <w:r/>
            <w:r>
              <w:rPr>
                <w:rFonts w:ascii="Liberation Sans" w:hAnsi="Liberation Sans"/>
                <w:b w:val="0"/>
                <w:color w:val="071323"/>
                <w:sz w:val="16"/>
              </w:rPr>
              <w:t>External audit closure request.</w:t>
            </w:r>
          </w:p>
        </w:tc>
      </w:tr>
      <w:tr>
        <w:tc>
          <w:tcPr>
            <w:tcW w:type="dxa" w:w="3360"/>
            <w:shd w:fill="F6F3EA"/>
            <w:vAlign w:val="top"/>
          </w:tcPr>
          <w:p>
            <w:pPr>
              <w:spacing w:after="0"/>
            </w:pPr>
            <w:r/>
            <w:r>
              <w:rPr>
                <w:rFonts w:ascii="Liberation Sans" w:hAnsi="Liberation Sans"/>
                <w:b w:val="0"/>
                <w:color w:val="071323"/>
                <w:sz w:val="16"/>
              </w:rPr>
              <w:t>Evidence Docket</w:t>
            </w:r>
          </w:p>
        </w:tc>
        <w:tc>
          <w:tcPr>
            <w:tcW w:type="dxa" w:w="3360"/>
            <w:shd w:fill="F6F3EA"/>
            <w:vAlign w:val="top"/>
          </w:tcPr>
          <w:p>
            <w:pPr>
              <w:spacing w:after="0"/>
            </w:pPr>
            <w:r/>
            <w:r>
              <w:rPr>
                <w:rFonts w:ascii="Liberation Sans" w:hAnsi="Liberation Sans"/>
                <w:b w:val="0"/>
                <w:color w:val="071323"/>
                <w:sz w:val="16"/>
              </w:rPr>
              <w:t>Filled docket with transaction links, proof bundle, review record, cost/risk ledger.</w:t>
            </w:r>
          </w:p>
        </w:tc>
        <w:tc>
          <w:tcPr>
            <w:tcW w:type="dxa" w:w="3360"/>
            <w:shd w:fill="F6F3EA"/>
            <w:vAlign w:val="top"/>
          </w:tcPr>
          <w:p>
            <w:pPr>
              <w:spacing w:after="0"/>
            </w:pPr>
            <w:r/>
            <w:r>
              <w:rPr>
                <w:rFonts w:ascii="Liberation Sans" w:hAnsi="Liberation Sans"/>
                <w:b w:val="0"/>
                <w:color w:val="071323"/>
                <w:sz w:val="16"/>
              </w:rPr>
              <w:t>Claims review.</w:t>
            </w:r>
          </w:p>
        </w:tc>
      </w:tr>
      <w:tr>
        <w:tc>
          <w:tcPr>
            <w:tcW w:type="dxa" w:w="3360"/>
            <w:vAlign w:val="top"/>
          </w:tcPr>
          <w:p>
            <w:pPr>
              <w:spacing w:after="0"/>
            </w:pPr>
            <w:r/>
            <w:r>
              <w:rPr>
                <w:rFonts w:ascii="Liberation Sans" w:hAnsi="Liberation Sans"/>
                <w:b w:val="0"/>
                <w:color w:val="071323"/>
                <w:sz w:val="16"/>
              </w:rPr>
              <w:t>External review</w:t>
            </w:r>
          </w:p>
        </w:tc>
        <w:tc>
          <w:tcPr>
            <w:tcW w:type="dxa" w:w="3360"/>
            <w:vAlign w:val="top"/>
          </w:tcPr>
          <w:p>
            <w:pPr>
              <w:spacing w:after="0"/>
            </w:pPr>
            <w:r/>
            <w:r>
              <w:rPr>
                <w:rFonts w:ascii="Liberation Sans" w:hAnsi="Liberation Sans"/>
                <w:b w:val="0"/>
                <w:color w:val="071323"/>
                <w:sz w:val="16"/>
              </w:rPr>
              <w:t>Security findings, closure matrix, remediation evidence.</w:t>
            </w:r>
          </w:p>
        </w:tc>
        <w:tc>
          <w:tcPr>
            <w:tcW w:type="dxa" w:w="3360"/>
            <w:vAlign w:val="top"/>
          </w:tcPr>
          <w:p>
            <w:pPr>
              <w:spacing w:after="0"/>
            </w:pPr>
            <w:r/>
            <w:r>
              <w:rPr>
                <w:rFonts w:ascii="Liberation Sans" w:hAnsi="Liberation Sans"/>
                <w:b w:val="0"/>
                <w:color w:val="071323"/>
                <w:sz w:val="16"/>
              </w:rPr>
              <w:t>Governance ceremony preparation.</w:t>
            </w:r>
          </w:p>
        </w:tc>
      </w:tr>
      <w:tr>
        <w:tc>
          <w:tcPr>
            <w:tcW w:type="dxa" w:w="3360"/>
            <w:shd w:fill="F6F3EA"/>
            <w:vAlign w:val="top"/>
          </w:tcPr>
          <w:p>
            <w:pPr>
              <w:spacing w:after="0"/>
            </w:pPr>
            <w:r/>
            <w:r>
              <w:rPr>
                <w:rFonts w:ascii="Liberation Sans" w:hAnsi="Liberation Sans"/>
                <w:b w:val="0"/>
                <w:color w:val="071323"/>
                <w:sz w:val="16"/>
              </w:rPr>
              <w:t>Governance ceremony</w:t>
            </w:r>
          </w:p>
        </w:tc>
        <w:tc>
          <w:tcPr>
            <w:tcW w:type="dxa" w:w="3360"/>
            <w:shd w:fill="F6F3EA"/>
            <w:vAlign w:val="top"/>
          </w:tcPr>
          <w:p>
            <w:pPr>
              <w:spacing w:after="0"/>
            </w:pPr>
            <w:r/>
            <w:r>
              <w:rPr>
                <w:rFonts w:ascii="Liberation Sans" w:hAnsi="Liberation Sans"/>
                <w:b w:val="0"/>
                <w:color w:val="071323"/>
                <w:sz w:val="16"/>
              </w:rPr>
              <w:t>Admin roles, treasury, pauser, reviewer manager, founder approval.</w:t>
            </w:r>
          </w:p>
        </w:tc>
        <w:tc>
          <w:tcPr>
            <w:tcW w:type="dxa" w:w="3360"/>
            <w:shd w:fill="F6F3EA"/>
            <w:vAlign w:val="top"/>
          </w:tcPr>
          <w:p>
            <w:pPr>
              <w:spacing w:after="0"/>
            </w:pPr>
            <w:r/>
            <w:r>
              <w:rPr>
                <w:rFonts w:ascii="Liberation Sans" w:hAnsi="Liberation Sans"/>
                <w:b w:val="0"/>
                <w:color w:val="071323"/>
                <w:sz w:val="16"/>
              </w:rPr>
              <w:t>Mainnet discussion only.</w:t>
            </w:r>
          </w:p>
        </w:tc>
      </w:tr>
      <w:tr>
        <w:tc>
          <w:tcPr>
            <w:tcW w:type="dxa" w:w="3360"/>
            <w:vAlign w:val="top"/>
          </w:tcPr>
          <w:p>
            <w:pPr>
              <w:spacing w:after="0"/>
            </w:pPr>
            <w:r/>
            <w:r>
              <w:rPr>
                <w:rFonts w:ascii="Liberation Sans" w:hAnsi="Liberation Sans"/>
                <w:b w:val="0"/>
                <w:color w:val="071323"/>
                <w:sz w:val="16"/>
              </w:rPr>
              <w:t>Mainnet authorization</w:t>
            </w:r>
          </w:p>
        </w:tc>
        <w:tc>
          <w:tcPr>
            <w:tcW w:type="dxa" w:w="3360"/>
            <w:vAlign w:val="top"/>
          </w:tcPr>
          <w:p>
            <w:pPr>
              <w:spacing w:after="0"/>
            </w:pPr>
            <w:r/>
            <w:r>
              <w:rPr>
                <w:rFonts w:ascii="Liberation Sans" w:hAnsi="Liberation Sans"/>
                <w:b w:val="0"/>
                <w:color w:val="071323"/>
                <w:sz w:val="16"/>
              </w:rPr>
              <w:t>Legal, tax, security, claims, treasury, evidence, and founder signoff.</w:t>
            </w:r>
          </w:p>
        </w:tc>
        <w:tc>
          <w:tcPr>
            <w:tcW w:type="dxa" w:w="3360"/>
            <w:vAlign w:val="top"/>
          </w:tcPr>
          <w:p>
            <w:pPr>
              <w:spacing w:after="0"/>
            </w:pPr>
            <w:r/>
            <w:r>
              <w:rPr>
                <w:rFonts w:ascii="Liberation Sans" w:hAnsi="Liberation Sans"/>
                <w:b w:val="0"/>
                <w:color w:val="071323"/>
                <w:sz w:val="16"/>
              </w:rPr>
              <w:t>Deployment may be considered.</w:t>
            </w:r>
          </w:p>
        </w:tc>
      </w:tr>
    </w:tbl>
    <w:p>
      <w:pPr>
        <w:spacing w:after="40"/>
      </w:pPr>
    </w:p>
    <w:p>
      <w:r>
        <w:br w:type="page"/>
      </w:r>
    </w:p>
    <w:p>
      <w:pPr>
        <w:pStyle w:val="Heading1"/>
        <w:spacing w:before="0" w:after="120"/>
      </w:pPr>
      <w:r>
        <w:rPr>
          <w:rFonts w:ascii="Liberation Sans" w:hAnsi="Liberation Sans"/>
        </w:rPr>
        <w:t>24. Strategic Interpretation</w:t>
      </w:r>
    </w:p>
    <w:p>
      <w:pPr>
        <w:spacing w:before="0" w:after="120"/>
      </w:pPr>
      <w:r>
        <w:rPr>
          <w:rFonts w:ascii="Liberation Sans" w:hAnsi="Liberation Sans"/>
        </w:rPr>
        <w:t>The strongest form of this architecture is not a claim that the system has already achieved superintelligence. It is the claim that sovereign intelligence organizations need a way to make improvement legible, replayable, challengeable, settleable, and reversible. The civilization-scale horizon becomes credible only through a ladder of verified work: one proof room, one proof card, one benchmark, one successful rollback, one capacity gain, one validated reinvestment decision at a time.</w:t>
      </w:r>
    </w:p>
    <w:p>
      <w:r>
        <w:br w:type="page"/>
      </w:r>
    </w:p>
    <w:p>
      <w:pPr>
        <w:pStyle w:val="Heading1"/>
        <w:spacing w:before="0" w:after="120"/>
      </w:pPr>
      <w:r>
        <w:rPr>
          <w:rFonts w:ascii="Liberation Sans" w:hAnsi="Liberation Sans"/>
        </w:rPr>
        <w:t>References</w:t>
      </w:r>
    </w:p>
    <w:p>
      <w:pPr>
        <w:spacing w:before="0" w:after="40"/>
      </w:pPr>
      <w:r>
        <w:rPr>
          <w:rFonts w:ascii="Liberation Sans" w:hAnsi="Liberation Sans"/>
          <w:color w:val="56616F"/>
          <w:sz w:val="18"/>
        </w:rPr>
        <w:t>Boucher, V. GoalOS: The Proof-of-Evolution Constitution AEP-001 Institutional Standard. QUEBEC.AI &amp; MONTREAL.AI, June 2026.</w:t>
      </w:r>
    </w:p>
    <w:p>
      <w:pPr>
        <w:spacing w:before="0" w:after="40"/>
      </w:pPr>
      <w:r>
        <w:rPr>
          <w:rFonts w:ascii="Liberation Sans" w:hAnsi="Liberation Sans"/>
          <w:color w:val="56616F"/>
          <w:sz w:val="18"/>
        </w:rPr>
        <w:t>Boucher, V. AGI ALPHA: A Scalable Substrate for Intelligence Organizations. QUEBEC.AI &amp; MONTREAL.AI, June 2026.</w:t>
      </w:r>
    </w:p>
    <w:p>
      <w:pPr>
        <w:spacing w:before="0" w:after="40"/>
      </w:pPr>
      <w:r>
        <w:rPr>
          <w:rFonts w:ascii="Liberation Sans" w:hAnsi="Liberation Sans"/>
          <w:color w:val="56616F"/>
          <w:sz w:val="18"/>
        </w:rPr>
        <w:t>Ethereum smart-contract documentation; Solidity documentation; OpenZeppelin contracts; Ethereum attestation and content-addressing references.</w:t>
      </w:r>
    </w:p>
    <w:p>
      <w:pPr>
        <w:spacing w:before="0" w:after="40"/>
      </w:pPr>
      <w:r>
        <w:rPr>
          <w:rFonts w:ascii="Liberation Sans" w:hAnsi="Liberation Sans"/>
          <w:color w:val="56616F"/>
          <w:sz w:val="18"/>
        </w:rPr>
        <w:t>NIST AI Risk Management Framework; W3C Verifiable Credentials; OWASP agentic AI guidance.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Liberation Sans" w:hAnsi="Liberation Sans"/>
        <w:color w:val="56616F"/>
        <w:sz w:val="16"/>
      </w:rPr>
      <w:t>QUEBEC.AI &amp; MONTREAL.AI | Evidence-governed recursive self-improvement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color w:val="56616F"/>
        <w:sz w:val="16"/>
      </w:rPr>
      <w:t>GoalOS-native alpha-AGI Ascension using AGIALPHA | Sovereign RSI Edition v6.3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07132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10263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E5A7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