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AGIALPHA Autopilot Safety and Claim Boundary v2</w:t>
      </w:r>
    </w:p>
    <w:p>
      <w:pPr>
        <w:jc w:val="center"/>
      </w:pPr>
      <w:r>
        <w:rPr>
          <w:color w:val="4B5563"/>
          <w:sz w:val="24"/>
        </w:rPr>
        <w:t>What the automation may do, what it must never do, and what claims are allowed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This pack does not claim achieved AGI, ASI, superintelligence, guaranteed ROI, yield, legal approval, tax approval, external audit completion, production safety, token price appreciation, or Ethereum Mainnet deployment. It defines a claim-bounded automation layer for proof, budgeting, review, settlement readiness, and treasury routing.</w:t>
            </w:r>
          </w:p>
        </w:tc>
      </w:tr>
    </w:tbl>
    <w:p/>
    <w:p>
      <w:pPr>
        <w:pStyle w:val="Heading1"/>
      </w:pPr>
      <w:r>
        <w:t>Allowed automation</w:t>
      </w:r>
    </w:p>
    <w:p>
      <w:pPr>
        <w:pStyle w:val="ListBullet"/>
      </w:pPr>
      <w:r>
        <w:t>Generate mission plans, budget quotes, funding instructions, proof bundles, evidence dockets, reviewer packets, alpha-WU scoring, settlement-readiness reports, treasury routing recommendations, and public-safe evidence indexes.</w:t>
      </w:r>
    </w:p>
    <w:p>
      <w:pPr>
        <w:pStyle w:val="ListBullet"/>
      </w:pPr>
      <w:r>
        <w:t>Run simulation and Sepolia rehearsal workflows.</w:t>
      </w:r>
    </w:p>
    <w:p>
      <w:pPr>
        <w:pStyle w:val="ListBullet"/>
      </w:pPr>
      <w:r>
        <w:t>Open PRs with generated evidence.</w:t>
      </w:r>
    </w:p>
    <w:p>
      <w:pPr>
        <w:pStyle w:val="ListBullet"/>
      </w:pPr>
      <w:r>
        <w:t>Produce mainnet read-only operator packets with no private key and no broadcast capability.</w:t>
      </w:r>
    </w:p>
    <w:p>
      <w:pPr>
        <w:pStyle w:val="Heading1"/>
      </w:pPr>
      <w:r>
        <w:t>Forbidden automation</w:t>
      </w:r>
    </w:p>
    <w:p>
      <w:pPr>
        <w:pStyle w:val="ListBullet"/>
      </w:pPr>
      <w:r>
        <w:t>No Mainnet broadcast from CI or GitHub Actions.</w:t>
      </w:r>
    </w:p>
    <w:p>
      <w:pPr>
        <w:pStyle w:val="ListBullet"/>
      </w:pPr>
      <w:r>
        <w:t>No automatic Mainnet settlement before external audit, external evidence, and human approval.</w:t>
      </w:r>
    </w:p>
    <w:p>
      <w:pPr>
        <w:pStyle w:val="ListBullet"/>
      </w:pPr>
      <w:r>
        <w:t>No slashing automation without a dispute process.</w:t>
      </w:r>
    </w:p>
    <w:p>
      <w:pPr>
        <w:pStyle w:val="ListBullet"/>
      </w:pPr>
      <w:r>
        <w:t>No public claim of production safety or external audit completion without evidence.</w:t>
      </w:r>
    </w:p>
    <w:p>
      <w:pPr>
        <w:pStyle w:val="ListBullet"/>
      </w:pPr>
      <w:r>
        <w:t>No token-price, ROI, yield, dividend, profit-share, or investment-return claims.</w:t>
      </w:r>
    </w:p>
    <w:p>
      <w:pPr>
        <w:pStyle w:val="ListBullet"/>
      </w:pPr>
      <w:r>
        <w:t>No secret logging or private key storage in the repo.</w:t>
      </w:r>
    </w:p>
    <w:p>
      <w:pPr>
        <w:pStyle w:val="Heading1"/>
      </w:pPr>
      <w:r>
        <w:t>Settlement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ProofBundle complete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Settlement requires replayable evidence.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Evaluator 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Validators gate proof quality.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ledger clean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Unsafe work cannot settle as success.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Rollback path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Promotion must be reversible or stoppable.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Challenge window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Reviewer disagreement must be possible.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Evidence pages must not overclaim.</w:t>
            </w:r>
          </w:p>
        </w:tc>
      </w:tr>
    </w:tbl>
    <w:p/>
    <w:p>
      <w:pPr>
        <w:pStyle w:val="Heading1"/>
      </w:pPr>
      <w:r>
        <w:t>Canonical slogan</w:t>
      </w:r>
    </w:p>
    <w:p>
      <w:r>
        <w:t>No ProofBundle -&gt; no settlement. No eval -&gt; no propagation. No rollback -&gt; no release. No Evidence Docket -&gt; no strong claim. No human gate -&gt; no Mainnet value movement.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