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AEP-005</w:t>
      </w:r>
    </w:p>
    <w:p>
      <w:pPr>
        <w:jc w:val="center"/>
      </w:pPr>
      <w:r>
        <w:rPr>
          <w:b/>
          <w:color w:val="0B1020"/>
          <w:sz w:val="60"/>
        </w:rPr>
        <w:t>Tool Permission Standard</w:t>
      </w:r>
    </w:p>
    <w:p>
      <w:pPr>
        <w:jc w:val="center"/>
      </w:pPr>
      <w:r>
        <w:rPr>
          <w:color w:val="46536E"/>
          <w:sz w:val="27"/>
        </w:rPr>
        <w:t>Scoped, approved, leased, revocable, and provable tool use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ool_permission_flow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78A00"/>
          <w:sz w:val="24"/>
        </w:rPr>
        <w:t>AEP-001 defines the protocol. AEP-002 defines the docket. AEP-003 defines the packet. AEP-004 defines the gate. AEP-005 defines the permission.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AEP-005 defines the Tool Permission Standard: the governance layer that determines whether an AI agent, workflow, model route, human operator, or automated system may use a tool, under what scope, for how long, with which approvals, what evidence must be recorded, and what rollback or compensation path is required.</w:t>
      </w:r>
    </w:p>
    <w:p>
      <w:r>
        <w:t>A model may know a tool exists. An agent may request a tool. Only the Tool Gateway may authorize its use.</w:t>
      </w:r>
    </w:p>
    <w:p>
      <w:pPr>
        <w:pStyle w:val="Heading1"/>
      </w:pPr>
      <w:r>
        <w:t>2. Canonical Law</w:t>
      </w:r>
    </w:p>
    <w:p>
      <w:r>
        <w:rPr>
          <w:b/>
          <w:color w:val="0B1020"/>
          <w:sz w:val="26"/>
        </w:rPr>
        <w:t>No tool without permission.</w:t>
      </w:r>
    </w:p>
    <w:p>
      <w:r>
        <w:rPr>
          <w:b/>
          <w:color w:val="0B1020"/>
          <w:sz w:val="26"/>
        </w:rPr>
        <w:t>No action without scope.</w:t>
      </w:r>
    </w:p>
    <w:p>
      <w:r>
        <w:rPr>
          <w:b/>
          <w:color w:val="0B1020"/>
          <w:sz w:val="26"/>
        </w:rPr>
        <w:t>No high-risk tool without approval.</w:t>
      </w:r>
    </w:p>
    <w:p>
      <w:r>
        <w:rPr>
          <w:b/>
          <w:color w:val="0B1020"/>
          <w:sz w:val="26"/>
        </w:rPr>
        <w:t>No side effect without receipt.</w:t>
      </w:r>
    </w:p>
    <w:p>
      <w:r>
        <w:rPr>
          <w:b/>
          <w:color w:val="0B1020"/>
          <w:sz w:val="26"/>
        </w:rPr>
        <w:t>No irreversible action without rollback or compensation.</w:t>
      </w:r>
    </w:p>
    <w:p>
      <w:r>
        <w:rPr>
          <w:b/>
          <w:color w:val="0B1020"/>
          <w:sz w:val="26"/>
        </w:rPr>
        <w:t>No permanent authority without expiration.</w:t>
      </w:r>
    </w:p>
    <w:p>
      <w:r>
        <w:rPr>
          <w:b/>
          <w:color w:val="0B1020"/>
          <w:sz w:val="26"/>
        </w:rPr>
        <w:t>No proof, no evolution.</w:t>
      </w:r>
    </w:p>
    <w:p>
      <w:pPr>
        <w:pStyle w:val="Heading1"/>
      </w:pPr>
      <w:r>
        <w:t>3. v1.1 Upgrades</w:t>
      </w:r>
    </w:p>
    <w:p>
      <w:pPr>
        <w:pStyle w:val="ListBullet"/>
      </w:pPr>
      <w:r>
        <w:rPr>
          <w:sz w:val="18"/>
        </w:rPr>
        <w:t>Permission leases</w:t>
      </w:r>
    </w:p>
    <w:p>
      <w:pPr>
        <w:pStyle w:val="ListBullet"/>
      </w:pPr>
      <w:r>
        <w:rPr>
          <w:sz w:val="18"/>
        </w:rPr>
        <w:t>Revocation receipts</w:t>
      </w:r>
    </w:p>
    <w:p>
      <w:pPr>
        <w:pStyle w:val="ListBullet"/>
      </w:pPr>
      <w:r>
        <w:rPr>
          <w:sz w:val="18"/>
        </w:rPr>
        <w:t>Compensation receipts</w:t>
      </w:r>
    </w:p>
    <w:p>
      <w:pPr>
        <w:pStyle w:val="ListBullet"/>
      </w:pPr>
      <w:r>
        <w:rPr>
          <w:sz w:val="18"/>
        </w:rPr>
        <w:t>Break-glass requests</w:t>
      </w:r>
    </w:p>
    <w:p>
      <w:pPr>
        <w:pStyle w:val="ListBullet"/>
      </w:pPr>
      <w:r>
        <w:rPr>
          <w:sz w:val="18"/>
        </w:rPr>
        <w:t>Data-boundary rules</w:t>
      </w:r>
    </w:p>
    <w:p>
      <w:pPr>
        <w:pStyle w:val="ListBullet"/>
      </w:pPr>
      <w:r>
        <w:rPr>
          <w:sz w:val="18"/>
        </w:rPr>
        <w:t>Rate-limit policies</w:t>
      </w:r>
    </w:p>
    <w:p>
      <w:pPr>
        <w:pStyle w:val="ListBullet"/>
      </w:pPr>
      <w:r>
        <w:rPr>
          <w:sz w:val="18"/>
        </w:rPr>
        <w:t>Separation of duties</w:t>
      </w:r>
    </w:p>
    <w:p>
      <w:pPr>
        <w:pStyle w:val="ListBullet"/>
      </w:pPr>
      <w:r>
        <w:rPr>
          <w:sz w:val="18"/>
        </w:rPr>
        <w:t>Tool Gateway audit tooling</w:t>
      </w:r>
    </w:p>
    <w:p>
      <w:r>
        <w:br w:type="page"/>
      </w:r>
    </w:p>
    <w:p>
      <w:pPr>
        <w:pStyle w:val="Heading1"/>
      </w:pPr>
      <w:r>
        <w:t>4. Tool Authority Model</w:t>
      </w:r>
    </w:p>
    <w:p>
      <w:pPr>
        <w:pStyle w:val="ListBullet"/>
      </w:pPr>
      <w:r>
        <w:rPr>
          <w:sz w:val="18"/>
        </w:rPr>
        <w:t>Ability - the tool exists and can technically be called.</w:t>
      </w:r>
    </w:p>
    <w:p>
      <w:pPr>
        <w:pStyle w:val="ListBullet"/>
      </w:pPr>
      <w:r>
        <w:rPr>
          <w:sz w:val="18"/>
        </w:rPr>
        <w:t>Authority - the agent or workflow is allowed to request it.</w:t>
      </w:r>
    </w:p>
    <w:p>
      <w:pPr>
        <w:pStyle w:val="ListBullet"/>
      </w:pPr>
      <w:r>
        <w:rPr>
          <w:sz w:val="18"/>
        </w:rPr>
        <w:t>Scope - the permitted boundaries of use.</w:t>
      </w:r>
    </w:p>
    <w:p>
      <w:pPr>
        <w:pStyle w:val="ListBullet"/>
      </w:pPr>
      <w:r>
        <w:rPr>
          <w:sz w:val="18"/>
        </w:rPr>
        <w:t>Lease - the permission is time-bounded and revocable.</w:t>
      </w:r>
    </w:p>
    <w:p>
      <w:pPr>
        <w:pStyle w:val="ListBullet"/>
      </w:pPr>
      <w:r>
        <w:rPr>
          <w:sz w:val="18"/>
        </w:rPr>
        <w:t>Approval - human, policy, or institutional authorization.</w:t>
      </w:r>
    </w:p>
    <w:p>
      <w:pPr>
        <w:pStyle w:val="ListBullet"/>
      </w:pPr>
      <w:r>
        <w:rPr>
          <w:sz w:val="18"/>
        </w:rPr>
        <w:t>Execution - the actual tool call.</w:t>
      </w:r>
    </w:p>
    <w:p>
      <w:pPr>
        <w:pStyle w:val="ListBullet"/>
      </w:pPr>
      <w:r>
        <w:rPr>
          <w:sz w:val="18"/>
        </w:rPr>
        <w:t>Receipt - the execution result and side effects are recorded.</w:t>
      </w:r>
    </w:p>
    <w:p>
      <w:pPr>
        <w:pStyle w:val="ListBullet"/>
      </w:pPr>
      <w:r>
        <w:rPr>
          <w:sz w:val="18"/>
        </w:rPr>
        <w:t>Proof - the decision and receipt anchor into ProofPackets and Evidence Dockets.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ool_gateway_boundary_model_v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Permission Classes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Permission Class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Meaning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Tool unavailable.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Observe, retrieve, inspect, list, or query without changing state.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Prepare output without applying it.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transform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Transform data without external side effects.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write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Change internal state or modify a system.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execute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Run code, jobs, scripts, automations, or computational tasks.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external_contact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Contact external people, systems, vendors, customers, agencies, or public endpoints.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send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Send a message, publication, email, form, API request, or external output.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Delete, destroy, revoke, remove, or irreversibly alter a resource.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deploy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Release, publish, ship, merge, promote, or activate a capability.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payment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Spend money, transfer value, initiate purchase, or access payment rails.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secret_access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Read or use secrets, credentials, tokens, keys, private data, or protected evidence.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admin_change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Change permissions, roles, policies, accounts, infrastructure, routing, or governance.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protected_operation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High-impact or regulated operation requiring special authorization.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break_glass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Emergency use outside normal policy with mandatory review.</w:t>
            </w:r>
          </w:p>
        </w:tc>
      </w:tr>
    </w:tbl>
    <w:p>
      <w:r>
        <w:br w:type="page"/>
      </w:r>
    </w:p>
    <w:p>
      <w:pPr>
        <w:pStyle w:val="Heading1"/>
      </w:pPr>
      <w:r>
        <w:t>6. Core Objects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Object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Purpose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Tool Manifest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Declares tool identity, permissions, risk, data access, side effects, approval and evidence requirements.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Tool Permission Policy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Defines who may use which tools, in what scopes, with which approvals, limits, rollback and compensation.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Tool Request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the request before tool use.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Tool Permission Decision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allow, deny, approval_required, or restricted allow decisions.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Permission Lease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time-bounded and revocable authority.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Approval Receipt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human or institutional approval.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Tool Call Receipt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what happened after execution.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Revocation Receipt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termination of tool authority.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Compensation Receipt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remediation when rollback is impossible or insufficient.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Break-Glass Request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Records emergency use outside normal policy.</w:t>
            </w:r>
          </w:p>
        </w:tc>
      </w:tr>
    </w:tbl>
    <w:p>
      <w:r>
        <w:br w:type="page"/>
      </w:r>
    </w:p>
    <w:p>
      <w:pPr>
        <w:pStyle w:val="Heading1"/>
      </w:pPr>
      <w:r>
        <w:t>7. Permission Lattice and Lease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ool_permission_lattice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permission is not a permanent power. It is a bounded lease. High-impact tools require expiry, revocation, receipt, rollback or compensation.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ease_revocation_compensation_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Default-Deny Rule</w:t>
      </w:r>
    </w:p>
    <w:p>
      <w:pPr>
        <w:pStyle w:val="ListBullet"/>
      </w:pPr>
      <w:r>
        <w:rPr>
          <w:sz w:val="18"/>
        </w:rPr>
        <w:t>No tool manifest exists.</w:t>
      </w:r>
    </w:p>
    <w:p>
      <w:pPr>
        <w:pStyle w:val="ListBullet"/>
      </w:pPr>
      <w:r>
        <w:rPr>
          <w:sz w:val="18"/>
        </w:rPr>
        <w:t>No policy applies.</w:t>
      </w:r>
    </w:p>
    <w:p>
      <w:pPr>
        <w:pStyle w:val="ListBullet"/>
      </w:pPr>
      <w:r>
        <w:rPr>
          <w:sz w:val="18"/>
        </w:rPr>
        <w:t>Requested class is not supported.</w:t>
      </w:r>
    </w:p>
    <w:p>
      <w:pPr>
        <w:pStyle w:val="ListBullet"/>
      </w:pPr>
      <w:r>
        <w:rPr>
          <w:sz w:val="18"/>
        </w:rPr>
        <w:t>Requested class is denied.</w:t>
      </w:r>
    </w:p>
    <w:p>
      <w:pPr>
        <w:pStyle w:val="ListBullet"/>
      </w:pPr>
      <w:r>
        <w:rPr>
          <w:sz w:val="18"/>
        </w:rPr>
        <w:t>Approval is required but absent.</w:t>
      </w:r>
    </w:p>
    <w:p>
      <w:pPr>
        <w:pStyle w:val="ListBullet"/>
      </w:pPr>
      <w:r>
        <w:rPr>
          <w:sz w:val="18"/>
        </w:rPr>
        <w:t>Scope is missing.</w:t>
      </w:r>
    </w:p>
    <w:p>
      <w:pPr>
        <w:pStyle w:val="ListBullet"/>
      </w:pPr>
      <w:r>
        <w:rPr>
          <w:sz w:val="18"/>
        </w:rPr>
        <w:t>Lease is missing or expired.</w:t>
      </w:r>
    </w:p>
    <w:p>
      <w:pPr>
        <w:pStyle w:val="ListBullet"/>
      </w:pPr>
      <w:r>
        <w:rPr>
          <w:sz w:val="18"/>
        </w:rPr>
        <w:t>Rollback or compensation is required but missing.</w:t>
      </w:r>
    </w:p>
    <w:p>
      <w:pPr>
        <w:pStyle w:val="ListBullet"/>
      </w:pPr>
      <w:r>
        <w:rPr>
          <w:sz w:val="18"/>
        </w:rPr>
        <w:t>Protected data lacks authorization.</w:t>
      </w:r>
    </w:p>
    <w:p>
      <w:pPr>
        <w:pStyle w:val="ListBullet"/>
      </w:pPr>
      <w:r>
        <w:rPr>
          <w:sz w:val="18"/>
        </w:rPr>
        <w:t>Budget or rate limit is exceeded.</w:t>
      </w:r>
    </w:p>
    <w:p>
      <w:pPr>
        <w:pStyle w:val="ListBullet"/>
      </w:pPr>
      <w:r>
        <w:rPr>
          <w:sz w:val="18"/>
        </w:rPr>
        <w:t>Separation of duties is violated.</w:t>
      </w:r>
    </w:p>
    <w:p>
      <w:pPr>
        <w:pStyle w:val="ListBullet"/>
      </w:pPr>
      <w:r>
        <w:rPr>
          <w:sz w:val="18"/>
        </w:rPr>
        <w:t>The gateway cannot evaluate the policy.</w:t>
      </w:r>
    </w:p>
    <w:p>
      <w:pPr>
        <w:pStyle w:val="Heading1"/>
      </w:pPr>
      <w:r>
        <w:t>9. High-Risk Permission Rules</w:t>
      </w:r>
    </w:p>
    <w:p>
      <w:pPr>
        <w:pStyle w:val="ListBullet"/>
      </w:pPr>
      <w:r>
        <w:rPr>
          <w:sz w:val="18"/>
        </w:rPr>
        <w:t>write requires evidence, policy, scope, lease, and receipt.</w:t>
      </w:r>
    </w:p>
    <w:p>
      <w:pPr>
        <w:pStyle w:val="ListBullet"/>
      </w:pPr>
      <w:r>
        <w:rPr>
          <w:sz w:val="18"/>
        </w:rPr>
        <w:t>send / external_contact requires approval unless explicitly pre-authorized.</w:t>
      </w:r>
    </w:p>
    <w:p>
      <w:pPr>
        <w:pStyle w:val="ListBullet"/>
      </w:pPr>
      <w:r>
        <w:rPr>
          <w:sz w:val="18"/>
        </w:rPr>
        <w:t>delete requires approval, rollback or compensation plan, and receipt.</w:t>
      </w:r>
    </w:p>
    <w:p>
      <w:pPr>
        <w:pStyle w:val="ListBullet"/>
      </w:pPr>
      <w:r>
        <w:rPr>
          <w:sz w:val="18"/>
        </w:rPr>
        <w:t>deploy requires Selection Gate or release authority, monitoring, and rollback.</w:t>
      </w:r>
    </w:p>
    <w:p>
      <w:pPr>
        <w:pStyle w:val="ListBullet"/>
      </w:pPr>
      <w:r>
        <w:rPr>
          <w:sz w:val="18"/>
        </w:rPr>
        <w:t>payment requires financial authorization, budget scope, and receipt.</w:t>
      </w:r>
    </w:p>
    <w:p>
      <w:pPr>
        <w:pStyle w:val="ListBullet"/>
      </w:pPr>
      <w:r>
        <w:rPr>
          <w:sz w:val="18"/>
        </w:rPr>
        <w:t>secret_access requires protected access authority and evidence controls.</w:t>
      </w:r>
    </w:p>
    <w:p>
      <w:pPr>
        <w:pStyle w:val="ListBullet"/>
      </w:pPr>
      <w:r>
        <w:rPr>
          <w:sz w:val="18"/>
        </w:rPr>
        <w:t>admin_change requires elevated approval and separation of duties.</w:t>
      </w:r>
    </w:p>
    <w:p>
      <w:pPr>
        <w:pStyle w:val="ListBullet"/>
      </w:pPr>
      <w:r>
        <w:rPr>
          <w:sz w:val="18"/>
        </w:rPr>
        <w:t>break_glass requires emergency justification, temporary scope, monitoring, and post-incident review.</w:t>
      </w:r>
    </w:p>
    <w:p>
      <w:r>
        <w:br w:type="page"/>
      </w:r>
    </w:p>
    <w:p>
      <w:pPr>
        <w:pStyle w:val="Heading1"/>
      </w:pPr>
      <w:r>
        <w:t>10. Conformance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Level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Requirement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0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Informal tool note.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1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Tool manifest.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2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Gateway decision.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3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Scoped leased permission.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4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Institutional permission with approval, leases, receipts, ProofPackets, rollback/compensation, revocation, and audit export.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5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Sovereign / regulated permission with jurisdiction, retention, data boundary, authorized approvers, separation of duties, public/private/protected evidence boundary, institutional review, revocation, and post-incident controls.</w:t>
            </w:r>
          </w:p>
        </w:tc>
      </w:tr>
    </w:tbl>
    <w:p>
      <w:pPr>
        <w:pStyle w:val="Heading1"/>
      </w:pPr>
      <w:r>
        <w:t>11. Claim Boundary</w:t>
      </w:r>
    </w:p>
    <w:p>
      <w:r>
        <w:t>AEP-005 does not claim achieved AGI, achieved ASI, perfect safety, legal compliance certification, financial or legal advice, guaranteed ROI, production readiness, government endorsement, or national-security readiness. AEP-005 defines a tool permission and proof standard.</w:t>
      </w:r>
    </w:p>
    <w:p>
      <w:pPr>
        <w:jc w:val="center"/>
      </w:pPr>
      <w:r>
        <w:rPr>
          <w:b/>
          <w:color w:val="B78A00"/>
          <w:sz w:val="26"/>
        </w:rPr>
        <w:t>GoalOS allows only what is scoped, approved, leased, revocable, and provable.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