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78A00"/>
          <w:sz w:val="44"/>
        </w:rPr>
        <w:t>AEP-006</w:t>
      </w:r>
    </w:p>
    <w:p>
      <w:pPr>
        <w:jc w:val="center"/>
      </w:pPr>
      <w:r>
        <w:rPr>
          <w:b/>
          <w:color w:val="0B1020"/>
          <w:sz w:val="60"/>
        </w:rPr>
        <w:t>Rollback Receipt Standard</w:t>
      </w:r>
    </w:p>
    <w:p>
      <w:pPr>
        <w:jc w:val="center"/>
      </w:pPr>
      <w:r>
        <w:rPr>
          <w:color w:val="46536E"/>
          <w:sz w:val="27"/>
        </w:rPr>
        <w:t>Recovery must be proven, not merely promised</w:t>
      </w:r>
    </w:p>
    <w:p>
      <w:pPr>
        <w:jc w:val="center"/>
      </w:pPr>
      <w:r>
        <w:rPr>
          <w:color w:val="46536E"/>
          <w:sz w:val="21"/>
        </w:rPr>
        <w:t>Version 1.1 Institutional Edition · Proof Gradient / Agent Evolution Protocol</w:t>
      </w:r>
    </w:p>
    <w:p>
      <w:pPr>
        <w:pStyle w:val="Heading1"/>
      </w:pPr>
      <w:r>
        <w:t>Purpose</w:t>
      </w:r>
    </w:p>
    <w:p>
      <w:r>
        <w:t>AEP-006 defines the Rollback Receipt Standard: the proof object for recovery, restoration, reversal, compensation, freeze, quarantine, post-rollback verification, and post-incident review.</w:t>
      </w:r>
    </w:p>
    <w:p>
      <w:pPr>
        <w:pStyle w:val="Heading1"/>
      </w:pPr>
      <w:r>
        <w:t>Canonical Law</w:t>
      </w:r>
    </w:p>
    <w:p>
      <w:pPr>
        <w:pStyle w:val="ListBullet"/>
      </w:pPr>
      <w:r>
        <w:rPr>
          <w:sz w:val="16"/>
        </w:rPr>
        <w:t>No rollback, no release.</w:t>
      </w:r>
    </w:p>
    <w:p>
      <w:pPr>
        <w:pStyle w:val="ListBullet"/>
      </w:pPr>
      <w:r>
        <w:rPr>
          <w:sz w:val="16"/>
        </w:rPr>
        <w:t>No receipt, no recovery claim.</w:t>
      </w:r>
    </w:p>
    <w:p>
      <w:pPr>
        <w:pStyle w:val="ListBullet"/>
      </w:pPr>
      <w:r>
        <w:rPr>
          <w:sz w:val="16"/>
        </w:rPr>
        <w:t>No restore point, no promotion.</w:t>
      </w:r>
    </w:p>
    <w:p>
      <w:pPr>
        <w:pStyle w:val="ListBullet"/>
      </w:pPr>
      <w:r>
        <w:rPr>
          <w:sz w:val="16"/>
        </w:rPr>
        <w:t>No compensation path, no irreversible action.</w:t>
      </w:r>
    </w:p>
    <w:p>
      <w:pPr>
        <w:pStyle w:val="ListBullet"/>
      </w:pPr>
      <w:r>
        <w:rPr>
          <w:sz w:val="16"/>
        </w:rPr>
        <w:t>No post-rollback verification, no closure.</w:t>
      </w:r>
    </w:p>
    <w:p>
      <w:pPr>
        <w:pStyle w:val="ListBullet"/>
      </w:pPr>
      <w:r>
        <w:rPr>
          <w:sz w:val="16"/>
        </w:rPr>
        <w:t>No proof, no evolution.</w:t>
      </w:r>
    </w:p>
    <w:p>
      <w:pPr>
        <w:pStyle w:val="Heading1"/>
      </w:pPr>
      <w:r>
        <w:t>Required Objects</w:t>
      </w:r>
    </w:p>
    <w:p>
      <w:pPr>
        <w:pStyle w:val="ListBullet"/>
      </w:pPr>
      <w:r>
        <w:rPr>
          <w:sz w:val="16"/>
        </w:rPr>
        <w:t>Rollback Trigger</w:t>
      </w:r>
    </w:p>
    <w:p>
      <w:pPr>
        <w:pStyle w:val="ListBullet"/>
      </w:pPr>
      <w:r>
        <w:rPr>
          <w:sz w:val="16"/>
        </w:rPr>
        <w:t>Rollback Plan</w:t>
      </w:r>
    </w:p>
    <w:p>
      <w:pPr>
        <w:pStyle w:val="ListBullet"/>
      </w:pPr>
      <w:r>
        <w:rPr>
          <w:sz w:val="16"/>
        </w:rPr>
        <w:t>Rollback Request</w:t>
      </w:r>
    </w:p>
    <w:p>
      <w:pPr>
        <w:pStyle w:val="ListBullet"/>
      </w:pPr>
      <w:r>
        <w:rPr>
          <w:sz w:val="16"/>
        </w:rPr>
        <w:t>Rollback Authorization</w:t>
      </w:r>
    </w:p>
    <w:p>
      <w:pPr>
        <w:pStyle w:val="ListBullet"/>
      </w:pPr>
      <w:r>
        <w:rPr>
          <w:sz w:val="16"/>
        </w:rPr>
        <w:t>Rollback Receipt</w:t>
      </w:r>
    </w:p>
    <w:p>
      <w:pPr>
        <w:pStyle w:val="ListBullet"/>
      </w:pPr>
      <w:r>
        <w:rPr>
          <w:sz w:val="16"/>
        </w:rPr>
        <w:t>Rollback Verification</w:t>
      </w:r>
    </w:p>
    <w:p>
      <w:pPr>
        <w:pStyle w:val="ListBullet"/>
      </w:pPr>
      <w:r>
        <w:rPr>
          <w:sz w:val="16"/>
        </w:rPr>
        <w:t>Compensation Receipt</w:t>
      </w:r>
    </w:p>
    <w:p>
      <w:pPr>
        <w:pStyle w:val="ListBullet"/>
      </w:pPr>
      <w:r>
        <w:rPr>
          <w:sz w:val="16"/>
        </w:rPr>
        <w:t>Post-Rollback Review</w:t>
      </w:r>
    </w:p>
    <w:p>
      <w:pPr>
        <w:pStyle w:val="ListBullet"/>
      </w:pPr>
      <w:r>
        <w:rPr>
          <w:sz w:val="16"/>
        </w:rPr>
        <w:t>Recovery Bundle</w:t>
      </w:r>
    </w:p>
    <w:p>
      <w:pPr>
        <w:pStyle w:val="Heading1"/>
      </w:pPr>
      <w:r>
        <w:t>Public Line</w:t>
      </w:r>
    </w:p>
    <w:p>
      <w:r>
        <w:t>AEP-001 defines the protocol. AEP-002 defines the docket. AEP-003 defines the packet. AEP-004 defines the gate. AEP-005 defines the permission. AEP-006 defines the recovery proof. GoalOS releases only what can recover, and proves when recovery happens.</w:t>
      </w:r>
    </w:p>
    <w:sectPr w:rsidR="00FC693F" w:rsidRPr="0006063C" w:rsidSect="00034616"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